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37" w:rsidRDefault="00892408" w:rsidP="00892408">
      <w:pPr>
        <w:ind w:firstLine="709"/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 xml:space="preserve">El Consejero de Desarrollo Económico que suscribe, en respuesta a la pregunta parlamentaria </w:t>
      </w:r>
      <w:r w:rsidRPr="00892408">
        <w:rPr>
          <w:rFonts w:ascii="Tahoma" w:hAnsi="Tahoma" w:cs="Tahoma"/>
          <w:b/>
          <w:sz w:val="22"/>
          <w:szCs w:val="22"/>
        </w:rPr>
        <w:t>9-19/PES-00011</w:t>
      </w:r>
      <w:r w:rsidRPr="00892408">
        <w:rPr>
          <w:rFonts w:ascii="Tahoma" w:hAnsi="Tahoma" w:cs="Tahoma"/>
          <w:sz w:val="22"/>
          <w:szCs w:val="22"/>
        </w:rPr>
        <w:t xml:space="preserve"> formulada por </w:t>
      </w:r>
      <w:r w:rsidRPr="00892408">
        <w:rPr>
          <w:rFonts w:ascii="Tahoma" w:hAnsi="Tahoma" w:cs="Tahoma"/>
          <w:b/>
          <w:sz w:val="22"/>
          <w:szCs w:val="22"/>
        </w:rPr>
        <w:t xml:space="preserve">D. </w:t>
      </w:r>
      <w:proofErr w:type="spellStart"/>
      <w:r w:rsidRPr="00892408">
        <w:rPr>
          <w:rFonts w:ascii="Tahoma" w:hAnsi="Tahoma" w:cs="Tahoma"/>
          <w:b/>
          <w:sz w:val="22"/>
          <w:szCs w:val="22"/>
        </w:rPr>
        <w:t>Maiorga</w:t>
      </w:r>
      <w:proofErr w:type="spellEnd"/>
      <w:r w:rsidRPr="00892408">
        <w:rPr>
          <w:rFonts w:ascii="Tahoma" w:hAnsi="Tahoma" w:cs="Tahoma"/>
          <w:b/>
          <w:sz w:val="22"/>
          <w:szCs w:val="22"/>
        </w:rPr>
        <w:t xml:space="preserve"> Ramírez Erro</w:t>
      </w:r>
      <w:r w:rsidRPr="00892408">
        <w:rPr>
          <w:rFonts w:ascii="Tahoma" w:hAnsi="Tahoma" w:cs="Tahoma"/>
          <w:sz w:val="22"/>
          <w:szCs w:val="22"/>
        </w:rPr>
        <w:t xml:space="preserve">, parlamentario foral adscrito al Grupo Parlamentario </w:t>
      </w:r>
      <w:r w:rsidRPr="00892408">
        <w:rPr>
          <w:rFonts w:ascii="Tahoma" w:hAnsi="Tahoma" w:cs="Tahoma"/>
          <w:b/>
          <w:sz w:val="22"/>
          <w:szCs w:val="22"/>
        </w:rPr>
        <w:t xml:space="preserve">E.H. </w:t>
      </w:r>
      <w:r w:rsidR="00275F09" w:rsidRPr="00892408">
        <w:rPr>
          <w:rFonts w:ascii="Tahoma" w:hAnsi="Tahoma" w:cs="Tahoma"/>
          <w:b/>
          <w:sz w:val="22"/>
          <w:szCs w:val="22"/>
        </w:rPr>
        <w:t>Bildu-Nafarroa</w:t>
      </w:r>
      <w:r w:rsidRPr="00892408">
        <w:rPr>
          <w:rFonts w:ascii="Tahoma" w:hAnsi="Tahoma" w:cs="Tahoma"/>
          <w:sz w:val="22"/>
          <w:szCs w:val="22"/>
        </w:rPr>
        <w:t>, relativa al tratamiento de las prospecciones en el subsuelo, por la presente tiene el honor de informar lo siguiente:</w:t>
      </w:r>
    </w:p>
    <w:p w:rsidR="00B75737" w:rsidRDefault="00641261" w:rsidP="009C0FAE">
      <w:pPr>
        <w:rPr>
          <w:rFonts w:ascii="Tahoma" w:hAnsi="Tahoma" w:cs="Tahoma"/>
          <w:b/>
          <w:i/>
          <w:sz w:val="22"/>
          <w:szCs w:val="22"/>
        </w:rPr>
      </w:pPr>
      <w:r w:rsidRPr="00892408">
        <w:rPr>
          <w:rFonts w:ascii="Tahoma" w:hAnsi="Tahoma" w:cs="Tahoma"/>
          <w:b/>
          <w:i/>
          <w:sz w:val="22"/>
          <w:szCs w:val="22"/>
        </w:rPr>
        <w:t>¿</w:t>
      </w:r>
      <w:r w:rsidR="00E04E9D" w:rsidRPr="00892408">
        <w:rPr>
          <w:rFonts w:ascii="Tahoma" w:hAnsi="Tahoma" w:cs="Tahoma"/>
          <w:b/>
          <w:i/>
          <w:sz w:val="22"/>
          <w:szCs w:val="22"/>
        </w:rPr>
        <w:t xml:space="preserve">Dispone el </w:t>
      </w:r>
      <w:r w:rsidR="009A0726" w:rsidRPr="00892408">
        <w:rPr>
          <w:rFonts w:ascii="Tahoma" w:hAnsi="Tahoma" w:cs="Tahoma"/>
          <w:b/>
          <w:i/>
          <w:sz w:val="22"/>
          <w:szCs w:val="22"/>
        </w:rPr>
        <w:t xml:space="preserve">Gobierno de Navarra </w:t>
      </w:r>
      <w:r w:rsidR="00E04E9D" w:rsidRPr="00892408">
        <w:rPr>
          <w:rFonts w:ascii="Tahoma" w:hAnsi="Tahoma" w:cs="Tahoma"/>
          <w:b/>
          <w:i/>
          <w:sz w:val="22"/>
          <w:szCs w:val="22"/>
        </w:rPr>
        <w:t>de protocolo alguno al objeto de conocer la ubicación de los mismos y su adecuado cierre y sellado</w:t>
      </w:r>
      <w:r w:rsidR="00C76A12" w:rsidRPr="00892408">
        <w:rPr>
          <w:rFonts w:ascii="Tahoma" w:hAnsi="Tahoma" w:cs="Tahoma"/>
          <w:b/>
          <w:i/>
          <w:sz w:val="22"/>
          <w:szCs w:val="22"/>
        </w:rPr>
        <w:t>?</w:t>
      </w:r>
      <w:r w:rsidR="00E04E9D" w:rsidRPr="00892408">
        <w:rPr>
          <w:rFonts w:ascii="Tahoma" w:hAnsi="Tahoma" w:cs="Tahoma"/>
          <w:b/>
          <w:i/>
          <w:sz w:val="22"/>
          <w:szCs w:val="22"/>
        </w:rPr>
        <w:t>”</w:t>
      </w:r>
    </w:p>
    <w:p w:rsidR="00B75737" w:rsidRDefault="000D2A88" w:rsidP="009C0FAE">
      <w:pPr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 xml:space="preserve">Antes de </w:t>
      </w:r>
      <w:r w:rsidR="00E532B0" w:rsidRPr="00892408">
        <w:rPr>
          <w:rFonts w:ascii="Tahoma" w:hAnsi="Tahoma" w:cs="Tahoma"/>
          <w:sz w:val="22"/>
          <w:szCs w:val="22"/>
        </w:rPr>
        <w:t xml:space="preserve">responder a la pregunta, conviene citar lo que sobre esta cuestión establece la normativa minera. </w:t>
      </w:r>
    </w:p>
    <w:p w:rsidR="00B75737" w:rsidRDefault="00E532B0" w:rsidP="00E532B0">
      <w:pPr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>En primer lugar, el artículo 109 del Reglamento General de Normas Básicas de Seguridad, aprobado por el Real Decreto 863/1985, de 2 de abril, establece que “</w:t>
      </w:r>
      <w:r w:rsidRPr="00892408">
        <w:rPr>
          <w:rFonts w:ascii="Tahoma" w:hAnsi="Tahoma" w:cs="Tahoma"/>
          <w:i/>
          <w:sz w:val="22"/>
          <w:szCs w:val="22"/>
          <w:u w:val="single"/>
        </w:rPr>
        <w:t>Los sondeos terrestres</w:t>
      </w:r>
      <w:r w:rsidRPr="00892408">
        <w:rPr>
          <w:rFonts w:ascii="Tahoma" w:hAnsi="Tahoma" w:cs="Tahoma"/>
          <w:i/>
          <w:sz w:val="22"/>
          <w:szCs w:val="22"/>
        </w:rPr>
        <w:t xml:space="preserve"> y marítimos, las calicatas, los pocillos, los trabajos geofísicos, los reconocimientos de labores antiguas u otros de prospección </w:t>
      </w:r>
      <w:r w:rsidRPr="00892408">
        <w:rPr>
          <w:rFonts w:ascii="Tahoma" w:hAnsi="Tahoma" w:cs="Tahoma"/>
          <w:i/>
          <w:sz w:val="22"/>
          <w:szCs w:val="22"/>
          <w:u w:val="single"/>
        </w:rPr>
        <w:t>precisarán de un proyecto aprobado, se realizarán bajo las órdenes de un director facultativo</w:t>
      </w:r>
      <w:r w:rsidRPr="00892408">
        <w:rPr>
          <w:rFonts w:ascii="Tahoma" w:hAnsi="Tahoma" w:cs="Tahoma"/>
          <w:i/>
          <w:sz w:val="22"/>
          <w:szCs w:val="22"/>
        </w:rPr>
        <w:t xml:space="preserve"> y atendrán a lo dispuesto en el presente Reglamento</w:t>
      </w:r>
      <w:r w:rsidRPr="00892408">
        <w:rPr>
          <w:rFonts w:ascii="Tahoma" w:hAnsi="Tahoma" w:cs="Tahoma"/>
          <w:sz w:val="22"/>
          <w:szCs w:val="22"/>
        </w:rPr>
        <w:t xml:space="preserve">.” Es decir, los sondeos deben hacerse conforme a un proyecto redactado por </w:t>
      </w:r>
      <w:r w:rsidR="000D2A88" w:rsidRPr="00892408">
        <w:rPr>
          <w:rFonts w:ascii="Tahoma" w:hAnsi="Tahoma" w:cs="Tahoma"/>
          <w:sz w:val="22"/>
          <w:szCs w:val="22"/>
        </w:rPr>
        <w:t>técnico</w:t>
      </w:r>
      <w:r w:rsidRPr="00892408">
        <w:rPr>
          <w:rFonts w:ascii="Tahoma" w:hAnsi="Tahoma" w:cs="Tahoma"/>
          <w:sz w:val="22"/>
          <w:szCs w:val="22"/>
        </w:rPr>
        <w:t xml:space="preserve"> competente, aprobarse por el órgano competente en minería y ejecutarse bajo la dirección de una dirección facultativa, es decir, </w:t>
      </w:r>
      <w:r w:rsidR="000D2A88" w:rsidRPr="00892408">
        <w:rPr>
          <w:rFonts w:ascii="Tahoma" w:hAnsi="Tahoma" w:cs="Tahoma"/>
          <w:sz w:val="22"/>
          <w:szCs w:val="22"/>
        </w:rPr>
        <w:t xml:space="preserve">de </w:t>
      </w:r>
      <w:r w:rsidRPr="00892408">
        <w:rPr>
          <w:rFonts w:ascii="Tahoma" w:hAnsi="Tahoma" w:cs="Tahoma"/>
          <w:sz w:val="22"/>
          <w:szCs w:val="22"/>
        </w:rPr>
        <w:t>un</w:t>
      </w:r>
      <w:r w:rsidR="00267C70" w:rsidRPr="00892408">
        <w:rPr>
          <w:rFonts w:ascii="Tahoma" w:hAnsi="Tahoma" w:cs="Tahoma"/>
          <w:sz w:val="22"/>
          <w:szCs w:val="22"/>
        </w:rPr>
        <w:t>/</w:t>
      </w:r>
      <w:r w:rsidRPr="00892408">
        <w:rPr>
          <w:rFonts w:ascii="Tahoma" w:hAnsi="Tahoma" w:cs="Tahoma"/>
          <w:sz w:val="22"/>
          <w:szCs w:val="22"/>
        </w:rPr>
        <w:t>a técnic</w:t>
      </w:r>
      <w:r w:rsidR="000D2A88" w:rsidRPr="00892408">
        <w:rPr>
          <w:rFonts w:ascii="Tahoma" w:hAnsi="Tahoma" w:cs="Tahoma"/>
          <w:sz w:val="22"/>
          <w:szCs w:val="22"/>
        </w:rPr>
        <w:t>o</w:t>
      </w:r>
      <w:r w:rsidRPr="00892408">
        <w:rPr>
          <w:rFonts w:ascii="Tahoma" w:hAnsi="Tahoma" w:cs="Tahoma"/>
          <w:sz w:val="22"/>
          <w:szCs w:val="22"/>
        </w:rPr>
        <w:t xml:space="preserve"> competente. </w:t>
      </w:r>
    </w:p>
    <w:p w:rsidR="00B75737" w:rsidRDefault="00E532B0" w:rsidP="00E532B0">
      <w:pPr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 xml:space="preserve">Esto mismo se define con mayor precisión en </w:t>
      </w:r>
      <w:smartTag w:uri="urn:schemas-microsoft-com:office:smarttags" w:element="PersonName">
        <w:smartTagPr>
          <w:attr w:name="ProductID" w:val="la ITC"/>
        </w:smartTagPr>
        <w:r w:rsidRPr="00892408">
          <w:rPr>
            <w:rFonts w:ascii="Tahoma" w:hAnsi="Tahoma" w:cs="Tahoma"/>
            <w:sz w:val="22"/>
            <w:szCs w:val="22"/>
          </w:rPr>
          <w:t>la ITC</w:t>
        </w:r>
      </w:smartTag>
      <w:r w:rsidRPr="00892408">
        <w:rPr>
          <w:rFonts w:ascii="Tahoma" w:hAnsi="Tahoma" w:cs="Tahoma"/>
          <w:sz w:val="22"/>
          <w:szCs w:val="22"/>
        </w:rPr>
        <w:t>: 06.0.01 - Prescripciones generales del capítulo VI - Trabajos especiales, prospecciones y sondeos</w:t>
      </w:r>
      <w:r w:rsidR="00294530" w:rsidRPr="00892408">
        <w:rPr>
          <w:rFonts w:ascii="Tahoma" w:hAnsi="Tahoma" w:cs="Tahoma"/>
          <w:sz w:val="22"/>
          <w:szCs w:val="22"/>
        </w:rPr>
        <w:t xml:space="preserve"> del citado Reglamento, aprobada por Orden de 2 de octubre de 1985.</w:t>
      </w:r>
    </w:p>
    <w:p w:rsidR="00B75737" w:rsidRDefault="00294530" w:rsidP="00294530">
      <w:pPr>
        <w:rPr>
          <w:rFonts w:ascii="Tahoma" w:hAnsi="Tahoma" w:cs="Tahoma"/>
          <w:i/>
          <w:sz w:val="22"/>
          <w:szCs w:val="22"/>
        </w:rPr>
      </w:pPr>
      <w:r w:rsidRPr="00892408">
        <w:rPr>
          <w:rFonts w:ascii="Tahoma" w:hAnsi="Tahoma" w:cs="Tahoma"/>
          <w:i/>
          <w:sz w:val="22"/>
          <w:szCs w:val="22"/>
        </w:rPr>
        <w:t>“1. Proyecto.</w:t>
      </w:r>
    </w:p>
    <w:p w:rsidR="00B75737" w:rsidRDefault="00294530" w:rsidP="00294530">
      <w:pPr>
        <w:rPr>
          <w:rFonts w:ascii="Tahoma" w:hAnsi="Tahoma" w:cs="Tahoma"/>
          <w:i/>
          <w:sz w:val="22"/>
          <w:szCs w:val="22"/>
        </w:rPr>
      </w:pPr>
      <w:r w:rsidRPr="00892408">
        <w:rPr>
          <w:rFonts w:ascii="Tahoma" w:hAnsi="Tahoma" w:cs="Tahoma"/>
          <w:i/>
          <w:sz w:val="22"/>
          <w:szCs w:val="22"/>
          <w:u w:val="single"/>
        </w:rPr>
        <w:t>En la relación del proyecto reglamentario para sondeos terrestres</w:t>
      </w:r>
      <w:r w:rsidRPr="00892408">
        <w:rPr>
          <w:rFonts w:ascii="Tahoma" w:hAnsi="Tahoma" w:cs="Tahoma"/>
          <w:i/>
          <w:sz w:val="22"/>
          <w:szCs w:val="22"/>
        </w:rPr>
        <w:t xml:space="preserve"> y marítimos, calicatas, pocillos, trabajos geofísicos, reconocimientos de labores antiguas u otros trabajos de prospección, se tendrá en cuenta lo siguiente:</w:t>
      </w:r>
    </w:p>
    <w:p w:rsidR="00294530" w:rsidRPr="00892408" w:rsidRDefault="00294530" w:rsidP="00294530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i/>
          <w:sz w:val="22"/>
          <w:szCs w:val="22"/>
        </w:rPr>
      </w:pPr>
      <w:r w:rsidRPr="00892408">
        <w:rPr>
          <w:rFonts w:ascii="Tahoma" w:hAnsi="Tahoma" w:cs="Tahoma"/>
          <w:i/>
          <w:sz w:val="22"/>
          <w:szCs w:val="22"/>
          <w:u w:val="single"/>
        </w:rPr>
        <w:t>En el proyecto deberá figurar</w:t>
      </w:r>
      <w:r w:rsidRPr="00892408">
        <w:rPr>
          <w:rFonts w:ascii="Tahoma" w:hAnsi="Tahoma" w:cs="Tahoma"/>
          <w:i/>
          <w:sz w:val="22"/>
          <w:szCs w:val="22"/>
        </w:rPr>
        <w:t xml:space="preserve"> la descripción de los trabajos a realizar y la maquinaria a emplear, así como </w:t>
      </w:r>
      <w:r w:rsidRPr="00892408">
        <w:rPr>
          <w:rFonts w:ascii="Tahoma" w:hAnsi="Tahoma" w:cs="Tahoma"/>
          <w:i/>
          <w:sz w:val="22"/>
          <w:szCs w:val="22"/>
          <w:u w:val="single"/>
        </w:rPr>
        <w:t>las medidas de seguridad</w:t>
      </w:r>
      <w:r w:rsidRPr="00892408">
        <w:rPr>
          <w:rFonts w:ascii="Tahoma" w:hAnsi="Tahoma" w:cs="Tahoma"/>
          <w:i/>
          <w:sz w:val="22"/>
          <w:szCs w:val="22"/>
        </w:rPr>
        <w:t xml:space="preserve"> e higiene que se piensan adoptar.</w:t>
      </w:r>
    </w:p>
    <w:p w:rsidR="00294530" w:rsidRPr="00892408" w:rsidRDefault="00294530" w:rsidP="00294530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i/>
          <w:sz w:val="22"/>
          <w:szCs w:val="22"/>
        </w:rPr>
      </w:pPr>
      <w:r w:rsidRPr="00892408">
        <w:rPr>
          <w:rFonts w:ascii="Tahoma" w:hAnsi="Tahoma" w:cs="Tahoma"/>
          <w:i/>
          <w:sz w:val="22"/>
          <w:szCs w:val="22"/>
          <w:u w:val="single"/>
        </w:rPr>
        <w:t>El proyecto habrá de ser redactado y firmado por un técnico capacitado oficialmente</w:t>
      </w:r>
      <w:r w:rsidRPr="00892408">
        <w:rPr>
          <w:rFonts w:ascii="Tahoma" w:hAnsi="Tahoma" w:cs="Tahoma"/>
          <w:i/>
          <w:sz w:val="22"/>
          <w:szCs w:val="22"/>
        </w:rPr>
        <w:t xml:space="preserve"> para ello.</w:t>
      </w:r>
    </w:p>
    <w:p w:rsidR="00294530" w:rsidRPr="00892408" w:rsidRDefault="00294530" w:rsidP="00294530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i/>
          <w:sz w:val="22"/>
          <w:szCs w:val="22"/>
        </w:rPr>
      </w:pPr>
      <w:r w:rsidRPr="00892408">
        <w:rPr>
          <w:rFonts w:ascii="Tahoma" w:hAnsi="Tahoma" w:cs="Tahoma"/>
          <w:i/>
          <w:sz w:val="22"/>
          <w:szCs w:val="22"/>
          <w:u w:val="single"/>
        </w:rPr>
        <w:t>Cualquier modificación importante en el proyecto ya aprobado deberá ser sometida a nueva aprobación por la autoridad minera</w:t>
      </w:r>
      <w:r w:rsidRPr="00892408">
        <w:rPr>
          <w:rFonts w:ascii="Tahoma" w:hAnsi="Tahoma" w:cs="Tahoma"/>
          <w:i/>
          <w:sz w:val="22"/>
          <w:szCs w:val="22"/>
        </w:rPr>
        <w:t>.</w:t>
      </w:r>
    </w:p>
    <w:p w:rsidR="00294530" w:rsidRPr="00892408" w:rsidRDefault="00294530" w:rsidP="00294530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i/>
          <w:sz w:val="22"/>
          <w:szCs w:val="22"/>
        </w:rPr>
      </w:pPr>
      <w:r w:rsidRPr="00892408">
        <w:rPr>
          <w:rFonts w:ascii="Tahoma" w:hAnsi="Tahoma" w:cs="Tahoma"/>
          <w:i/>
          <w:sz w:val="22"/>
          <w:szCs w:val="22"/>
        </w:rPr>
        <w:t>No será precisa la presentación de proyecto cuando los trabajos de prospección sean solamente geológicos de carácter superficial.</w:t>
      </w:r>
    </w:p>
    <w:p w:rsidR="00B75737" w:rsidRDefault="00294530" w:rsidP="00294530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Tahoma" w:hAnsi="Tahoma" w:cs="Tahoma"/>
          <w:i/>
          <w:sz w:val="22"/>
          <w:szCs w:val="22"/>
        </w:rPr>
      </w:pPr>
      <w:r w:rsidRPr="00892408">
        <w:rPr>
          <w:rFonts w:ascii="Tahoma" w:hAnsi="Tahoma" w:cs="Tahoma"/>
          <w:i/>
          <w:sz w:val="22"/>
          <w:szCs w:val="22"/>
        </w:rPr>
        <w:t>Tampoco necesitarán presentación de proyecto los sondeos o labores de prospección que se realicen en el desarrollo normal de una explotación minera.”</w:t>
      </w:r>
    </w:p>
    <w:p w:rsidR="00B75737" w:rsidRDefault="007E289D" w:rsidP="009C0FAE">
      <w:pPr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>A esta norma, cabe añadir lo establecido por el Real Decreto 975/2009, de 12 de junio, sobre gestión de los residuos de las industrias extractivas y de protección y rehabilitación del espacio afectado por actividades mineras, que es de aplicación, según su artículo 2.1, “</w:t>
      </w:r>
      <w:r w:rsidRPr="00892408">
        <w:rPr>
          <w:rFonts w:ascii="Tahoma" w:hAnsi="Tahoma" w:cs="Tahoma"/>
          <w:i/>
          <w:sz w:val="22"/>
          <w:szCs w:val="22"/>
        </w:rPr>
        <w:t>a todas las actividades de investigación y aprovechamiento de los yacimientos minerales y demás recursos geológicos</w:t>
      </w:r>
      <w:r w:rsidRPr="00892408">
        <w:rPr>
          <w:rFonts w:ascii="Tahoma" w:hAnsi="Tahoma" w:cs="Tahoma"/>
          <w:sz w:val="22"/>
          <w:szCs w:val="22"/>
        </w:rPr>
        <w:t>” y, por lo tanto, también a los sondeos mineros. En su artículo 3 se indica que “</w:t>
      </w:r>
      <w:r w:rsidRPr="00892408">
        <w:rPr>
          <w:rFonts w:ascii="Tahoma" w:hAnsi="Tahoma" w:cs="Tahoma"/>
          <w:i/>
          <w:sz w:val="22"/>
          <w:szCs w:val="22"/>
          <w:u w:val="single"/>
        </w:rPr>
        <w:t>La entidad explotadora está obligada a tomar todas las medidas necesarias para prevenir o reducir en lo posible cualquier efecto negativo</w:t>
      </w:r>
      <w:r w:rsidRPr="00892408">
        <w:rPr>
          <w:rFonts w:ascii="Tahoma" w:hAnsi="Tahoma" w:cs="Tahoma"/>
          <w:i/>
          <w:sz w:val="22"/>
          <w:szCs w:val="22"/>
        </w:rPr>
        <w:t xml:space="preserve"> sobre el medio ambiente y </w:t>
      </w:r>
      <w:r w:rsidRPr="00892408">
        <w:rPr>
          <w:rFonts w:ascii="Tahoma" w:hAnsi="Tahoma" w:cs="Tahoma"/>
          <w:i/>
          <w:sz w:val="22"/>
          <w:szCs w:val="22"/>
          <w:u w:val="single"/>
        </w:rPr>
        <w:t>sobre la salud de las personas derivado de la investigación</w:t>
      </w:r>
      <w:r w:rsidRPr="00892408">
        <w:rPr>
          <w:rFonts w:ascii="Tahoma" w:hAnsi="Tahoma" w:cs="Tahoma"/>
          <w:i/>
          <w:sz w:val="22"/>
          <w:szCs w:val="22"/>
        </w:rPr>
        <w:t xml:space="preserve"> y aprovechamiento de recursos minerales.”</w:t>
      </w:r>
    </w:p>
    <w:p w:rsidR="00B75737" w:rsidRDefault="007E289D" w:rsidP="009C0FAE">
      <w:pPr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 xml:space="preserve">Por último, y aunque no es normativa minera y, por lo tanto, está fuera del ámbito de competencia de </w:t>
      </w:r>
      <w:smartTag w:uri="urn:schemas-microsoft-com:office:smarttags" w:element="PersonName">
        <w:smartTagPr>
          <w:attr w:name="ProductID" w:val="官ैè֐"/>
        </w:smartTagPr>
        <w:smartTag w:uri="urn:schemas-microsoft-com:office:smarttags" w:element="PersonName">
          <w:smartTagPr>
            <w:attr w:name="ProductID" w:val="la Direcci￳n"/>
          </w:smartTagPr>
          <w:r w:rsidRPr="00892408">
            <w:rPr>
              <w:rFonts w:ascii="Tahoma" w:hAnsi="Tahoma" w:cs="Tahoma"/>
              <w:sz w:val="22"/>
              <w:szCs w:val="22"/>
            </w:rPr>
            <w:t>la Dirección</w:t>
          </w:r>
        </w:smartTag>
        <w:r w:rsidRPr="00892408">
          <w:rPr>
            <w:rFonts w:ascii="Tahoma" w:hAnsi="Tahoma" w:cs="Tahoma"/>
            <w:sz w:val="22"/>
            <w:szCs w:val="22"/>
          </w:rPr>
          <w:t xml:space="preserve"> General</w:t>
        </w:r>
      </w:smartTag>
      <w:r w:rsidRPr="00892408">
        <w:rPr>
          <w:rFonts w:ascii="Tahoma" w:hAnsi="Tahoma" w:cs="Tahoma"/>
          <w:sz w:val="22"/>
          <w:szCs w:val="22"/>
        </w:rPr>
        <w:t xml:space="preserve"> de Industria, Energía e Innovación, cabe citar el artículo 188 bis. Sellado de captaciones de agua subterránea, del Reglamento del Dominio Público, aprobado por el Real Decreto 849/1986, de 11 de abril, que establece que “</w:t>
      </w:r>
      <w:r w:rsidRPr="00892408">
        <w:rPr>
          <w:rFonts w:ascii="Tahoma" w:hAnsi="Tahoma" w:cs="Tahoma"/>
          <w:i/>
          <w:sz w:val="22"/>
          <w:szCs w:val="22"/>
        </w:rPr>
        <w:t xml:space="preserve">En los expedientes de extinción, revisión o modificación de derechos de aguas subterráneas que </w:t>
      </w:r>
      <w:r w:rsidRPr="00892408">
        <w:rPr>
          <w:rFonts w:ascii="Tahoma" w:hAnsi="Tahoma" w:cs="Tahoma"/>
          <w:i/>
          <w:sz w:val="22"/>
          <w:szCs w:val="22"/>
        </w:rPr>
        <w:lastRenderedPageBreak/>
        <w:t>conlleven el cese de la actividad extractiva, se adoptarán las medidas necesarias para garantizar el sellado por parte del titular de los pozos, sondeos u obras asimilables</w:t>
      </w:r>
      <w:r w:rsidRPr="00892408">
        <w:rPr>
          <w:rFonts w:ascii="Tahoma" w:hAnsi="Tahoma" w:cs="Tahoma"/>
          <w:sz w:val="22"/>
          <w:szCs w:val="22"/>
        </w:rPr>
        <w:t xml:space="preserve"> […]”, lo cual también es “</w:t>
      </w:r>
      <w:r w:rsidRPr="00892408">
        <w:rPr>
          <w:rFonts w:ascii="Tahoma" w:hAnsi="Tahoma" w:cs="Tahoma"/>
          <w:i/>
          <w:sz w:val="22"/>
          <w:szCs w:val="22"/>
        </w:rPr>
        <w:t>de aplicación a las autorizaciones de investigación de aguas subterráneas</w:t>
      </w:r>
      <w:r w:rsidRPr="00892408">
        <w:rPr>
          <w:rFonts w:ascii="Tahoma" w:hAnsi="Tahoma" w:cs="Tahoma"/>
          <w:sz w:val="22"/>
          <w:szCs w:val="22"/>
        </w:rPr>
        <w:t>”.</w:t>
      </w:r>
    </w:p>
    <w:p w:rsidR="00B75737" w:rsidRDefault="007E289D" w:rsidP="009C0FAE">
      <w:pPr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 xml:space="preserve">Por lo tanto, tanto la normativa minera como de aguas prevén que en la </w:t>
      </w:r>
      <w:r w:rsidR="00110E5F" w:rsidRPr="00892408">
        <w:rPr>
          <w:rFonts w:ascii="Tahoma" w:hAnsi="Tahoma" w:cs="Tahoma"/>
          <w:sz w:val="22"/>
          <w:szCs w:val="22"/>
        </w:rPr>
        <w:t>ejecución</w:t>
      </w:r>
      <w:r w:rsidRPr="00892408">
        <w:rPr>
          <w:rFonts w:ascii="Tahoma" w:hAnsi="Tahoma" w:cs="Tahoma"/>
          <w:sz w:val="22"/>
          <w:szCs w:val="22"/>
        </w:rPr>
        <w:t xml:space="preserve"> y abandono de sondeos se to</w:t>
      </w:r>
      <w:r w:rsidR="00436D1F" w:rsidRPr="00892408">
        <w:rPr>
          <w:rFonts w:ascii="Tahoma" w:hAnsi="Tahoma" w:cs="Tahoma"/>
          <w:sz w:val="22"/>
          <w:szCs w:val="22"/>
        </w:rPr>
        <w:t xml:space="preserve">men las medidas necesarias en materia de seguridad de las personas, además del cuidado del medio ambiente. </w:t>
      </w:r>
    </w:p>
    <w:p w:rsidR="00B75737" w:rsidRDefault="000D2A88" w:rsidP="009C0FAE">
      <w:pPr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>De lo anterior se deduce que el órgano competente en minería conoce la ubicación de todos los sondeos que se realizan conforme a la normativa minera, puesto que tiene que autorizarlos, y que en los mismos se adoptan las medidas precisas para velar por la seguridad y salud de las personas y minimizar el impacto ambiental, tanto durante su ejecución como de forma posterior. Esto implica que estos sondeos siempre se sellan tras su ejecución.</w:t>
      </w:r>
    </w:p>
    <w:p w:rsidR="00B75737" w:rsidRDefault="000D2A88" w:rsidP="009C0FAE">
      <w:pPr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>Cuestión distinta es lo que pueda suceder con aquellos sondeos ilegales o cuya realización no se comunica al órgano competente en minería.</w:t>
      </w:r>
    </w:p>
    <w:p w:rsidR="00B75737" w:rsidRDefault="000D2A88" w:rsidP="000D2A88">
      <w:pPr>
        <w:rPr>
          <w:rFonts w:ascii="Tahoma" w:hAnsi="Tahoma" w:cs="Tahoma"/>
          <w:b/>
          <w:i/>
          <w:sz w:val="22"/>
          <w:szCs w:val="22"/>
        </w:rPr>
      </w:pPr>
      <w:r w:rsidRPr="00892408">
        <w:rPr>
          <w:rFonts w:ascii="Tahoma" w:hAnsi="Tahoma" w:cs="Tahoma"/>
          <w:b/>
          <w:i/>
          <w:sz w:val="22"/>
          <w:szCs w:val="22"/>
        </w:rPr>
        <w:t>“¿Cuántas prospecciones en suelo navarro se han realizado en los últimos tres años?”</w:t>
      </w:r>
    </w:p>
    <w:p w:rsidR="00B75737" w:rsidRDefault="000D2A88" w:rsidP="009C0FAE">
      <w:pPr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 xml:space="preserve">En el Servicio de Energía, </w:t>
      </w:r>
      <w:smartTag w:uri="urn:schemas-microsoft-com:office:smarttags" w:element="PersonName">
        <w:r w:rsidRPr="00892408">
          <w:rPr>
            <w:rFonts w:ascii="Tahoma" w:hAnsi="Tahoma" w:cs="Tahoma"/>
            <w:sz w:val="22"/>
            <w:szCs w:val="22"/>
          </w:rPr>
          <w:t>Minas</w:t>
        </w:r>
      </w:smartTag>
      <w:r w:rsidRPr="00892408">
        <w:rPr>
          <w:rFonts w:ascii="Tahoma" w:hAnsi="Tahoma" w:cs="Tahoma"/>
          <w:sz w:val="22"/>
          <w:szCs w:val="22"/>
        </w:rPr>
        <w:t xml:space="preserve"> y Seguridad Industrial constan la ejecución de los siguientes sondeos en los últimos tres años:</w:t>
      </w:r>
    </w:p>
    <w:p w:rsidR="000D2A88" w:rsidRPr="00892408" w:rsidRDefault="000D2A88" w:rsidP="009C0FAE">
      <w:pPr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 xml:space="preserve">2016: </w:t>
      </w:r>
      <w:r w:rsidR="00A821BB" w:rsidRPr="00892408">
        <w:rPr>
          <w:rFonts w:ascii="Tahoma" w:hAnsi="Tahoma" w:cs="Tahoma"/>
          <w:sz w:val="22"/>
          <w:szCs w:val="22"/>
        </w:rPr>
        <w:t>21</w:t>
      </w:r>
      <w:r w:rsidRPr="00892408">
        <w:rPr>
          <w:rFonts w:ascii="Tahoma" w:hAnsi="Tahoma" w:cs="Tahoma"/>
          <w:sz w:val="22"/>
          <w:szCs w:val="22"/>
        </w:rPr>
        <w:t xml:space="preserve"> sondeos en </w:t>
      </w:r>
      <w:proofErr w:type="spellStart"/>
      <w:r w:rsidRPr="00892408">
        <w:rPr>
          <w:rFonts w:ascii="Tahoma" w:hAnsi="Tahoma" w:cs="Tahoma"/>
          <w:sz w:val="22"/>
          <w:szCs w:val="22"/>
        </w:rPr>
        <w:t>Esteribar</w:t>
      </w:r>
      <w:proofErr w:type="spellEnd"/>
      <w:r w:rsidRPr="00892408">
        <w:rPr>
          <w:rFonts w:ascii="Tahoma" w:hAnsi="Tahoma" w:cs="Tahoma"/>
          <w:sz w:val="22"/>
          <w:szCs w:val="22"/>
        </w:rPr>
        <w:t>.</w:t>
      </w:r>
    </w:p>
    <w:p w:rsidR="000D2A88" w:rsidRPr="00892408" w:rsidRDefault="000D2A88" w:rsidP="009C0FAE">
      <w:pPr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 xml:space="preserve">2017: </w:t>
      </w:r>
      <w:r w:rsidR="00A821BB" w:rsidRPr="00892408">
        <w:rPr>
          <w:rFonts w:ascii="Tahoma" w:hAnsi="Tahoma" w:cs="Tahoma"/>
          <w:sz w:val="22"/>
          <w:szCs w:val="22"/>
        </w:rPr>
        <w:t>4</w:t>
      </w:r>
      <w:r w:rsidRPr="00892408">
        <w:rPr>
          <w:rFonts w:ascii="Tahoma" w:hAnsi="Tahoma" w:cs="Tahoma"/>
          <w:sz w:val="22"/>
          <w:szCs w:val="22"/>
        </w:rPr>
        <w:t xml:space="preserve"> sondeos en </w:t>
      </w:r>
      <w:proofErr w:type="spellStart"/>
      <w:r w:rsidRPr="00892408">
        <w:rPr>
          <w:rFonts w:ascii="Tahoma" w:hAnsi="Tahoma" w:cs="Tahoma"/>
          <w:sz w:val="22"/>
          <w:szCs w:val="22"/>
        </w:rPr>
        <w:t>Esteribar</w:t>
      </w:r>
      <w:proofErr w:type="spellEnd"/>
      <w:r w:rsidRPr="00892408">
        <w:rPr>
          <w:rFonts w:ascii="Tahoma" w:hAnsi="Tahoma" w:cs="Tahoma"/>
          <w:sz w:val="22"/>
          <w:szCs w:val="22"/>
        </w:rPr>
        <w:t xml:space="preserve">, 1 en </w:t>
      </w:r>
      <w:proofErr w:type="spellStart"/>
      <w:r w:rsidRPr="00892408">
        <w:rPr>
          <w:rFonts w:ascii="Tahoma" w:hAnsi="Tahoma" w:cs="Tahoma"/>
          <w:sz w:val="22"/>
          <w:szCs w:val="22"/>
        </w:rPr>
        <w:t>Úcar</w:t>
      </w:r>
      <w:proofErr w:type="spellEnd"/>
      <w:r w:rsidRPr="00892408">
        <w:rPr>
          <w:rFonts w:ascii="Tahoma" w:hAnsi="Tahoma" w:cs="Tahoma"/>
          <w:sz w:val="22"/>
          <w:szCs w:val="22"/>
        </w:rPr>
        <w:t xml:space="preserve">, 1 en </w:t>
      </w:r>
      <w:proofErr w:type="spellStart"/>
      <w:r w:rsidRPr="00892408">
        <w:rPr>
          <w:rFonts w:ascii="Tahoma" w:hAnsi="Tahoma" w:cs="Tahoma"/>
          <w:sz w:val="22"/>
          <w:szCs w:val="22"/>
        </w:rPr>
        <w:t>Galar</w:t>
      </w:r>
      <w:proofErr w:type="spellEnd"/>
      <w:r w:rsidRPr="00892408">
        <w:rPr>
          <w:rFonts w:ascii="Tahoma" w:hAnsi="Tahoma" w:cs="Tahoma"/>
          <w:sz w:val="22"/>
          <w:szCs w:val="22"/>
        </w:rPr>
        <w:t xml:space="preserve"> y 1 en </w:t>
      </w:r>
      <w:proofErr w:type="spellStart"/>
      <w:r w:rsidRPr="00892408">
        <w:rPr>
          <w:rFonts w:ascii="Tahoma" w:hAnsi="Tahoma" w:cs="Tahoma"/>
          <w:sz w:val="22"/>
          <w:szCs w:val="22"/>
        </w:rPr>
        <w:t>Liédena</w:t>
      </w:r>
      <w:proofErr w:type="spellEnd"/>
      <w:r w:rsidRPr="00892408">
        <w:rPr>
          <w:rFonts w:ascii="Tahoma" w:hAnsi="Tahoma" w:cs="Tahoma"/>
          <w:sz w:val="22"/>
          <w:szCs w:val="22"/>
        </w:rPr>
        <w:t>.</w:t>
      </w:r>
    </w:p>
    <w:p w:rsidR="00B75737" w:rsidRDefault="00A00E3A" w:rsidP="009C0FAE">
      <w:pPr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 xml:space="preserve">2018: 2 sondeos en </w:t>
      </w:r>
      <w:proofErr w:type="spellStart"/>
      <w:r w:rsidRPr="00892408">
        <w:rPr>
          <w:rFonts w:ascii="Tahoma" w:hAnsi="Tahoma" w:cs="Tahoma"/>
          <w:sz w:val="22"/>
          <w:szCs w:val="22"/>
        </w:rPr>
        <w:t>Galar</w:t>
      </w:r>
      <w:proofErr w:type="spellEnd"/>
      <w:r w:rsidRPr="00892408">
        <w:rPr>
          <w:rFonts w:ascii="Tahoma" w:hAnsi="Tahoma" w:cs="Tahoma"/>
          <w:sz w:val="22"/>
          <w:szCs w:val="22"/>
        </w:rPr>
        <w:t xml:space="preserve"> y 2 en </w:t>
      </w:r>
      <w:proofErr w:type="spellStart"/>
      <w:r w:rsidRPr="00892408">
        <w:rPr>
          <w:rFonts w:ascii="Tahoma" w:hAnsi="Tahoma" w:cs="Tahoma"/>
          <w:sz w:val="22"/>
          <w:szCs w:val="22"/>
        </w:rPr>
        <w:t>Liédena</w:t>
      </w:r>
      <w:proofErr w:type="spellEnd"/>
      <w:r w:rsidRPr="00892408">
        <w:rPr>
          <w:rFonts w:ascii="Tahoma" w:hAnsi="Tahoma" w:cs="Tahoma"/>
          <w:sz w:val="22"/>
          <w:szCs w:val="22"/>
        </w:rPr>
        <w:t>.</w:t>
      </w:r>
      <w:r w:rsidR="00AC4CAB" w:rsidRPr="00892408">
        <w:rPr>
          <w:rFonts w:ascii="Tahoma" w:hAnsi="Tahoma" w:cs="Tahoma"/>
          <w:sz w:val="22"/>
          <w:szCs w:val="22"/>
        </w:rPr>
        <w:t xml:space="preserve"> Además, se concedió autorización para ejecutar 12 sondeos en </w:t>
      </w:r>
      <w:proofErr w:type="spellStart"/>
      <w:r w:rsidR="00AC4CAB" w:rsidRPr="00892408">
        <w:rPr>
          <w:rFonts w:ascii="Tahoma" w:hAnsi="Tahoma" w:cs="Tahoma"/>
          <w:sz w:val="22"/>
          <w:szCs w:val="22"/>
        </w:rPr>
        <w:t>Esteribar</w:t>
      </w:r>
      <w:proofErr w:type="spellEnd"/>
      <w:r w:rsidR="00AC4CAB" w:rsidRPr="00892408">
        <w:rPr>
          <w:rFonts w:ascii="Tahoma" w:hAnsi="Tahoma" w:cs="Tahoma"/>
          <w:sz w:val="22"/>
          <w:szCs w:val="22"/>
        </w:rPr>
        <w:t>.</w:t>
      </w:r>
    </w:p>
    <w:p w:rsidR="00B75737" w:rsidRDefault="00A00E3A" w:rsidP="00A00E3A">
      <w:pPr>
        <w:rPr>
          <w:rFonts w:ascii="Tahoma" w:hAnsi="Tahoma" w:cs="Tahoma"/>
          <w:b/>
          <w:i/>
          <w:sz w:val="22"/>
          <w:szCs w:val="22"/>
        </w:rPr>
      </w:pPr>
      <w:r w:rsidRPr="00892408">
        <w:rPr>
          <w:rFonts w:ascii="Tahoma" w:hAnsi="Tahoma" w:cs="Tahoma"/>
          <w:b/>
          <w:i/>
          <w:sz w:val="22"/>
          <w:szCs w:val="22"/>
        </w:rPr>
        <w:t>“¿Dispone el Gobierno de Navarra de un mapa de ubicación de los mismos?”</w:t>
      </w:r>
    </w:p>
    <w:p w:rsidR="00B75737" w:rsidRDefault="00110E5F" w:rsidP="009C0FAE">
      <w:pPr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 xml:space="preserve">El Servicio de Energía, </w:t>
      </w:r>
      <w:smartTag w:uri="urn:schemas-microsoft-com:office:smarttags" w:element="PersonName">
        <w:r w:rsidRPr="00892408">
          <w:rPr>
            <w:rFonts w:ascii="Tahoma" w:hAnsi="Tahoma" w:cs="Tahoma"/>
            <w:sz w:val="22"/>
            <w:szCs w:val="22"/>
          </w:rPr>
          <w:t>Minas</w:t>
        </w:r>
      </w:smartTag>
      <w:r w:rsidRPr="00892408">
        <w:rPr>
          <w:rFonts w:ascii="Tahoma" w:hAnsi="Tahoma" w:cs="Tahoma"/>
          <w:sz w:val="22"/>
          <w:szCs w:val="22"/>
        </w:rPr>
        <w:t xml:space="preserve"> y Seguridad Industrial tiene conocimiento de la ubicación de cada uno de los sondeos que se autorizan. </w:t>
      </w:r>
    </w:p>
    <w:p w:rsidR="00B75737" w:rsidRDefault="00110E5F" w:rsidP="00110E5F">
      <w:pPr>
        <w:rPr>
          <w:rFonts w:ascii="Tahoma" w:hAnsi="Tahoma" w:cs="Tahoma"/>
          <w:b/>
          <w:i/>
          <w:sz w:val="22"/>
          <w:szCs w:val="22"/>
        </w:rPr>
      </w:pPr>
      <w:r w:rsidRPr="00892408">
        <w:rPr>
          <w:rFonts w:ascii="Tahoma" w:hAnsi="Tahoma" w:cs="Tahoma"/>
          <w:b/>
          <w:i/>
          <w:sz w:val="22"/>
          <w:szCs w:val="22"/>
        </w:rPr>
        <w:t>“¿Existe, en su caso, una señalización, control y tratamiento de dichas prospecciones?”</w:t>
      </w:r>
    </w:p>
    <w:p w:rsidR="00B75737" w:rsidRDefault="00110E5F" w:rsidP="009C0FAE">
      <w:pPr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 xml:space="preserve">Según indicado, durante su ejecución la empresa o persona autorizada es responsable de la adopción de las medidas de seguridad precisas para evitar accidentes e incidentes. Asimismo, una vez finalizado el trabajo, se procede tanto a su sellado como a la recuperación ambiental del entorno, sin que quede en la zona señal alguna. </w:t>
      </w:r>
    </w:p>
    <w:p w:rsidR="00B75737" w:rsidRDefault="00892408" w:rsidP="00892408">
      <w:pPr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 xml:space="preserve">Es cuanto tengo el honor de informar </w:t>
      </w:r>
      <w:bookmarkStart w:id="0" w:name="_GoBack"/>
      <w:bookmarkEnd w:id="0"/>
      <w:r w:rsidRPr="00892408">
        <w:rPr>
          <w:rFonts w:ascii="Tahoma" w:hAnsi="Tahoma" w:cs="Tahoma"/>
          <w:sz w:val="22"/>
          <w:szCs w:val="22"/>
        </w:rPr>
        <w:t>en cumplimiento de lo dispuesto en el artículo 194 del Reglamento del Parlamento de Navarra.</w:t>
      </w:r>
    </w:p>
    <w:p w:rsidR="00B75737" w:rsidRDefault="00AA7BD4" w:rsidP="00892408">
      <w:pPr>
        <w:jc w:val="center"/>
        <w:rPr>
          <w:rFonts w:ascii="Tahoma" w:hAnsi="Tahoma" w:cs="Tahoma"/>
          <w:sz w:val="22"/>
          <w:szCs w:val="22"/>
        </w:rPr>
      </w:pPr>
      <w:r w:rsidRPr="00892408">
        <w:rPr>
          <w:rFonts w:ascii="Tahoma" w:hAnsi="Tahoma" w:cs="Tahoma"/>
          <w:sz w:val="22"/>
          <w:szCs w:val="22"/>
        </w:rPr>
        <w:t xml:space="preserve">Pamplona, a </w:t>
      </w:r>
      <w:r w:rsidR="00892408" w:rsidRPr="00892408">
        <w:rPr>
          <w:rFonts w:ascii="Tahoma" w:hAnsi="Tahoma" w:cs="Tahoma"/>
          <w:sz w:val="22"/>
          <w:szCs w:val="22"/>
        </w:rPr>
        <w:t>30</w:t>
      </w:r>
      <w:r w:rsidR="00A00E3A" w:rsidRPr="00892408">
        <w:rPr>
          <w:rFonts w:ascii="Tahoma" w:hAnsi="Tahoma" w:cs="Tahoma"/>
          <w:sz w:val="22"/>
          <w:szCs w:val="22"/>
        </w:rPr>
        <w:t xml:space="preserve"> de enero de 2019</w:t>
      </w:r>
      <w:r w:rsidR="00C76A12" w:rsidRPr="00892408">
        <w:rPr>
          <w:rFonts w:ascii="Tahoma" w:hAnsi="Tahoma" w:cs="Tahoma"/>
          <w:sz w:val="22"/>
          <w:szCs w:val="22"/>
        </w:rPr>
        <w:t>.</w:t>
      </w:r>
    </w:p>
    <w:p w:rsidR="00B75737" w:rsidRPr="00892408" w:rsidRDefault="00B75737" w:rsidP="00B75737">
      <w:pPr>
        <w:tabs>
          <w:tab w:val="left" w:pos="2268"/>
        </w:tabs>
        <w:spacing w:line="360" w:lineRule="auto"/>
        <w:ind w:right="140"/>
        <w:rPr>
          <w:sz w:val="22"/>
          <w:szCs w:val="22"/>
        </w:rPr>
      </w:pPr>
      <w:r>
        <w:rPr>
          <w:sz w:val="22"/>
          <w:szCs w:val="22"/>
        </w:rPr>
        <w:t xml:space="preserve">El </w:t>
      </w:r>
      <w:r w:rsidR="00A64F1F">
        <w:rPr>
          <w:sz w:val="22"/>
          <w:szCs w:val="22"/>
        </w:rPr>
        <w:t>Vicepresidente primero y Consejero de Desarrollo Económico</w:t>
      </w:r>
      <w:r>
        <w:rPr>
          <w:sz w:val="22"/>
          <w:szCs w:val="22"/>
        </w:rPr>
        <w:t xml:space="preserve">: </w:t>
      </w:r>
    </w:p>
    <w:p w:rsidR="00B75737" w:rsidRDefault="00B75737" w:rsidP="00B75737">
      <w:pPr>
        <w:tabs>
          <w:tab w:val="left" w:pos="2268"/>
        </w:tabs>
        <w:spacing w:line="360" w:lineRule="auto"/>
        <w:ind w:right="140"/>
        <w:jc w:val="center"/>
        <w:rPr>
          <w:sz w:val="22"/>
          <w:szCs w:val="22"/>
        </w:rPr>
      </w:pPr>
      <w:smartTag w:uri="urn:schemas-microsoft-com:office:smarttags" w:element="PersonName">
        <w:smartTagPr>
          <w:attr w:name="ProductID" w:val="Manu Ayerdi"/>
        </w:smartTagPr>
        <w:r w:rsidRPr="00892408">
          <w:rPr>
            <w:sz w:val="22"/>
            <w:szCs w:val="22"/>
          </w:rPr>
          <w:t xml:space="preserve">Manu </w:t>
        </w:r>
        <w:proofErr w:type="spellStart"/>
        <w:r w:rsidRPr="00892408">
          <w:rPr>
            <w:sz w:val="22"/>
            <w:szCs w:val="22"/>
          </w:rPr>
          <w:t>Ayerdi</w:t>
        </w:r>
      </w:smartTag>
      <w:proofErr w:type="spellEnd"/>
      <w:r w:rsidRPr="00892408">
        <w:rPr>
          <w:sz w:val="22"/>
          <w:szCs w:val="22"/>
        </w:rPr>
        <w:t xml:space="preserve"> </w:t>
      </w:r>
      <w:proofErr w:type="spellStart"/>
      <w:r w:rsidRPr="00892408">
        <w:rPr>
          <w:sz w:val="22"/>
          <w:szCs w:val="22"/>
        </w:rPr>
        <w:t>Olaizola</w:t>
      </w:r>
      <w:proofErr w:type="spellEnd"/>
    </w:p>
    <w:p w:rsidR="00A64F1F" w:rsidRPr="00892408" w:rsidRDefault="00A64F1F" w:rsidP="00A64F1F">
      <w:pPr>
        <w:tabs>
          <w:tab w:val="left" w:pos="2268"/>
        </w:tabs>
        <w:spacing w:line="360" w:lineRule="auto"/>
        <w:ind w:right="140"/>
        <w:jc w:val="left"/>
        <w:rPr>
          <w:sz w:val="22"/>
          <w:szCs w:val="22"/>
        </w:rPr>
      </w:pPr>
    </w:p>
    <w:sectPr w:rsidR="00A64F1F" w:rsidRPr="00892408" w:rsidSect="00B7573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410" w:right="1134" w:bottom="1276" w:left="1985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EE" w:rsidRDefault="00764AEE">
      <w:r>
        <w:separator/>
      </w:r>
    </w:p>
  </w:endnote>
  <w:endnote w:type="continuationSeparator" w:id="0">
    <w:p w:rsidR="00764AEE" w:rsidRDefault="0076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1310" w:type="dxa"/>
      <w:tblLook w:val="01E0" w:firstRow="1" w:lastRow="1" w:firstColumn="1" w:lastColumn="1" w:noHBand="0" w:noVBand="0"/>
    </w:tblPr>
    <w:tblGrid>
      <w:gridCol w:w="8648"/>
      <w:gridCol w:w="2126"/>
    </w:tblGrid>
    <w:tr w:rsidR="00212F78" w:rsidRPr="00C60D89" w:rsidTr="00C60D89">
      <w:tc>
        <w:tcPr>
          <w:tcW w:w="8648" w:type="dxa"/>
          <w:shd w:val="clear" w:color="auto" w:fill="auto"/>
        </w:tcPr>
        <w:p w:rsidR="00212F78" w:rsidRPr="00124D6B" w:rsidRDefault="00212F78" w:rsidP="00275F09">
          <w:pPr>
            <w:pStyle w:val="Piedepgina"/>
            <w:tabs>
              <w:tab w:val="clear" w:pos="4252"/>
              <w:tab w:val="center" w:pos="5705"/>
            </w:tabs>
          </w:pPr>
          <w:r w:rsidRPr="00C60D89">
            <w:rPr>
              <w:sz w:val="12"/>
            </w:rPr>
            <w:tab/>
          </w:r>
        </w:p>
      </w:tc>
      <w:tc>
        <w:tcPr>
          <w:tcW w:w="2126" w:type="dxa"/>
          <w:shd w:val="clear" w:color="auto" w:fill="auto"/>
        </w:tcPr>
        <w:p w:rsidR="00212F78" w:rsidRPr="00C60D89" w:rsidRDefault="00212F78" w:rsidP="00C60D89">
          <w:pPr>
            <w:pStyle w:val="Piedepgina"/>
            <w:jc w:val="right"/>
            <w:rPr>
              <w:sz w:val="14"/>
              <w:szCs w:val="14"/>
            </w:rPr>
          </w:pPr>
        </w:p>
      </w:tc>
    </w:tr>
  </w:tbl>
  <w:p w:rsidR="00212F78" w:rsidRPr="00D95F9B" w:rsidRDefault="00212F78" w:rsidP="00D95F9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8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38"/>
      <w:gridCol w:w="1475"/>
      <w:gridCol w:w="4762"/>
    </w:tblGrid>
    <w:tr w:rsidR="00212F78">
      <w:tc>
        <w:tcPr>
          <w:tcW w:w="4538" w:type="dxa"/>
        </w:tcPr>
        <w:p w:rsidR="00212F78" w:rsidRPr="00212F78" w:rsidRDefault="00212F78">
          <w:pPr>
            <w:pStyle w:val="Piedepgina"/>
            <w:tabs>
              <w:tab w:val="clear" w:pos="4252"/>
              <w:tab w:val="clear" w:pos="8504"/>
            </w:tabs>
            <w:rPr>
              <w:lang w:val="es-ES"/>
            </w:rPr>
          </w:pPr>
          <w:r>
            <w:rPr>
              <w:sz w:val="14"/>
            </w:rPr>
            <w:fldChar w:fldCharType="begin"/>
          </w:r>
          <w:r w:rsidRPr="00212F78">
            <w:rPr>
              <w:sz w:val="14"/>
              <w:lang w:val="es-ES"/>
            </w:rPr>
            <w:instrText xml:space="preserve"> FILENAME \* LOWER\p \* MERGEFORMAT </w:instrText>
          </w:r>
          <w:r>
            <w:rPr>
              <w:sz w:val="14"/>
            </w:rPr>
            <w:fldChar w:fldCharType="separate"/>
          </w:r>
          <w:r w:rsidRPr="00212F78">
            <w:rPr>
              <w:noProof/>
              <w:sz w:val="14"/>
              <w:lang w:val="es-ES"/>
            </w:rPr>
            <w:t>l:\parlamento de navarra\expedienteak\pes\pes 2019\pes-11 prospecciones mineras-bildu\respuesta\resp des eco pes-00011-2019_prospecciones.doc</w:t>
          </w:r>
          <w:r>
            <w:rPr>
              <w:sz w:val="14"/>
            </w:rPr>
            <w:fldChar w:fldCharType="end"/>
          </w:r>
        </w:p>
      </w:tc>
      <w:tc>
        <w:tcPr>
          <w:tcW w:w="1475" w:type="dxa"/>
        </w:tcPr>
        <w:p w:rsidR="00212F78" w:rsidRDefault="00212F78">
          <w:pPr>
            <w:pStyle w:val="Piedepgina"/>
            <w:tabs>
              <w:tab w:val="clear" w:pos="4252"/>
              <w:tab w:val="clear" w:pos="8504"/>
            </w:tabs>
            <w:jc w:val="center"/>
            <w:rPr>
              <w:sz w:val="14"/>
            </w:rPr>
          </w:pPr>
          <w:r>
            <w:rPr>
              <w:sz w:val="14"/>
            </w:rPr>
            <w:t xml:space="preserve">Pág..: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PAGE  \* MERGEFORMAT 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>/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NUMPAGES  \* MERGEFORMAT </w:instrText>
          </w:r>
          <w:r>
            <w:rPr>
              <w:sz w:val="14"/>
            </w:rPr>
            <w:fldChar w:fldCharType="separate"/>
          </w:r>
          <w:r>
            <w:rPr>
              <w:noProof/>
              <w:sz w:val="14"/>
            </w:rPr>
            <w:t>3</w:t>
          </w:r>
          <w:r>
            <w:rPr>
              <w:sz w:val="14"/>
            </w:rPr>
            <w:fldChar w:fldCharType="end"/>
          </w:r>
        </w:p>
      </w:tc>
      <w:tc>
        <w:tcPr>
          <w:tcW w:w="4762" w:type="dxa"/>
        </w:tcPr>
        <w:p w:rsidR="00212F78" w:rsidRDefault="00212F78">
          <w:pPr>
            <w:pStyle w:val="Piedepgina"/>
            <w:tabs>
              <w:tab w:val="clear" w:pos="4252"/>
              <w:tab w:val="clear" w:pos="8504"/>
            </w:tabs>
            <w:jc w:val="right"/>
            <w:rPr>
              <w:sz w:val="12"/>
            </w:rPr>
          </w:pPr>
          <w:r>
            <w:rPr>
              <w:sz w:val="12"/>
            </w:rPr>
            <w:t>ic.18.02.08</w:t>
          </w:r>
          <w:r>
            <w:rPr>
              <w:sz w:val="14"/>
            </w:rPr>
            <w:t xml:space="preserve"> Rev.2</w:t>
          </w:r>
        </w:p>
      </w:tc>
    </w:tr>
  </w:tbl>
  <w:p w:rsidR="00212F78" w:rsidRDefault="00212F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EE" w:rsidRDefault="00764AEE">
      <w:r>
        <w:separator/>
      </w:r>
    </w:p>
  </w:footnote>
  <w:footnote w:type="continuationSeparator" w:id="0">
    <w:p w:rsidR="00764AEE" w:rsidRDefault="00764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78" w:rsidRDefault="00212F78">
    <w:pPr>
      <w:pStyle w:val="Encabezado"/>
      <w:rPr>
        <w:rFonts w:cs="Arial"/>
        <w:b/>
        <w:sz w:val="18"/>
        <w:szCs w:val="18"/>
      </w:rPr>
    </w:pPr>
  </w:p>
  <w:p w:rsidR="00212F78" w:rsidRPr="0023201C" w:rsidRDefault="00212F78" w:rsidP="00AA7BD4">
    <w:pPr>
      <w:pStyle w:val="Encabezado"/>
      <w:jc w:val="right"/>
    </w:pPr>
  </w:p>
  <w:p w:rsidR="00212F78" w:rsidRDefault="00212F78">
    <w:pPr>
      <w:pStyle w:val="Encabezado"/>
      <w:rPr>
        <w:rFonts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55"/>
      <w:gridCol w:w="4809"/>
      <w:gridCol w:w="2410"/>
    </w:tblGrid>
    <w:tr w:rsidR="00212F78">
      <w:tc>
        <w:tcPr>
          <w:tcW w:w="3555" w:type="dxa"/>
        </w:tcPr>
        <w:p w:rsidR="00212F78" w:rsidRDefault="00E13E18">
          <w:r>
            <w:rPr>
              <w:noProof/>
              <w:lang w:val="es-ES"/>
            </w:rPr>
            <w:drawing>
              <wp:inline distT="0" distB="0" distL="0" distR="0">
                <wp:extent cx="2075180" cy="421640"/>
                <wp:effectExtent l="0" t="0" r="1270" b="0"/>
                <wp:docPr id="1" name="Imagen 1" descr="pppppp3 cas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ppppp3 cas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518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9" w:type="dxa"/>
        </w:tcPr>
        <w:p w:rsidR="00212F78" w:rsidRDefault="00212F78">
          <w:pPr>
            <w:jc w:val="center"/>
            <w:rPr>
              <w:sz w:val="16"/>
            </w:rPr>
          </w:pPr>
        </w:p>
        <w:p w:rsidR="00212F78" w:rsidRDefault="00212F78">
          <w:pPr>
            <w:jc w:val="center"/>
            <w:rPr>
              <w:sz w:val="16"/>
            </w:rPr>
          </w:pPr>
          <w:r>
            <w:rPr>
              <w:b/>
              <w:sz w:val="22"/>
            </w:rPr>
            <w:t>COMUNICACION</w:t>
          </w:r>
        </w:p>
        <w:p w:rsidR="00212F78" w:rsidRDefault="00212F78">
          <w:pPr>
            <w:rPr>
              <w:b/>
              <w:sz w:val="16"/>
            </w:rPr>
          </w:pPr>
        </w:p>
      </w:tc>
      <w:tc>
        <w:tcPr>
          <w:tcW w:w="2410" w:type="dxa"/>
        </w:tcPr>
        <w:p w:rsidR="00212F78" w:rsidRDefault="00212F78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Edificio “Fuerte del Príncipe II”</w:t>
          </w:r>
        </w:p>
        <w:p w:rsidR="00212F78" w:rsidRDefault="00212F78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Parque Tomás Caballero, 1</w:t>
          </w:r>
        </w:p>
        <w:p w:rsidR="00212F78" w:rsidRDefault="00212F78">
          <w:pPr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31005  PAMPLONA</w:t>
          </w:r>
        </w:p>
        <w:p w:rsidR="00212F78" w:rsidRDefault="00212F78">
          <w:pPr>
            <w:rPr>
              <w:b/>
              <w:sz w:val="16"/>
            </w:rPr>
          </w:pPr>
        </w:p>
      </w:tc>
    </w:tr>
  </w:tbl>
  <w:p w:rsidR="00212F78" w:rsidRDefault="00212F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C4D"/>
    <w:multiLevelType w:val="hybridMultilevel"/>
    <w:tmpl w:val="8AA8D7DE"/>
    <w:lvl w:ilvl="0" w:tplc="26CCB7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63EB2"/>
    <w:multiLevelType w:val="hybridMultilevel"/>
    <w:tmpl w:val="0670591A"/>
    <w:lvl w:ilvl="0" w:tplc="CA245908"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27FDE"/>
    <w:multiLevelType w:val="multilevel"/>
    <w:tmpl w:val="0F9E83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E122AF0"/>
    <w:multiLevelType w:val="hybridMultilevel"/>
    <w:tmpl w:val="4232E618"/>
    <w:lvl w:ilvl="0" w:tplc="26CCB7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6611FF"/>
    <w:multiLevelType w:val="hybridMultilevel"/>
    <w:tmpl w:val="3B12AC4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725AF6"/>
    <w:multiLevelType w:val="hybridMultilevel"/>
    <w:tmpl w:val="A3D013BE"/>
    <w:lvl w:ilvl="0" w:tplc="CB866542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BF2786"/>
    <w:multiLevelType w:val="hybridMultilevel"/>
    <w:tmpl w:val="F4368638"/>
    <w:lvl w:ilvl="0" w:tplc="C8C6E62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FF220F2"/>
    <w:multiLevelType w:val="hybridMultilevel"/>
    <w:tmpl w:val="37A42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C5162"/>
    <w:multiLevelType w:val="hybridMultilevel"/>
    <w:tmpl w:val="BE5440DE"/>
    <w:lvl w:ilvl="0" w:tplc="7B3AE932">
      <w:numFmt w:val="bullet"/>
      <w:lvlText w:val=""/>
      <w:lvlJc w:val="left"/>
      <w:pPr>
        <w:tabs>
          <w:tab w:val="num" w:pos="1586"/>
        </w:tabs>
        <w:ind w:left="1586" w:hanging="735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6DD72E94"/>
    <w:multiLevelType w:val="hybridMultilevel"/>
    <w:tmpl w:val="D6980C4A"/>
    <w:lvl w:ilvl="0" w:tplc="62D86BC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A50E39"/>
    <w:multiLevelType w:val="hybridMultilevel"/>
    <w:tmpl w:val="BF7A5846"/>
    <w:lvl w:ilvl="0" w:tplc="6C127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CA50C27"/>
    <w:multiLevelType w:val="hybridMultilevel"/>
    <w:tmpl w:val="C8064C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06"/>
    <w:rsid w:val="00024A7C"/>
    <w:rsid w:val="00042E4E"/>
    <w:rsid w:val="00052AEF"/>
    <w:rsid w:val="00071E78"/>
    <w:rsid w:val="00094AE5"/>
    <w:rsid w:val="000C184C"/>
    <w:rsid w:val="000D2A88"/>
    <w:rsid w:val="000D7932"/>
    <w:rsid w:val="0010707C"/>
    <w:rsid w:val="00110E5F"/>
    <w:rsid w:val="001342D1"/>
    <w:rsid w:val="00141AC6"/>
    <w:rsid w:val="001753E5"/>
    <w:rsid w:val="00177785"/>
    <w:rsid w:val="0018493B"/>
    <w:rsid w:val="001975AC"/>
    <w:rsid w:val="001C6E6A"/>
    <w:rsid w:val="001E405B"/>
    <w:rsid w:val="00212F78"/>
    <w:rsid w:val="00227C17"/>
    <w:rsid w:val="002442D3"/>
    <w:rsid w:val="002502B9"/>
    <w:rsid w:val="00254075"/>
    <w:rsid w:val="00267C70"/>
    <w:rsid w:val="00275F09"/>
    <w:rsid w:val="00294530"/>
    <w:rsid w:val="002C662A"/>
    <w:rsid w:val="002D66E6"/>
    <w:rsid w:val="00316D7B"/>
    <w:rsid w:val="00340C6D"/>
    <w:rsid w:val="00345951"/>
    <w:rsid w:val="003478A3"/>
    <w:rsid w:val="00353BBE"/>
    <w:rsid w:val="00372FA9"/>
    <w:rsid w:val="003B0410"/>
    <w:rsid w:val="003D2923"/>
    <w:rsid w:val="003E5AB8"/>
    <w:rsid w:val="003F6567"/>
    <w:rsid w:val="004215AE"/>
    <w:rsid w:val="00422B7D"/>
    <w:rsid w:val="00433094"/>
    <w:rsid w:val="00436D1F"/>
    <w:rsid w:val="00476E6A"/>
    <w:rsid w:val="004A23E6"/>
    <w:rsid w:val="004B460F"/>
    <w:rsid w:val="004C774A"/>
    <w:rsid w:val="004F3C7B"/>
    <w:rsid w:val="00521108"/>
    <w:rsid w:val="00534D3B"/>
    <w:rsid w:val="005609B0"/>
    <w:rsid w:val="005620F9"/>
    <w:rsid w:val="00570EA9"/>
    <w:rsid w:val="005C2C35"/>
    <w:rsid w:val="005D6ED8"/>
    <w:rsid w:val="005D760E"/>
    <w:rsid w:val="005D7945"/>
    <w:rsid w:val="005E1E01"/>
    <w:rsid w:val="005E3CA8"/>
    <w:rsid w:val="00641261"/>
    <w:rsid w:val="00653C4B"/>
    <w:rsid w:val="00672BB0"/>
    <w:rsid w:val="00696A69"/>
    <w:rsid w:val="006A06D8"/>
    <w:rsid w:val="006B5AFC"/>
    <w:rsid w:val="006C58EC"/>
    <w:rsid w:val="006D056A"/>
    <w:rsid w:val="006E47E9"/>
    <w:rsid w:val="00741AC7"/>
    <w:rsid w:val="00761F7B"/>
    <w:rsid w:val="00764AEE"/>
    <w:rsid w:val="00764F01"/>
    <w:rsid w:val="00795C9A"/>
    <w:rsid w:val="007A28AA"/>
    <w:rsid w:val="007B098F"/>
    <w:rsid w:val="007C0863"/>
    <w:rsid w:val="007E289D"/>
    <w:rsid w:val="00827EBC"/>
    <w:rsid w:val="00866A4F"/>
    <w:rsid w:val="00877A7A"/>
    <w:rsid w:val="00892408"/>
    <w:rsid w:val="008B2834"/>
    <w:rsid w:val="008E392F"/>
    <w:rsid w:val="008F2861"/>
    <w:rsid w:val="0090038C"/>
    <w:rsid w:val="00905A9A"/>
    <w:rsid w:val="0095272F"/>
    <w:rsid w:val="00970A0F"/>
    <w:rsid w:val="009A05F6"/>
    <w:rsid w:val="009A0726"/>
    <w:rsid w:val="009A3C99"/>
    <w:rsid w:val="009A5D97"/>
    <w:rsid w:val="009C0FAE"/>
    <w:rsid w:val="009C1AD3"/>
    <w:rsid w:val="009D1916"/>
    <w:rsid w:val="009F1591"/>
    <w:rsid w:val="00A00E3A"/>
    <w:rsid w:val="00A41D7B"/>
    <w:rsid w:val="00A578DA"/>
    <w:rsid w:val="00A64F1F"/>
    <w:rsid w:val="00A821BB"/>
    <w:rsid w:val="00A826E3"/>
    <w:rsid w:val="00AA0310"/>
    <w:rsid w:val="00AA7BD4"/>
    <w:rsid w:val="00AC4CAB"/>
    <w:rsid w:val="00AD1E4F"/>
    <w:rsid w:val="00AE1798"/>
    <w:rsid w:val="00AE3E5A"/>
    <w:rsid w:val="00B0444F"/>
    <w:rsid w:val="00B125BA"/>
    <w:rsid w:val="00B75737"/>
    <w:rsid w:val="00B978E8"/>
    <w:rsid w:val="00BB563F"/>
    <w:rsid w:val="00BB717D"/>
    <w:rsid w:val="00BB7ADE"/>
    <w:rsid w:val="00BC25CD"/>
    <w:rsid w:val="00BD1D8A"/>
    <w:rsid w:val="00BF741F"/>
    <w:rsid w:val="00C01C44"/>
    <w:rsid w:val="00C145EC"/>
    <w:rsid w:val="00C14D6E"/>
    <w:rsid w:val="00C342FB"/>
    <w:rsid w:val="00C36BFE"/>
    <w:rsid w:val="00C60D89"/>
    <w:rsid w:val="00C71D35"/>
    <w:rsid w:val="00C73BF4"/>
    <w:rsid w:val="00C76A12"/>
    <w:rsid w:val="00C81B46"/>
    <w:rsid w:val="00C82F2E"/>
    <w:rsid w:val="00C90C06"/>
    <w:rsid w:val="00C913F1"/>
    <w:rsid w:val="00CD5163"/>
    <w:rsid w:val="00CE5AC0"/>
    <w:rsid w:val="00D01702"/>
    <w:rsid w:val="00D0427C"/>
    <w:rsid w:val="00D079A8"/>
    <w:rsid w:val="00D16EC5"/>
    <w:rsid w:val="00D2303D"/>
    <w:rsid w:val="00D2464B"/>
    <w:rsid w:val="00D34B38"/>
    <w:rsid w:val="00D35DA0"/>
    <w:rsid w:val="00D65057"/>
    <w:rsid w:val="00D7131B"/>
    <w:rsid w:val="00D740F2"/>
    <w:rsid w:val="00D876C1"/>
    <w:rsid w:val="00D95F9B"/>
    <w:rsid w:val="00DC7012"/>
    <w:rsid w:val="00E04E9D"/>
    <w:rsid w:val="00E13E18"/>
    <w:rsid w:val="00E23FCB"/>
    <w:rsid w:val="00E468CC"/>
    <w:rsid w:val="00E532B0"/>
    <w:rsid w:val="00E90945"/>
    <w:rsid w:val="00E95BC3"/>
    <w:rsid w:val="00EF48B2"/>
    <w:rsid w:val="00F25578"/>
    <w:rsid w:val="00F33804"/>
    <w:rsid w:val="00F37116"/>
    <w:rsid w:val="00F378CC"/>
    <w:rsid w:val="00F71D21"/>
    <w:rsid w:val="00F74EBF"/>
    <w:rsid w:val="00F968D2"/>
    <w:rsid w:val="00FB7145"/>
    <w:rsid w:val="00FC59F9"/>
    <w:rsid w:val="00FD1B38"/>
    <w:rsid w:val="00FD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5" w:color="808080" w:fill="auto"/>
      <w:tabs>
        <w:tab w:val="left" w:pos="6521"/>
      </w:tabs>
      <w:spacing w:line="360" w:lineRule="auto"/>
      <w:ind w:left="1418" w:hanging="1418"/>
    </w:pPr>
    <w:rPr>
      <w:b/>
      <w:i/>
    </w:rPr>
  </w:style>
  <w:style w:type="paragraph" w:styleId="Textoindependiente">
    <w:name w:val="Body Text"/>
    <w:basedOn w:val="Normal"/>
    <w:pPr>
      <w:spacing w:after="120"/>
    </w:p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AA7BD4"/>
    <w:pPr>
      <w:shd w:val="clear" w:color="auto" w:fill="000080"/>
    </w:pPr>
    <w:rPr>
      <w:rFonts w:ascii="Tahoma" w:hAnsi="Tahoma" w:cs="Tahoma"/>
      <w:sz w:val="20"/>
    </w:rPr>
  </w:style>
  <w:style w:type="character" w:styleId="Textoennegrita">
    <w:name w:val="Strong"/>
    <w:qFormat/>
    <w:rsid w:val="00BB563F"/>
    <w:rPr>
      <w:b/>
      <w:bCs/>
    </w:rPr>
  </w:style>
  <w:style w:type="character" w:styleId="Hipervnculo">
    <w:name w:val="Hyperlink"/>
    <w:rsid w:val="005E3CA8"/>
    <w:rPr>
      <w:color w:val="0000FF"/>
      <w:u w:val="single"/>
    </w:rPr>
  </w:style>
  <w:style w:type="paragraph" w:styleId="Textodeglobo">
    <w:name w:val="Balloon Text"/>
    <w:basedOn w:val="Normal"/>
    <w:semiHidden/>
    <w:rsid w:val="007B098F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AE1798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</w:pBdr>
      <w:shd w:val="pct5" w:color="808080" w:fill="auto"/>
      <w:tabs>
        <w:tab w:val="left" w:pos="6521"/>
      </w:tabs>
      <w:spacing w:line="360" w:lineRule="auto"/>
      <w:ind w:left="1418" w:hanging="1418"/>
    </w:pPr>
    <w:rPr>
      <w:b/>
      <w:i/>
    </w:rPr>
  </w:style>
  <w:style w:type="paragraph" w:styleId="Textoindependiente">
    <w:name w:val="Body Text"/>
    <w:basedOn w:val="Normal"/>
    <w:pPr>
      <w:spacing w:after="120"/>
    </w:p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AA7BD4"/>
    <w:pPr>
      <w:shd w:val="clear" w:color="auto" w:fill="000080"/>
    </w:pPr>
    <w:rPr>
      <w:rFonts w:ascii="Tahoma" w:hAnsi="Tahoma" w:cs="Tahoma"/>
      <w:sz w:val="20"/>
    </w:rPr>
  </w:style>
  <w:style w:type="character" w:styleId="Textoennegrita">
    <w:name w:val="Strong"/>
    <w:qFormat/>
    <w:rsid w:val="00BB563F"/>
    <w:rPr>
      <w:b/>
      <w:bCs/>
    </w:rPr>
  </w:style>
  <w:style w:type="character" w:styleId="Hipervnculo">
    <w:name w:val="Hyperlink"/>
    <w:rsid w:val="005E3CA8"/>
    <w:rPr>
      <w:color w:val="0000FF"/>
      <w:u w:val="single"/>
    </w:rPr>
  </w:style>
  <w:style w:type="paragraph" w:styleId="Textodeglobo">
    <w:name w:val="Balloon Text"/>
    <w:basedOn w:val="Normal"/>
    <w:semiHidden/>
    <w:rsid w:val="007B098F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AE1798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38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607235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2" w:space="0" w:color="999999"/>
                  </w:divBdr>
                  <w:divsChild>
                    <w:div w:id="1826389583">
                      <w:marLeft w:val="335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7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NFORMES\2015\Parlamento%20de%20Navarra\9-15-PEI-00186%20Modificaci&#243;n%20proyecto%20voladuras%20Alkerdi\Ic6.04.19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Ic6.04.192</Template>
  <TotalTime>1</TotalTime>
  <Pages>2</Pages>
  <Words>939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Respuesta pregunta parlamentaria</vt:lpstr>
    </vt:vector>
  </TitlesOfParts>
  <Company>Gobierno de Navarra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pregunta parlamentaria</dc:title>
  <dc:creator>x058014</dc:creator>
  <cp:lastModifiedBy>Aranaz, Carlota</cp:lastModifiedBy>
  <cp:revision>3</cp:revision>
  <cp:lastPrinted>2019-01-30T08:37:00Z</cp:lastPrinted>
  <dcterms:created xsi:type="dcterms:W3CDTF">2019-02-13T10:50:00Z</dcterms:created>
  <dcterms:modified xsi:type="dcterms:W3CDTF">2019-05-08T09:51:00Z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PL0000054 Respuesta pregunta parlamentaria</vt:lpwstr>
  </property>
  <property fmtid="{D5CDD505-2E9C-101B-9397-08002B2CF9AE}" pid="3" name="Order">
    <vt:lpwstr>18900.0000000000</vt:lpwstr>
  </property>
  <property fmtid="{D5CDD505-2E9C-101B-9397-08002B2CF9AE}" pid="4" name="Revisión">
    <vt:lpwstr>0</vt:lpwstr>
  </property>
  <property fmtid="{D5CDD505-2E9C-101B-9397-08002B2CF9AE}" pid="5" name="Ámbito">
    <vt:lpwstr>GABINETE CONSEJERA</vt:lpwstr>
  </property>
  <property fmtid="{D5CDD505-2E9C-101B-9397-08002B2CF9AE}" pid="6" name="Tipo documento calidad">
    <vt:lpwstr>3</vt:lpwstr>
  </property>
  <property fmtid="{D5CDD505-2E9C-101B-9397-08002B2CF9AE}" pid="7" name="Descripción del documento">
    <vt:lpwstr/>
  </property>
  <property fmtid="{D5CDD505-2E9C-101B-9397-08002B2CF9AE}" pid="8" name="Proceso antiguo0">
    <vt:lpwstr>26</vt:lpwstr>
  </property>
  <property fmtid="{D5CDD505-2E9C-101B-9397-08002B2CF9AE}" pid="9" name="Procesos">
    <vt:lpwstr>0</vt:lpwstr>
  </property>
  <property fmtid="{D5CDD505-2E9C-101B-9397-08002B2CF9AE}" pid="10" name="ContentType">
    <vt:lpwstr>Documentación de Calidad</vt:lpwstr>
  </property>
  <property fmtid="{D5CDD505-2E9C-101B-9397-08002B2CF9AE}" pid="11" name="Documentos asociados">
    <vt:lpwstr/>
  </property>
</Properties>
</file>