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8E" w:rsidRDefault="00241F6F" w:rsidP="00EF0D8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E94A38" w:rsidRPr="007106BC">
        <w:rPr>
          <w:rFonts w:ascii="Arial" w:hAnsi="Arial" w:cs="Arial"/>
        </w:rPr>
        <w:t xml:space="preserve"> la p</w:t>
      </w:r>
      <w:r w:rsidR="0077627E">
        <w:rPr>
          <w:rFonts w:ascii="Arial" w:hAnsi="Arial" w:cs="Arial"/>
        </w:rPr>
        <w:t>regunta escrita</w:t>
      </w:r>
      <w:r w:rsidR="007F2F29">
        <w:rPr>
          <w:rFonts w:ascii="Arial" w:hAnsi="Arial" w:cs="Arial"/>
        </w:rPr>
        <w:t xml:space="preserve"> 9-</w:t>
      </w:r>
      <w:r w:rsidR="00E714E7">
        <w:rPr>
          <w:rFonts w:ascii="Arial" w:hAnsi="Arial" w:cs="Arial"/>
        </w:rPr>
        <w:t>19</w:t>
      </w:r>
      <w:r w:rsidR="00EF0D89">
        <w:rPr>
          <w:rFonts w:ascii="Arial" w:hAnsi="Arial" w:cs="Arial"/>
        </w:rPr>
        <w:t>-</w:t>
      </w:r>
      <w:r w:rsidR="007F2F29">
        <w:rPr>
          <w:rFonts w:ascii="Arial" w:hAnsi="Arial" w:cs="Arial"/>
        </w:rPr>
        <w:t>PES-</w:t>
      </w:r>
      <w:r w:rsidR="00E714E7">
        <w:rPr>
          <w:rFonts w:ascii="Arial" w:hAnsi="Arial" w:cs="Arial"/>
        </w:rPr>
        <w:t>00020</w:t>
      </w:r>
      <w:r w:rsidR="00E94A38" w:rsidRPr="007106BC">
        <w:rPr>
          <w:rFonts w:ascii="Arial" w:hAnsi="Arial" w:cs="Arial"/>
        </w:rPr>
        <w:t xml:space="preserve"> presentada por</w:t>
      </w:r>
      <w:r w:rsidR="004C1445">
        <w:rPr>
          <w:rFonts w:ascii="Arial" w:hAnsi="Arial" w:cs="Arial"/>
        </w:rPr>
        <w:t xml:space="preserve"> </w:t>
      </w:r>
      <w:r w:rsidR="00E714E7">
        <w:rPr>
          <w:rFonts w:ascii="Arial" w:hAnsi="Arial" w:cs="Arial"/>
        </w:rPr>
        <w:t xml:space="preserve">el </w:t>
      </w:r>
      <w:r>
        <w:rPr>
          <w:rFonts w:ascii="DejaVuSerif" w:hAnsi="DejaVuSerif" w:cs="DejaVuSerif"/>
          <w:lang w:val="es-ES" w:eastAsia="es-ES"/>
        </w:rPr>
        <w:t>Ilmo. Sr. D. Alberto Catalán Higueras,</w:t>
      </w:r>
      <w:r>
        <w:rPr>
          <w:rFonts w:ascii="DejaVuSerif" w:hAnsi="DejaVuSerif" w:cs="DejaVuSerif"/>
          <w:lang w:val="es-ES" w:eastAsia="es-ES"/>
        </w:rPr>
        <w:t xml:space="preserve"> del </w:t>
      </w:r>
      <w:r w:rsidR="00E714E7">
        <w:rPr>
          <w:rFonts w:ascii="Arial" w:hAnsi="Arial" w:cs="Arial"/>
        </w:rPr>
        <w:t>Grupo Parlamentario de unión del Pueblo Navarro (UPN)</w:t>
      </w:r>
      <w:r w:rsidR="00FE6B10" w:rsidRPr="007106BC">
        <w:rPr>
          <w:rFonts w:ascii="Arial" w:hAnsi="Arial" w:cs="Arial"/>
        </w:rPr>
        <w:t xml:space="preserve">, </w:t>
      </w:r>
      <w:r w:rsidR="009F715F">
        <w:rPr>
          <w:rFonts w:ascii="Arial" w:hAnsi="Arial" w:cs="Arial"/>
        </w:rPr>
        <w:t>la Consejera</w:t>
      </w:r>
      <w:r w:rsidR="00FE6B10" w:rsidRPr="007106BC">
        <w:rPr>
          <w:rFonts w:ascii="Arial" w:hAnsi="Arial" w:cs="Arial"/>
        </w:rPr>
        <w:t xml:space="preserve"> de Ed</w:t>
      </w:r>
      <w:r w:rsidR="0065688E">
        <w:rPr>
          <w:rFonts w:ascii="Arial" w:hAnsi="Arial" w:cs="Arial"/>
        </w:rPr>
        <w:t xml:space="preserve">ucación del Gobierno de Navarra </w:t>
      </w:r>
      <w:r w:rsidR="0065688E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65688E" w:rsidRDefault="00E714E7" w:rsidP="00E714E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714E7">
        <w:rPr>
          <w:rFonts w:ascii="Arial" w:hAnsi="Arial" w:cs="Arial"/>
        </w:rPr>
        <w:t xml:space="preserve">El Servicio de Universidades ha realizado una comprobación de los datos de los informes sobre el Sistema Educativo en Navarra publicados por el </w:t>
      </w:r>
      <w:smartTag w:uri="urn:schemas-microsoft-com:office:smarttags" w:element="PersonName">
        <w:r w:rsidRPr="00E714E7">
          <w:rPr>
            <w:rFonts w:ascii="Arial" w:hAnsi="Arial" w:cs="Arial"/>
          </w:rPr>
          <w:t>Consejo Escolar</w:t>
        </w:r>
      </w:smartTag>
      <w:r w:rsidR="00C24C05">
        <w:rPr>
          <w:rFonts w:ascii="Arial" w:hAnsi="Arial" w:cs="Arial"/>
        </w:rPr>
        <w:t xml:space="preserve"> y ha detectado</w:t>
      </w:r>
      <w:r w:rsidRPr="00E714E7">
        <w:rPr>
          <w:rFonts w:ascii="Arial" w:hAnsi="Arial" w:cs="Arial"/>
        </w:rPr>
        <w:t xml:space="preserve"> discrepanci</w:t>
      </w:r>
      <w:bookmarkStart w:id="0" w:name="_GoBack"/>
      <w:bookmarkEnd w:id="0"/>
      <w:r w:rsidRPr="00E714E7">
        <w:rPr>
          <w:rFonts w:ascii="Arial" w:hAnsi="Arial" w:cs="Arial"/>
        </w:rPr>
        <w:t xml:space="preserve">as </w:t>
      </w:r>
      <w:r w:rsidR="00C24C05">
        <w:rPr>
          <w:rFonts w:ascii="Arial" w:hAnsi="Arial" w:cs="Arial"/>
        </w:rPr>
        <w:t>respecto a</w:t>
      </w:r>
      <w:r w:rsidRPr="00E714E7">
        <w:rPr>
          <w:rFonts w:ascii="Arial" w:hAnsi="Arial" w:cs="Arial"/>
        </w:rPr>
        <w:t xml:space="preserve"> los datos que se remiten desde </w:t>
      </w:r>
      <w:r w:rsidR="00C24C05">
        <w:rPr>
          <w:rFonts w:ascii="Arial" w:hAnsi="Arial" w:cs="Arial"/>
        </w:rPr>
        <w:t>dicho</w:t>
      </w:r>
      <w:r w:rsidRPr="00E714E7">
        <w:rPr>
          <w:rFonts w:ascii="Arial" w:hAnsi="Arial" w:cs="Arial"/>
        </w:rPr>
        <w:t xml:space="preserve"> Servicio al Sistema Integrado de Información Universitaria (SIIU)</w:t>
      </w:r>
      <w:r w:rsidR="00C24C05">
        <w:rPr>
          <w:rFonts w:ascii="Arial" w:hAnsi="Arial" w:cs="Arial"/>
        </w:rPr>
        <w:t>, tal como se indica a continuación</w:t>
      </w:r>
      <w:r w:rsidRPr="00E714E7">
        <w:rPr>
          <w:rFonts w:ascii="Arial" w:hAnsi="Arial" w:cs="Arial"/>
        </w:rPr>
        <w:t>:</w:t>
      </w:r>
    </w:p>
    <w:p w:rsidR="00E714E7" w:rsidRPr="00241F6F" w:rsidRDefault="00E714E7" w:rsidP="00E714E7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41F6F">
        <w:rPr>
          <w:rFonts w:ascii="Arial" w:hAnsi="Arial" w:cs="Arial"/>
          <w:sz w:val="18"/>
          <w:szCs w:val="18"/>
        </w:rPr>
        <w:t>1.- Datos recogidos en los informes del Consejo Escolar sobre el Sistema Educativo Navarro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1464"/>
        <w:gridCol w:w="1740"/>
        <w:gridCol w:w="1620"/>
        <w:gridCol w:w="2696"/>
      </w:tblGrid>
      <w:tr w:rsidR="00E714E7" w:rsidRPr="00241F6F" w:rsidTr="0065688E">
        <w:tc>
          <w:tcPr>
            <w:tcW w:w="1761" w:type="dxa"/>
            <w:shd w:val="clear" w:color="auto" w:fill="auto"/>
          </w:tcPr>
          <w:p w:rsidR="00E714E7" w:rsidRPr="00241F6F" w:rsidRDefault="00E714E7" w:rsidP="00A0714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Matriculados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Superan la prueba</w:t>
            </w:r>
          </w:p>
        </w:tc>
        <w:tc>
          <w:tcPr>
            <w:tcW w:w="4316" w:type="dxa"/>
            <w:gridSpan w:val="2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Estudiantes aprobados sobre los matriculados</w:t>
            </w:r>
          </w:p>
        </w:tc>
      </w:tr>
      <w:tr w:rsidR="00E714E7" w:rsidRPr="00241F6F" w:rsidTr="0065688E">
        <w:tc>
          <w:tcPr>
            <w:tcW w:w="1761" w:type="dxa"/>
            <w:shd w:val="clear" w:color="auto" w:fill="auto"/>
          </w:tcPr>
          <w:p w:rsidR="00E714E7" w:rsidRPr="00241F6F" w:rsidRDefault="00E714E7" w:rsidP="00A0714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Porcentaje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Variación respecto al curso anterior</w:t>
            </w:r>
          </w:p>
        </w:tc>
      </w:tr>
      <w:tr w:rsidR="00E714E7" w:rsidRPr="00241F6F" w:rsidTr="0065688E">
        <w:tc>
          <w:tcPr>
            <w:tcW w:w="1761" w:type="dxa"/>
            <w:shd w:val="clear" w:color="auto" w:fill="auto"/>
          </w:tcPr>
          <w:p w:rsidR="00E714E7" w:rsidRPr="00241F6F" w:rsidRDefault="00E714E7" w:rsidP="00A0714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  <w:r w:rsidR="00012C27" w:rsidRPr="00241F6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r w:rsidR="00012C27" w:rsidRPr="00241F6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2016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3.091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3.025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97,86 %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714E7" w:rsidRPr="00241F6F" w:rsidTr="0065688E">
        <w:tc>
          <w:tcPr>
            <w:tcW w:w="1761" w:type="dxa"/>
            <w:shd w:val="clear" w:color="auto" w:fill="auto"/>
          </w:tcPr>
          <w:p w:rsidR="00E714E7" w:rsidRPr="00241F6F" w:rsidRDefault="00E714E7" w:rsidP="00A0714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2016 - 2017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3.067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2.993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97,59%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-0,28%</w:t>
            </w:r>
          </w:p>
        </w:tc>
      </w:tr>
      <w:tr w:rsidR="00E714E7" w:rsidRPr="00241F6F" w:rsidTr="0065688E">
        <w:tc>
          <w:tcPr>
            <w:tcW w:w="1761" w:type="dxa"/>
            <w:shd w:val="clear" w:color="auto" w:fill="auto"/>
          </w:tcPr>
          <w:p w:rsidR="00E714E7" w:rsidRPr="00241F6F" w:rsidRDefault="00E714E7" w:rsidP="00A0714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2017 - 2018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3.292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3.087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93,77%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-3,91%</w:t>
            </w:r>
          </w:p>
        </w:tc>
      </w:tr>
    </w:tbl>
    <w:p w:rsidR="00E714E7" w:rsidRDefault="00E714E7" w:rsidP="00C24C0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E714E7" w:rsidRPr="00241F6F" w:rsidRDefault="00E714E7" w:rsidP="00E714E7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241F6F">
        <w:rPr>
          <w:rFonts w:ascii="Arial" w:hAnsi="Arial" w:cs="Arial"/>
          <w:sz w:val="18"/>
          <w:szCs w:val="18"/>
        </w:rPr>
        <w:t xml:space="preserve">2.- Datos aportados </w:t>
      </w:r>
      <w:r w:rsidR="00C24C05" w:rsidRPr="00241F6F">
        <w:rPr>
          <w:rFonts w:ascii="Arial" w:hAnsi="Arial" w:cs="Arial"/>
          <w:sz w:val="18"/>
          <w:szCs w:val="18"/>
        </w:rPr>
        <w:t xml:space="preserve">desde el Servicio de Universidades </w:t>
      </w:r>
      <w:r w:rsidRPr="00241F6F">
        <w:rPr>
          <w:rFonts w:ascii="Arial" w:hAnsi="Arial" w:cs="Arial"/>
          <w:sz w:val="18"/>
          <w:szCs w:val="18"/>
        </w:rPr>
        <w:t>al SIIU sobre el acceso a la Universidad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1464"/>
        <w:gridCol w:w="1740"/>
        <w:gridCol w:w="1620"/>
        <w:gridCol w:w="2696"/>
      </w:tblGrid>
      <w:tr w:rsidR="00E714E7" w:rsidRPr="00241F6F" w:rsidTr="0065688E">
        <w:tc>
          <w:tcPr>
            <w:tcW w:w="4965" w:type="dxa"/>
            <w:gridSpan w:val="3"/>
            <w:shd w:val="clear" w:color="auto" w:fill="auto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16" w:type="dxa"/>
            <w:gridSpan w:val="2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Estudiantes aprobados sobre los matriculados</w:t>
            </w:r>
          </w:p>
        </w:tc>
      </w:tr>
      <w:tr w:rsidR="00E714E7" w:rsidRPr="00241F6F" w:rsidTr="0065688E">
        <w:trPr>
          <w:trHeight w:val="640"/>
        </w:trPr>
        <w:tc>
          <w:tcPr>
            <w:tcW w:w="1761" w:type="dxa"/>
            <w:shd w:val="clear" w:color="auto" w:fill="auto"/>
          </w:tcPr>
          <w:p w:rsidR="00E714E7" w:rsidRPr="00241F6F" w:rsidRDefault="00E714E7" w:rsidP="00A0714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Matriculados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Superan la prueba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Porcentaje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Variación respecto al curso anterior</w:t>
            </w:r>
          </w:p>
        </w:tc>
      </w:tr>
      <w:tr w:rsidR="00E714E7" w:rsidRPr="00241F6F" w:rsidTr="0065688E">
        <w:tc>
          <w:tcPr>
            <w:tcW w:w="1761" w:type="dxa"/>
            <w:shd w:val="clear" w:color="auto" w:fill="auto"/>
          </w:tcPr>
          <w:p w:rsidR="00E714E7" w:rsidRPr="00241F6F" w:rsidRDefault="00E714E7" w:rsidP="00A0714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2015 - 2016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3.171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3.025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95,40%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714E7" w:rsidRPr="00241F6F" w:rsidTr="0065688E">
        <w:tc>
          <w:tcPr>
            <w:tcW w:w="1761" w:type="dxa"/>
            <w:shd w:val="clear" w:color="auto" w:fill="auto"/>
          </w:tcPr>
          <w:p w:rsidR="00E714E7" w:rsidRPr="00241F6F" w:rsidRDefault="00E714E7" w:rsidP="00A0714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2016 - 2017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3.165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2.993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94,57%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-0,87%</w:t>
            </w:r>
          </w:p>
        </w:tc>
      </w:tr>
      <w:tr w:rsidR="00E714E7" w:rsidRPr="00241F6F" w:rsidTr="0065688E">
        <w:tc>
          <w:tcPr>
            <w:tcW w:w="1761" w:type="dxa"/>
            <w:shd w:val="clear" w:color="auto" w:fill="auto"/>
          </w:tcPr>
          <w:p w:rsidR="00E714E7" w:rsidRPr="00241F6F" w:rsidRDefault="00E714E7" w:rsidP="00A07140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2017 - 2018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3.292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3.087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93,77%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714E7" w:rsidRPr="00241F6F" w:rsidRDefault="00E714E7" w:rsidP="00A0714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41F6F">
              <w:rPr>
                <w:rFonts w:ascii="Arial" w:eastAsia="Times New Roman" w:hAnsi="Arial" w:cs="Arial"/>
                <w:sz w:val="18"/>
                <w:szCs w:val="18"/>
              </w:rPr>
              <w:t>-0,85%</w:t>
            </w:r>
          </w:p>
        </w:tc>
      </w:tr>
    </w:tbl>
    <w:p w:rsidR="0065688E" w:rsidRDefault="0065688E" w:rsidP="00C24C05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5688E" w:rsidRDefault="00C24C05" w:rsidP="00E714E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Tras una comprobación, se encuentra que l</w:t>
      </w:r>
      <w:r w:rsidR="00E714E7" w:rsidRPr="00E714E7">
        <w:rPr>
          <w:rFonts w:ascii="Arial" w:hAnsi="Arial" w:cs="Arial"/>
        </w:rPr>
        <w:t xml:space="preserve">os datos originales </w:t>
      </w:r>
      <w:r>
        <w:rPr>
          <w:rFonts w:ascii="Arial" w:hAnsi="Arial" w:cs="Arial"/>
        </w:rPr>
        <w:t xml:space="preserve">de que dispone </w:t>
      </w:r>
      <w:r w:rsidRPr="00E714E7">
        <w:rPr>
          <w:rFonts w:ascii="Arial" w:hAnsi="Arial" w:cs="Arial"/>
        </w:rPr>
        <w:t>el S</w:t>
      </w:r>
      <w:r>
        <w:rPr>
          <w:rFonts w:ascii="Arial" w:hAnsi="Arial" w:cs="Arial"/>
        </w:rPr>
        <w:t>ervicio de Inspección Educativa</w:t>
      </w:r>
      <w:r w:rsidRPr="00E71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la elaboración</w:t>
      </w:r>
      <w:r w:rsidR="00E714E7" w:rsidRPr="00E71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E714E7" w:rsidRPr="00E714E7">
        <w:rPr>
          <w:rFonts w:ascii="Arial" w:hAnsi="Arial" w:cs="Arial"/>
        </w:rPr>
        <w:t xml:space="preserve">el informe para el </w:t>
      </w:r>
      <w:smartTag w:uri="urn:schemas-microsoft-com:office:smarttags" w:element="PersonName">
        <w:r w:rsidR="00E714E7" w:rsidRPr="00E714E7">
          <w:rPr>
            <w:rFonts w:ascii="Arial" w:hAnsi="Arial" w:cs="Arial"/>
          </w:rPr>
          <w:t>Consejo Escolar</w:t>
        </w:r>
      </w:smartTag>
      <w:r w:rsidR="00E714E7" w:rsidRPr="00E714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sí </w:t>
      </w:r>
      <w:r w:rsidR="00E714E7" w:rsidRPr="00E714E7">
        <w:rPr>
          <w:rFonts w:ascii="Arial" w:hAnsi="Arial" w:cs="Arial"/>
        </w:rPr>
        <w:t>coinciden con los remitidos al SIIU</w:t>
      </w:r>
      <w:r>
        <w:rPr>
          <w:rFonts w:ascii="Arial" w:hAnsi="Arial" w:cs="Arial"/>
        </w:rPr>
        <w:t xml:space="preserve"> por el Servicio de Universidades, por lo que</w:t>
      </w:r>
      <w:r w:rsidR="00E714E7" w:rsidRPr="00E71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 previsible que existiera un error numérico producido durante la elaboración del informe para el Consejo Escolar.</w:t>
      </w:r>
    </w:p>
    <w:p w:rsidR="0065688E" w:rsidRDefault="00C24C05" w:rsidP="00E714E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 tanto, d</w:t>
      </w:r>
      <w:r w:rsidR="00E714E7" w:rsidRPr="00E714E7">
        <w:rPr>
          <w:rFonts w:ascii="Arial" w:hAnsi="Arial" w:cs="Arial"/>
        </w:rPr>
        <w:t xml:space="preserve">e acuerdo con los datos </w:t>
      </w:r>
      <w:r>
        <w:rPr>
          <w:rFonts w:ascii="Arial" w:hAnsi="Arial" w:cs="Arial"/>
        </w:rPr>
        <w:t>verificados</w:t>
      </w:r>
      <w:r w:rsidR="00E714E7" w:rsidRPr="00E714E7">
        <w:rPr>
          <w:rFonts w:ascii="Arial" w:hAnsi="Arial" w:cs="Arial"/>
        </w:rPr>
        <w:t>, el porcentaje de estudiantes que super</w:t>
      </w:r>
      <w:r w:rsidR="0077627E">
        <w:rPr>
          <w:rFonts w:ascii="Arial" w:hAnsi="Arial" w:cs="Arial"/>
        </w:rPr>
        <w:t>an las pruebas de acceso (</w:t>
      </w:r>
      <w:proofErr w:type="spellStart"/>
      <w:r w:rsidR="0077627E">
        <w:rPr>
          <w:rFonts w:ascii="Arial" w:hAnsi="Arial" w:cs="Arial"/>
        </w:rPr>
        <w:t>EvAU</w:t>
      </w:r>
      <w:proofErr w:type="spellEnd"/>
      <w:r w:rsidR="0077627E">
        <w:rPr>
          <w:rFonts w:ascii="Arial" w:hAnsi="Arial" w:cs="Arial"/>
        </w:rPr>
        <w:t>)</w:t>
      </w:r>
      <w:r w:rsidR="00E714E7" w:rsidRPr="00E71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</w:t>
      </w:r>
      <w:r w:rsidR="00E714E7" w:rsidRPr="00E714E7">
        <w:rPr>
          <w:rFonts w:ascii="Arial" w:hAnsi="Arial" w:cs="Arial"/>
        </w:rPr>
        <w:t xml:space="preserve">tiene una tendencia constante en los últimos años, </w:t>
      </w:r>
      <w:r>
        <w:rPr>
          <w:rFonts w:ascii="Arial" w:hAnsi="Arial" w:cs="Arial"/>
        </w:rPr>
        <w:t>reflejando</w:t>
      </w:r>
      <w:r w:rsidR="00E714E7" w:rsidRPr="00E714E7">
        <w:rPr>
          <w:rFonts w:ascii="Arial" w:hAnsi="Arial" w:cs="Arial"/>
        </w:rPr>
        <w:t xml:space="preserve"> un ligero descenso, inferior al 1%,</w:t>
      </w:r>
      <w:r>
        <w:rPr>
          <w:rFonts w:ascii="Arial" w:hAnsi="Arial" w:cs="Arial"/>
        </w:rPr>
        <w:t xml:space="preserve"> de un año respecto al anterior.</w:t>
      </w:r>
    </w:p>
    <w:p w:rsidR="0065688E" w:rsidRDefault="00AA7662" w:rsidP="0065688E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2019</w:t>
      </w:r>
      <w:r w:rsidR="003B53BA" w:rsidRPr="007106BC">
        <w:rPr>
          <w:rFonts w:ascii="Arial" w:hAnsi="Arial" w:cs="Arial"/>
        </w:rPr>
        <w:t xml:space="preserve">eko </w:t>
      </w:r>
      <w:proofErr w:type="spellStart"/>
      <w:r w:rsidR="00A138DB">
        <w:rPr>
          <w:rFonts w:ascii="Arial" w:hAnsi="Arial" w:cs="Arial"/>
        </w:rPr>
        <w:t>martxoaren</w:t>
      </w:r>
      <w:proofErr w:type="spellEnd"/>
      <w:r w:rsidR="00A138DB">
        <w:rPr>
          <w:rFonts w:ascii="Arial" w:hAnsi="Arial" w:cs="Arial"/>
        </w:rPr>
        <w:t xml:space="preserve"> 1ean</w:t>
      </w:r>
      <w:r w:rsidR="003B53BA" w:rsidRPr="007106BC">
        <w:rPr>
          <w:rFonts w:ascii="Arial" w:hAnsi="Arial" w:cs="Arial"/>
        </w:rPr>
        <w:t xml:space="preserve"> / Pamplona, </w:t>
      </w:r>
      <w:r w:rsidR="00340B0D">
        <w:rPr>
          <w:rFonts w:ascii="Arial" w:hAnsi="Arial" w:cs="Arial"/>
        </w:rPr>
        <w:t xml:space="preserve">1 de </w:t>
      </w:r>
      <w:r w:rsidR="00A138DB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de 2019</w:t>
      </w:r>
      <w:r w:rsidR="0065688E">
        <w:rPr>
          <w:rFonts w:ascii="Arial" w:hAnsi="Arial" w:cs="Arial"/>
        </w:rPr>
        <w:t xml:space="preserve">Hezkuntza </w:t>
      </w:r>
      <w:proofErr w:type="spellStart"/>
      <w:r w:rsidR="0065688E">
        <w:rPr>
          <w:rFonts w:ascii="Arial" w:hAnsi="Arial" w:cs="Arial"/>
        </w:rPr>
        <w:t>Kontseilaria</w:t>
      </w:r>
      <w:proofErr w:type="spellEnd"/>
      <w:r w:rsidR="0065688E">
        <w:rPr>
          <w:rFonts w:ascii="Arial" w:hAnsi="Arial" w:cs="Arial"/>
        </w:rPr>
        <w:t xml:space="preserve"> eta </w:t>
      </w:r>
      <w:proofErr w:type="spellStart"/>
      <w:r w:rsidR="0065688E">
        <w:rPr>
          <w:rFonts w:ascii="Arial" w:hAnsi="Arial" w:cs="Arial"/>
        </w:rPr>
        <w:t>Gobernuko</w:t>
      </w:r>
      <w:proofErr w:type="spellEnd"/>
      <w:r w:rsidR="0065688E">
        <w:rPr>
          <w:rFonts w:ascii="Arial" w:hAnsi="Arial" w:cs="Arial"/>
        </w:rPr>
        <w:t xml:space="preserve"> </w:t>
      </w:r>
      <w:proofErr w:type="spellStart"/>
      <w:r w:rsidR="0065688E">
        <w:rPr>
          <w:rFonts w:ascii="Arial" w:hAnsi="Arial" w:cs="Arial"/>
        </w:rPr>
        <w:t>Eleduna</w:t>
      </w:r>
      <w:proofErr w:type="spellEnd"/>
      <w:r w:rsidR="0065688E">
        <w:rPr>
          <w:rFonts w:ascii="Arial" w:hAnsi="Arial" w:cs="Arial"/>
        </w:rPr>
        <w:t xml:space="preserve"> / La Consejera de Educación y Portavoz del Gobierno: </w:t>
      </w:r>
      <w:r w:rsidR="0065688E">
        <w:rPr>
          <w:rFonts w:ascii="Arial" w:hAnsi="Arial" w:cs="Arial"/>
          <w:lang w:val="fr-FR"/>
        </w:rPr>
        <w:t>María Solana Arana</w:t>
      </w:r>
    </w:p>
    <w:p w:rsidR="003B53BA" w:rsidRPr="007106BC" w:rsidRDefault="003B53BA" w:rsidP="00EF0D89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4CE" w:rsidRDefault="00D804CE">
      <w:r>
        <w:separator/>
      </w:r>
    </w:p>
  </w:endnote>
  <w:endnote w:type="continuationSeparator" w:id="0">
    <w:p w:rsidR="00D804CE" w:rsidRDefault="00D8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4CE" w:rsidRDefault="00D804CE">
      <w:r>
        <w:separator/>
      </w:r>
    </w:p>
  </w:footnote>
  <w:footnote w:type="continuationSeparator" w:id="0">
    <w:p w:rsidR="00D804CE" w:rsidRDefault="00D80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E7"/>
    <w:rsid w:val="00012C27"/>
    <w:rsid w:val="00052F26"/>
    <w:rsid w:val="00076CCD"/>
    <w:rsid w:val="000B7999"/>
    <w:rsid w:val="000C68C2"/>
    <w:rsid w:val="00111792"/>
    <w:rsid w:val="00146E30"/>
    <w:rsid w:val="00157F84"/>
    <w:rsid w:val="001D6D78"/>
    <w:rsid w:val="001E0CD7"/>
    <w:rsid w:val="00224E9C"/>
    <w:rsid w:val="0023659E"/>
    <w:rsid w:val="00241F6F"/>
    <w:rsid w:val="00267CE6"/>
    <w:rsid w:val="002B556A"/>
    <w:rsid w:val="00340B0D"/>
    <w:rsid w:val="003B53BA"/>
    <w:rsid w:val="00444BD9"/>
    <w:rsid w:val="0044750A"/>
    <w:rsid w:val="00466E15"/>
    <w:rsid w:val="004842CC"/>
    <w:rsid w:val="004C1445"/>
    <w:rsid w:val="004C6342"/>
    <w:rsid w:val="004D589D"/>
    <w:rsid w:val="005551BA"/>
    <w:rsid w:val="005623E5"/>
    <w:rsid w:val="005D5D04"/>
    <w:rsid w:val="00644C1D"/>
    <w:rsid w:val="0065688E"/>
    <w:rsid w:val="006A7F73"/>
    <w:rsid w:val="007106BC"/>
    <w:rsid w:val="00745806"/>
    <w:rsid w:val="00755FE6"/>
    <w:rsid w:val="0077627E"/>
    <w:rsid w:val="0077762A"/>
    <w:rsid w:val="007E0447"/>
    <w:rsid w:val="007F2F29"/>
    <w:rsid w:val="008B141D"/>
    <w:rsid w:val="008C7D9D"/>
    <w:rsid w:val="008E7E16"/>
    <w:rsid w:val="0090698A"/>
    <w:rsid w:val="009C61CF"/>
    <w:rsid w:val="009F715F"/>
    <w:rsid w:val="00A07140"/>
    <w:rsid w:val="00A138DB"/>
    <w:rsid w:val="00A15192"/>
    <w:rsid w:val="00A6685F"/>
    <w:rsid w:val="00AA7662"/>
    <w:rsid w:val="00AB5E8F"/>
    <w:rsid w:val="00AC7B2D"/>
    <w:rsid w:val="00AD3A61"/>
    <w:rsid w:val="00B470D0"/>
    <w:rsid w:val="00BA7F1A"/>
    <w:rsid w:val="00C05B12"/>
    <w:rsid w:val="00C24C05"/>
    <w:rsid w:val="00C26E2C"/>
    <w:rsid w:val="00CA4615"/>
    <w:rsid w:val="00CA53FB"/>
    <w:rsid w:val="00D05420"/>
    <w:rsid w:val="00D124B5"/>
    <w:rsid w:val="00D804CE"/>
    <w:rsid w:val="00D90831"/>
    <w:rsid w:val="00DC5DBC"/>
    <w:rsid w:val="00E459E1"/>
    <w:rsid w:val="00E714E7"/>
    <w:rsid w:val="00E85DB1"/>
    <w:rsid w:val="00E94A38"/>
    <w:rsid w:val="00EF0D89"/>
    <w:rsid w:val="00EF2DC9"/>
    <w:rsid w:val="00F15258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table" w:styleId="Tablaconcuadrcula">
    <w:name w:val="Table Grid"/>
    <w:basedOn w:val="Tablanormal"/>
    <w:rsid w:val="00E714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table" w:styleId="Tablaconcuadrcula">
    <w:name w:val="Table Grid"/>
    <w:basedOn w:val="Tablanormal"/>
    <w:rsid w:val="00E714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0%20SERVICIO\03%20PETICIONES%20DE%20INFORMACION%20Y%20COMPARECENCIAS\032%20PARLAMENTO\1.%20PARLAMENTO%20-%20RESPUESTA%20A%20PEI%20O%20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PARLAMENTO - RESPUESTA A PEI O PES</Template>
  <TotalTime>57</TotalTime>
  <Pages>1</Pages>
  <Words>312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X009288</dc:creator>
  <cp:lastModifiedBy>Aranaz, Carlota</cp:lastModifiedBy>
  <cp:revision>5</cp:revision>
  <cp:lastPrinted>2019-02-12T08:17:00Z</cp:lastPrinted>
  <dcterms:created xsi:type="dcterms:W3CDTF">2019-03-28T12:55:00Z</dcterms:created>
  <dcterms:modified xsi:type="dcterms:W3CDTF">2019-05-08T12:32:00Z</dcterms:modified>
</cp:coreProperties>
</file>