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81F" w:rsidRPr="00204979" w:rsidRDefault="00FA495F" w:rsidP="00C9781F">
      <w:pPr>
        <w:pStyle w:val="EstiloPortada"/>
        <w:ind w:left="1701" w:right="-58"/>
      </w:pPr>
      <w:bookmarkStart w:id="0" w:name="_GoBack"/>
      <w:bookmarkEnd w:id="0"/>
      <w:r w:rsidRPr="00A8137F">
        <w:rPr>
          <w:rFonts w:ascii="Arial" w:hAnsi="Arial" w:cs="Arial"/>
          <w:noProof/>
          <w:color w:val="808080"/>
          <w:sz w:val="40"/>
          <w:lang w:val="es-ES" w:eastAsia="es-ES"/>
        </w:rPr>
        <mc:AlternateContent>
          <mc:Choice Requires="wps">
            <w:drawing>
              <wp:anchor distT="0" distB="0" distL="114300" distR="114300" simplePos="0" relativeHeight="251657728" behindDoc="0" locked="0" layoutInCell="1" allowOverlap="1" wp14:anchorId="560B31F9" wp14:editId="06891306">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FD287D" w:rsidRPr="003A7956" w:rsidRDefault="00FD287D" w:rsidP="004C3423">
                            <w:pPr>
                              <w:spacing w:after="0"/>
                              <w:ind w:firstLine="0"/>
                              <w:jc w:val="center"/>
                              <w:rPr>
                                <w:sz w:val="18"/>
                                <w:szCs w:val="18"/>
                                <w:lang w:val="es-ES"/>
                              </w:rPr>
                            </w:pPr>
                            <w:r w:rsidRPr="003A7956">
                              <w:rPr>
                                <w:sz w:val="18"/>
                                <w:szCs w:val="18"/>
                                <w:lang w:val="es-ES"/>
                              </w:rPr>
                              <w:t>CAMARA DE</w:t>
                            </w:r>
                          </w:p>
                          <w:p w:rsidR="00FD287D" w:rsidRPr="003A7956" w:rsidRDefault="00FD287D" w:rsidP="004C3423">
                            <w:pPr>
                              <w:spacing w:after="0"/>
                              <w:ind w:firstLine="0"/>
                              <w:jc w:val="center"/>
                              <w:rPr>
                                <w:sz w:val="18"/>
                                <w:szCs w:val="18"/>
                                <w:lang w:val="es-ES"/>
                              </w:rPr>
                            </w:pPr>
                            <w:r w:rsidRPr="003A7956">
                              <w:rPr>
                                <w:sz w:val="18"/>
                                <w:szCs w:val="18"/>
                                <w:lang w:val="es-ES"/>
                              </w:rPr>
                              <w:t>COMPTOS</w:t>
                            </w:r>
                          </w:p>
                          <w:p w:rsidR="00FD287D" w:rsidRPr="003A7956" w:rsidRDefault="00FD287D" w:rsidP="004C3423">
                            <w:pPr>
                              <w:spacing w:after="0"/>
                              <w:ind w:firstLine="0"/>
                              <w:jc w:val="center"/>
                              <w:rPr>
                                <w:sz w:val="18"/>
                                <w:szCs w:val="18"/>
                                <w:lang w:val="es-ES"/>
                              </w:rPr>
                            </w:pPr>
                            <w:r w:rsidRPr="003A7956">
                              <w:rPr>
                                <w:sz w:val="18"/>
                                <w:szCs w:val="18"/>
                                <w:lang w:val="es-ES"/>
                              </w:rPr>
                              <w:t>DE NAVARRA</w:t>
                            </w:r>
                          </w:p>
                          <w:p w:rsidR="00FD287D" w:rsidRPr="003A7956" w:rsidRDefault="00FD287D" w:rsidP="004C3423">
                            <w:pPr>
                              <w:spacing w:after="0"/>
                              <w:ind w:firstLine="0"/>
                              <w:jc w:val="center"/>
                              <w:rPr>
                                <w:color w:val="808080"/>
                                <w:sz w:val="18"/>
                                <w:szCs w:val="18"/>
                                <w:lang w:val="es-ES"/>
                              </w:rPr>
                            </w:pPr>
                            <w:r w:rsidRPr="003A7956">
                              <w:rPr>
                                <w:color w:val="808080"/>
                                <w:sz w:val="18"/>
                                <w:szCs w:val="18"/>
                                <w:lang w:val="es-ES"/>
                              </w:rPr>
                              <w:t>NAFARROAKO</w:t>
                            </w:r>
                          </w:p>
                          <w:p w:rsidR="00FD287D" w:rsidRPr="003A7956" w:rsidRDefault="00FD287D" w:rsidP="004C3423">
                            <w:pPr>
                              <w:spacing w:after="0"/>
                              <w:ind w:firstLine="0"/>
                              <w:jc w:val="center"/>
                              <w:rPr>
                                <w:color w:val="808080"/>
                                <w:sz w:val="18"/>
                                <w:szCs w:val="18"/>
                                <w:lang w:val="es-ES"/>
                              </w:rPr>
                            </w:pPr>
                            <w:r w:rsidRPr="003A7956">
                              <w:rPr>
                                <w:color w:val="808080"/>
                                <w:sz w:val="18"/>
                                <w:szCs w:val="18"/>
                                <w:lang w:val="es-ES"/>
                              </w:rPr>
                              <w:t>KONTUEN</w:t>
                            </w:r>
                          </w:p>
                          <w:p w:rsidR="00FD287D" w:rsidRPr="003A7956" w:rsidRDefault="00FD287D" w:rsidP="004C3423">
                            <w:pPr>
                              <w:spacing w:after="0"/>
                              <w:ind w:firstLine="0"/>
                              <w:jc w:val="center"/>
                              <w:rPr>
                                <w:color w:val="808080"/>
                                <w:sz w:val="18"/>
                                <w:szCs w:val="18"/>
                                <w:lang w:val="es-ES"/>
                              </w:rPr>
                            </w:pPr>
                            <w:r w:rsidRPr="003A7956">
                              <w:rPr>
                                <w:color w:val="808080"/>
                                <w:sz w:val="18"/>
                                <w:szCs w:val="18"/>
                                <w:lang w:val="es-ES"/>
                              </w:rPr>
                              <w:t>GANBERA</w:t>
                            </w:r>
                          </w:p>
                          <w:p w:rsidR="00FD287D" w:rsidRPr="002C7026" w:rsidRDefault="00FD287D"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FD287D" w:rsidRPr="003A7956" w:rsidRDefault="00FD287D" w:rsidP="004C3423">
                      <w:pPr>
                        <w:spacing w:after="0"/>
                        <w:ind w:firstLine="0"/>
                        <w:jc w:val="center"/>
                        <w:rPr>
                          <w:sz w:val="18"/>
                          <w:szCs w:val="18"/>
                          <w:lang w:val="es-ES"/>
                        </w:rPr>
                      </w:pPr>
                      <w:r w:rsidRPr="003A7956">
                        <w:rPr>
                          <w:sz w:val="18"/>
                          <w:szCs w:val="18"/>
                          <w:lang w:val="es-ES"/>
                        </w:rPr>
                        <w:t>CAMARA DE</w:t>
                      </w:r>
                    </w:p>
                    <w:p w:rsidR="00FD287D" w:rsidRPr="003A7956" w:rsidRDefault="00FD287D" w:rsidP="004C3423">
                      <w:pPr>
                        <w:spacing w:after="0"/>
                        <w:ind w:firstLine="0"/>
                        <w:jc w:val="center"/>
                        <w:rPr>
                          <w:sz w:val="18"/>
                          <w:szCs w:val="18"/>
                          <w:lang w:val="es-ES"/>
                        </w:rPr>
                      </w:pPr>
                      <w:r w:rsidRPr="003A7956">
                        <w:rPr>
                          <w:sz w:val="18"/>
                          <w:szCs w:val="18"/>
                          <w:lang w:val="es-ES"/>
                        </w:rPr>
                        <w:t>COMPTOS</w:t>
                      </w:r>
                    </w:p>
                    <w:p w:rsidR="00FD287D" w:rsidRPr="003A7956" w:rsidRDefault="00FD287D" w:rsidP="004C3423">
                      <w:pPr>
                        <w:spacing w:after="0"/>
                        <w:ind w:firstLine="0"/>
                        <w:jc w:val="center"/>
                        <w:rPr>
                          <w:sz w:val="18"/>
                          <w:szCs w:val="18"/>
                          <w:lang w:val="es-ES"/>
                        </w:rPr>
                      </w:pPr>
                      <w:r w:rsidRPr="003A7956">
                        <w:rPr>
                          <w:sz w:val="18"/>
                          <w:szCs w:val="18"/>
                          <w:lang w:val="es-ES"/>
                        </w:rPr>
                        <w:t>DE NAVARRA</w:t>
                      </w:r>
                    </w:p>
                    <w:p w:rsidR="00FD287D" w:rsidRPr="003A7956" w:rsidRDefault="00FD287D" w:rsidP="004C3423">
                      <w:pPr>
                        <w:spacing w:after="0"/>
                        <w:ind w:firstLine="0"/>
                        <w:jc w:val="center"/>
                        <w:rPr>
                          <w:color w:val="808080"/>
                          <w:sz w:val="18"/>
                          <w:szCs w:val="18"/>
                          <w:lang w:val="es-ES"/>
                        </w:rPr>
                      </w:pPr>
                      <w:r w:rsidRPr="003A7956">
                        <w:rPr>
                          <w:color w:val="808080"/>
                          <w:sz w:val="18"/>
                          <w:szCs w:val="18"/>
                          <w:lang w:val="es-ES"/>
                        </w:rPr>
                        <w:t>NAFARROAKO</w:t>
                      </w:r>
                    </w:p>
                    <w:p w:rsidR="00FD287D" w:rsidRPr="003A7956" w:rsidRDefault="00FD287D" w:rsidP="004C3423">
                      <w:pPr>
                        <w:spacing w:after="0"/>
                        <w:ind w:firstLine="0"/>
                        <w:jc w:val="center"/>
                        <w:rPr>
                          <w:color w:val="808080"/>
                          <w:sz w:val="18"/>
                          <w:szCs w:val="18"/>
                          <w:lang w:val="es-ES"/>
                        </w:rPr>
                      </w:pPr>
                      <w:r w:rsidRPr="003A7956">
                        <w:rPr>
                          <w:color w:val="808080"/>
                          <w:sz w:val="18"/>
                          <w:szCs w:val="18"/>
                          <w:lang w:val="es-ES"/>
                        </w:rPr>
                        <w:t>KONTUEN</w:t>
                      </w:r>
                    </w:p>
                    <w:p w:rsidR="00FD287D" w:rsidRPr="003A7956" w:rsidRDefault="00FD287D" w:rsidP="004C3423">
                      <w:pPr>
                        <w:spacing w:after="0"/>
                        <w:ind w:firstLine="0"/>
                        <w:jc w:val="center"/>
                        <w:rPr>
                          <w:color w:val="808080"/>
                          <w:sz w:val="18"/>
                          <w:szCs w:val="18"/>
                          <w:lang w:val="es-ES"/>
                        </w:rPr>
                      </w:pPr>
                      <w:r w:rsidRPr="003A7956">
                        <w:rPr>
                          <w:color w:val="808080"/>
                          <w:sz w:val="18"/>
                          <w:szCs w:val="18"/>
                          <w:lang w:val="es-ES"/>
                        </w:rPr>
                        <w:t>GANBERA</w:t>
                      </w:r>
                    </w:p>
                    <w:p w:rsidR="00FD287D" w:rsidRPr="002C7026" w:rsidRDefault="00FD287D" w:rsidP="002C7026">
                      <w:pPr>
                        <w:spacing w:after="0"/>
                        <w:ind w:firstLine="0"/>
                        <w:jc w:val="center"/>
                        <w:rPr>
                          <w:rFonts w:ascii="Trajan" w:hAnsi="Trajan"/>
                          <w:color w:val="808080"/>
                          <w:sz w:val="18"/>
                          <w:szCs w:val="18"/>
                          <w:lang w:val="es-ES"/>
                        </w:rPr>
                      </w:pPr>
                    </w:p>
                  </w:txbxContent>
                </v:textbox>
              </v:shape>
            </w:pict>
          </mc:Fallback>
        </mc:AlternateContent>
      </w:r>
    </w:p>
    <w:p w:rsidR="00C9781F" w:rsidRPr="00E97831" w:rsidRDefault="00C9781F" w:rsidP="00C9781F">
      <w:pPr>
        <w:pStyle w:val="EstiloPortada"/>
        <w:tabs>
          <w:tab w:val="left" w:pos="4253"/>
        </w:tabs>
        <w:ind w:left="1701" w:right="0"/>
        <w:rPr>
          <w:w w:val="110"/>
          <w:sz w:val="40"/>
          <w:szCs w:val="40"/>
        </w:rPr>
      </w:pPr>
      <w:r w:rsidRPr="00E97831">
        <w:rPr>
          <w:w w:val="110"/>
          <w:sz w:val="40"/>
          <w:szCs w:val="40"/>
        </w:rPr>
        <w:t xml:space="preserve">Gestión de la prestación farmacéutica </w:t>
      </w:r>
    </w:p>
    <w:p w:rsidR="00C9781F" w:rsidRPr="00E97831" w:rsidRDefault="00C9781F" w:rsidP="00C9781F">
      <w:pPr>
        <w:pStyle w:val="EstiloPortada"/>
        <w:tabs>
          <w:tab w:val="left" w:pos="4253"/>
        </w:tabs>
        <w:ind w:left="1701" w:right="0"/>
        <w:rPr>
          <w:sz w:val="40"/>
          <w:szCs w:val="40"/>
        </w:rPr>
      </w:pPr>
      <w:proofErr w:type="gramStart"/>
      <w:r w:rsidRPr="00E97831">
        <w:rPr>
          <w:sz w:val="36"/>
          <w:szCs w:val="36"/>
        </w:rPr>
        <w:t>en</w:t>
      </w:r>
      <w:proofErr w:type="gramEnd"/>
      <w:r w:rsidRPr="00E97831">
        <w:rPr>
          <w:sz w:val="36"/>
          <w:szCs w:val="36"/>
        </w:rPr>
        <w:t xml:space="preserve"> el Servicio Navarro de Salud-</w:t>
      </w:r>
      <w:proofErr w:type="spellStart"/>
      <w:r>
        <w:rPr>
          <w:sz w:val="36"/>
          <w:szCs w:val="36"/>
        </w:rPr>
        <w:t>O</w:t>
      </w:r>
      <w:r w:rsidRPr="00E97831">
        <w:rPr>
          <w:sz w:val="36"/>
          <w:szCs w:val="36"/>
        </w:rPr>
        <w:t>sasunbidea</w:t>
      </w:r>
      <w:proofErr w:type="spellEnd"/>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716463" w:rsidRPr="001D4F09" w:rsidRDefault="00C9781F" w:rsidP="009936FC">
      <w:pPr>
        <w:pStyle w:val="Fechaportada"/>
      </w:pPr>
      <w:r>
        <w:t>Marzo de 2019</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C9781F" w:rsidRDefault="00C9781F" w:rsidP="00C9781F">
      <w:pPr>
        <w:pStyle w:val="ndice"/>
      </w:pPr>
      <w:r w:rsidRPr="00891D73">
        <w:lastRenderedPageBreak/>
        <w:t>Índice</w:t>
      </w:r>
    </w:p>
    <w:p w:rsidR="00C9781F" w:rsidRPr="004740FB" w:rsidRDefault="00C9781F" w:rsidP="00C9781F">
      <w:pPr>
        <w:pStyle w:val="ndice"/>
        <w:ind w:right="-156"/>
        <w:jc w:val="right"/>
        <w:rPr>
          <w:b w:val="0"/>
          <w:i/>
          <w:sz w:val="16"/>
          <w:szCs w:val="16"/>
        </w:rPr>
      </w:pPr>
      <w:r>
        <w:rPr>
          <w:b w:val="0"/>
          <w:i/>
          <w:sz w:val="16"/>
          <w:szCs w:val="16"/>
        </w:rPr>
        <w:t xml:space="preserve"> </w:t>
      </w:r>
      <w:r w:rsidRPr="004740FB">
        <w:rPr>
          <w:b w:val="0"/>
          <w:i/>
          <w:sz w:val="16"/>
          <w:szCs w:val="16"/>
        </w:rPr>
        <w:t>P</w:t>
      </w:r>
      <w:r>
        <w:rPr>
          <w:b w:val="0"/>
          <w:i/>
          <w:sz w:val="16"/>
          <w:szCs w:val="16"/>
        </w:rPr>
        <w:t>á</w:t>
      </w:r>
      <w:r w:rsidRPr="004740FB">
        <w:rPr>
          <w:b w:val="0"/>
          <w:i/>
          <w:sz w:val="16"/>
          <w:szCs w:val="16"/>
        </w:rPr>
        <w:t>gina</w:t>
      </w:r>
    </w:p>
    <w:p w:rsidR="000D7F75" w:rsidRDefault="0014728F" w:rsidP="009636D2">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671418" w:history="1">
        <w:r w:rsidR="000D7F75" w:rsidRPr="00C8771B">
          <w:rPr>
            <w:rStyle w:val="Hipervnculo"/>
            <w:noProof/>
          </w:rPr>
          <w:t>I. Introducción</w:t>
        </w:r>
        <w:r w:rsidR="000D7F75">
          <w:rPr>
            <w:noProof/>
            <w:webHidden/>
          </w:rPr>
          <w:tab/>
        </w:r>
        <w:r w:rsidR="000D7F75">
          <w:rPr>
            <w:noProof/>
            <w:webHidden/>
          </w:rPr>
          <w:fldChar w:fldCharType="begin"/>
        </w:r>
        <w:r w:rsidR="000D7F75">
          <w:rPr>
            <w:noProof/>
            <w:webHidden/>
          </w:rPr>
          <w:instrText xml:space="preserve"> PAGEREF _Toc4671418 \h </w:instrText>
        </w:r>
        <w:r w:rsidR="000D7F75">
          <w:rPr>
            <w:noProof/>
            <w:webHidden/>
          </w:rPr>
        </w:r>
        <w:r w:rsidR="000D7F75">
          <w:rPr>
            <w:noProof/>
            <w:webHidden/>
          </w:rPr>
          <w:fldChar w:fldCharType="separate"/>
        </w:r>
        <w:r w:rsidR="00161253">
          <w:rPr>
            <w:noProof/>
            <w:webHidden/>
          </w:rPr>
          <w:t>3</w:t>
        </w:r>
        <w:r w:rsidR="000D7F75">
          <w:rPr>
            <w:noProof/>
            <w:webHidden/>
          </w:rPr>
          <w:fldChar w:fldCharType="end"/>
        </w:r>
      </w:hyperlink>
    </w:p>
    <w:p w:rsidR="000D7F75" w:rsidRDefault="00445899" w:rsidP="009636D2">
      <w:pPr>
        <w:pStyle w:val="TDC1"/>
        <w:rPr>
          <w:rFonts w:asciiTheme="minorHAnsi" w:eastAsiaTheme="minorEastAsia" w:hAnsiTheme="minorHAnsi" w:cstheme="minorBidi"/>
          <w:smallCaps w:val="0"/>
          <w:noProof/>
          <w:szCs w:val="22"/>
          <w:lang w:val="es-ES" w:eastAsia="es-ES"/>
        </w:rPr>
      </w:pPr>
      <w:hyperlink w:anchor="_Toc4671419" w:history="1">
        <w:r w:rsidR="000D7F75" w:rsidRPr="00C8771B">
          <w:rPr>
            <w:rStyle w:val="Hipervnculo"/>
            <w:noProof/>
          </w:rPr>
          <w:t>II. Gestión de la prestación farmacéutica en el SNS-O</w:t>
        </w:r>
        <w:r w:rsidR="000D7F75">
          <w:rPr>
            <w:noProof/>
            <w:webHidden/>
          </w:rPr>
          <w:tab/>
        </w:r>
        <w:r w:rsidR="000D7F75">
          <w:rPr>
            <w:noProof/>
            <w:webHidden/>
          </w:rPr>
          <w:fldChar w:fldCharType="begin"/>
        </w:r>
        <w:r w:rsidR="000D7F75">
          <w:rPr>
            <w:noProof/>
            <w:webHidden/>
          </w:rPr>
          <w:instrText xml:space="preserve"> PAGEREF _Toc4671419 \h </w:instrText>
        </w:r>
        <w:r w:rsidR="000D7F75">
          <w:rPr>
            <w:noProof/>
            <w:webHidden/>
          </w:rPr>
        </w:r>
        <w:r w:rsidR="000D7F75">
          <w:rPr>
            <w:noProof/>
            <w:webHidden/>
          </w:rPr>
          <w:fldChar w:fldCharType="separate"/>
        </w:r>
        <w:r w:rsidR="00161253">
          <w:rPr>
            <w:noProof/>
            <w:webHidden/>
          </w:rPr>
          <w:t>5</w:t>
        </w:r>
        <w:r w:rsidR="000D7F75">
          <w:rPr>
            <w:noProof/>
            <w:webHidden/>
          </w:rPr>
          <w:fldChar w:fldCharType="end"/>
        </w:r>
      </w:hyperlink>
    </w:p>
    <w:p w:rsidR="000D7F75" w:rsidRDefault="00445899" w:rsidP="009636D2">
      <w:pPr>
        <w:pStyle w:val="TDC2"/>
        <w:ind w:left="0"/>
        <w:rPr>
          <w:rFonts w:asciiTheme="minorHAnsi" w:eastAsiaTheme="minorEastAsia" w:hAnsiTheme="minorHAnsi" w:cstheme="minorBidi"/>
          <w:noProof/>
          <w:szCs w:val="22"/>
          <w:lang w:val="es-ES" w:eastAsia="es-ES"/>
        </w:rPr>
      </w:pPr>
      <w:hyperlink w:anchor="_Toc4671420" w:history="1">
        <w:r w:rsidR="000D7F75" w:rsidRPr="00C8771B">
          <w:rPr>
            <w:rStyle w:val="Hipervnculo"/>
            <w:noProof/>
          </w:rPr>
          <w:t>II.1. Aspectos generales</w:t>
        </w:r>
        <w:r w:rsidR="000D7F75">
          <w:rPr>
            <w:noProof/>
            <w:webHidden/>
          </w:rPr>
          <w:tab/>
        </w:r>
        <w:r w:rsidR="000D7F75">
          <w:rPr>
            <w:noProof/>
            <w:webHidden/>
          </w:rPr>
          <w:fldChar w:fldCharType="begin"/>
        </w:r>
        <w:r w:rsidR="000D7F75">
          <w:rPr>
            <w:noProof/>
            <w:webHidden/>
          </w:rPr>
          <w:instrText xml:space="preserve"> PAGEREF _Toc4671420 \h </w:instrText>
        </w:r>
        <w:r w:rsidR="000D7F75">
          <w:rPr>
            <w:noProof/>
            <w:webHidden/>
          </w:rPr>
        </w:r>
        <w:r w:rsidR="000D7F75">
          <w:rPr>
            <w:noProof/>
            <w:webHidden/>
          </w:rPr>
          <w:fldChar w:fldCharType="separate"/>
        </w:r>
        <w:r w:rsidR="00161253">
          <w:rPr>
            <w:noProof/>
            <w:webHidden/>
          </w:rPr>
          <w:t>5</w:t>
        </w:r>
        <w:r w:rsidR="000D7F75">
          <w:rPr>
            <w:noProof/>
            <w:webHidden/>
          </w:rPr>
          <w:fldChar w:fldCharType="end"/>
        </w:r>
      </w:hyperlink>
    </w:p>
    <w:p w:rsidR="000D7F75" w:rsidRDefault="00445899" w:rsidP="009636D2">
      <w:pPr>
        <w:pStyle w:val="TDC2"/>
        <w:ind w:left="0"/>
        <w:rPr>
          <w:rFonts w:asciiTheme="minorHAnsi" w:eastAsiaTheme="minorEastAsia" w:hAnsiTheme="minorHAnsi" w:cstheme="minorBidi"/>
          <w:noProof/>
          <w:szCs w:val="22"/>
          <w:lang w:val="es-ES" w:eastAsia="es-ES"/>
        </w:rPr>
      </w:pPr>
      <w:hyperlink w:anchor="_Toc4671421" w:history="1">
        <w:r w:rsidR="000D7F75" w:rsidRPr="00C8771B">
          <w:rPr>
            <w:rStyle w:val="Hipervnculo"/>
            <w:noProof/>
          </w:rPr>
          <w:t>II.2. Estructura organizativa</w:t>
        </w:r>
        <w:r w:rsidR="000D7F75">
          <w:rPr>
            <w:noProof/>
            <w:webHidden/>
          </w:rPr>
          <w:tab/>
        </w:r>
        <w:r w:rsidR="000D7F75">
          <w:rPr>
            <w:noProof/>
            <w:webHidden/>
          </w:rPr>
          <w:fldChar w:fldCharType="begin"/>
        </w:r>
        <w:r w:rsidR="000D7F75">
          <w:rPr>
            <w:noProof/>
            <w:webHidden/>
          </w:rPr>
          <w:instrText xml:space="preserve"> PAGEREF _Toc4671421 \h </w:instrText>
        </w:r>
        <w:r w:rsidR="000D7F75">
          <w:rPr>
            <w:noProof/>
            <w:webHidden/>
          </w:rPr>
        </w:r>
        <w:r w:rsidR="000D7F75">
          <w:rPr>
            <w:noProof/>
            <w:webHidden/>
          </w:rPr>
          <w:fldChar w:fldCharType="separate"/>
        </w:r>
        <w:r w:rsidR="00161253">
          <w:rPr>
            <w:noProof/>
            <w:webHidden/>
          </w:rPr>
          <w:t>7</w:t>
        </w:r>
        <w:r w:rsidR="000D7F75">
          <w:rPr>
            <w:noProof/>
            <w:webHidden/>
          </w:rPr>
          <w:fldChar w:fldCharType="end"/>
        </w:r>
      </w:hyperlink>
    </w:p>
    <w:p w:rsidR="000D7F75" w:rsidRDefault="00445899" w:rsidP="009636D2">
      <w:pPr>
        <w:pStyle w:val="TDC2"/>
        <w:ind w:left="0"/>
        <w:rPr>
          <w:rFonts w:asciiTheme="minorHAnsi" w:eastAsiaTheme="minorEastAsia" w:hAnsiTheme="minorHAnsi" w:cstheme="minorBidi"/>
          <w:noProof/>
          <w:szCs w:val="22"/>
          <w:lang w:val="es-ES" w:eastAsia="es-ES"/>
        </w:rPr>
      </w:pPr>
      <w:hyperlink w:anchor="_Toc4671422" w:history="1">
        <w:r w:rsidR="000D7F75" w:rsidRPr="00C8771B">
          <w:rPr>
            <w:rStyle w:val="Hipervnculo"/>
            <w:noProof/>
          </w:rPr>
          <w:t>II.3. Implantación de la receta electrónica</w:t>
        </w:r>
        <w:r w:rsidR="000D7F75">
          <w:rPr>
            <w:noProof/>
            <w:webHidden/>
          </w:rPr>
          <w:tab/>
        </w:r>
        <w:r w:rsidR="000D7F75">
          <w:rPr>
            <w:noProof/>
            <w:webHidden/>
          </w:rPr>
          <w:fldChar w:fldCharType="begin"/>
        </w:r>
        <w:r w:rsidR="000D7F75">
          <w:rPr>
            <w:noProof/>
            <w:webHidden/>
          </w:rPr>
          <w:instrText xml:space="preserve"> PAGEREF _Toc4671422 \h </w:instrText>
        </w:r>
        <w:r w:rsidR="000D7F75">
          <w:rPr>
            <w:noProof/>
            <w:webHidden/>
          </w:rPr>
        </w:r>
        <w:r w:rsidR="000D7F75">
          <w:rPr>
            <w:noProof/>
            <w:webHidden/>
          </w:rPr>
          <w:fldChar w:fldCharType="separate"/>
        </w:r>
        <w:r w:rsidR="00161253">
          <w:rPr>
            <w:noProof/>
            <w:webHidden/>
          </w:rPr>
          <w:t>7</w:t>
        </w:r>
        <w:r w:rsidR="000D7F75">
          <w:rPr>
            <w:noProof/>
            <w:webHidden/>
          </w:rPr>
          <w:fldChar w:fldCharType="end"/>
        </w:r>
      </w:hyperlink>
    </w:p>
    <w:p w:rsidR="000D7F75" w:rsidRDefault="00445899" w:rsidP="009636D2">
      <w:pPr>
        <w:pStyle w:val="TDC2"/>
        <w:ind w:left="0"/>
        <w:rPr>
          <w:rFonts w:asciiTheme="minorHAnsi" w:eastAsiaTheme="minorEastAsia" w:hAnsiTheme="minorHAnsi" w:cstheme="minorBidi"/>
          <w:noProof/>
          <w:szCs w:val="22"/>
          <w:lang w:val="es-ES" w:eastAsia="es-ES"/>
        </w:rPr>
      </w:pPr>
      <w:hyperlink w:anchor="_Toc4671423" w:history="1">
        <w:r w:rsidR="000D7F75" w:rsidRPr="00C8771B">
          <w:rPr>
            <w:rStyle w:val="Hipervnculo"/>
            <w:noProof/>
          </w:rPr>
          <w:t>II.4. Sistemas de información</w:t>
        </w:r>
        <w:r w:rsidR="000D7F75">
          <w:rPr>
            <w:noProof/>
            <w:webHidden/>
          </w:rPr>
          <w:tab/>
        </w:r>
        <w:r w:rsidR="000D7F75">
          <w:rPr>
            <w:noProof/>
            <w:webHidden/>
          </w:rPr>
          <w:fldChar w:fldCharType="begin"/>
        </w:r>
        <w:r w:rsidR="000D7F75">
          <w:rPr>
            <w:noProof/>
            <w:webHidden/>
          </w:rPr>
          <w:instrText xml:space="preserve"> PAGEREF _Toc4671423 \h </w:instrText>
        </w:r>
        <w:r w:rsidR="000D7F75">
          <w:rPr>
            <w:noProof/>
            <w:webHidden/>
          </w:rPr>
        </w:r>
        <w:r w:rsidR="000D7F75">
          <w:rPr>
            <w:noProof/>
            <w:webHidden/>
          </w:rPr>
          <w:fldChar w:fldCharType="separate"/>
        </w:r>
        <w:r w:rsidR="00161253">
          <w:rPr>
            <w:noProof/>
            <w:webHidden/>
          </w:rPr>
          <w:t>10</w:t>
        </w:r>
        <w:r w:rsidR="000D7F75">
          <w:rPr>
            <w:noProof/>
            <w:webHidden/>
          </w:rPr>
          <w:fldChar w:fldCharType="end"/>
        </w:r>
      </w:hyperlink>
    </w:p>
    <w:p w:rsidR="000D7F75" w:rsidRDefault="00445899" w:rsidP="009636D2">
      <w:pPr>
        <w:pStyle w:val="TDC2"/>
        <w:ind w:left="0"/>
        <w:rPr>
          <w:rFonts w:asciiTheme="minorHAnsi" w:eastAsiaTheme="minorEastAsia" w:hAnsiTheme="minorHAnsi" w:cstheme="minorBidi"/>
          <w:noProof/>
          <w:szCs w:val="22"/>
          <w:lang w:val="es-ES" w:eastAsia="es-ES"/>
        </w:rPr>
      </w:pPr>
      <w:hyperlink w:anchor="_Toc4671424" w:history="1">
        <w:r w:rsidR="000D7F75" w:rsidRPr="00C8771B">
          <w:rPr>
            <w:rStyle w:val="Hipervnculo"/>
            <w:noProof/>
          </w:rPr>
          <w:t>II.5. Normativa básica aplicable</w:t>
        </w:r>
        <w:r w:rsidR="000D7F75">
          <w:rPr>
            <w:noProof/>
            <w:webHidden/>
          </w:rPr>
          <w:tab/>
        </w:r>
        <w:r w:rsidR="000D7F75">
          <w:rPr>
            <w:noProof/>
            <w:webHidden/>
          </w:rPr>
          <w:fldChar w:fldCharType="begin"/>
        </w:r>
        <w:r w:rsidR="000D7F75">
          <w:rPr>
            <w:noProof/>
            <w:webHidden/>
          </w:rPr>
          <w:instrText xml:space="preserve"> PAGEREF _Toc4671424 \h </w:instrText>
        </w:r>
        <w:r w:rsidR="000D7F75">
          <w:rPr>
            <w:noProof/>
            <w:webHidden/>
          </w:rPr>
        </w:r>
        <w:r w:rsidR="000D7F75">
          <w:rPr>
            <w:noProof/>
            <w:webHidden/>
          </w:rPr>
          <w:fldChar w:fldCharType="separate"/>
        </w:r>
        <w:r w:rsidR="00161253">
          <w:rPr>
            <w:noProof/>
            <w:webHidden/>
          </w:rPr>
          <w:t>11</w:t>
        </w:r>
        <w:r w:rsidR="000D7F75">
          <w:rPr>
            <w:noProof/>
            <w:webHidden/>
          </w:rPr>
          <w:fldChar w:fldCharType="end"/>
        </w:r>
      </w:hyperlink>
    </w:p>
    <w:p w:rsidR="000D7F75" w:rsidRDefault="00445899" w:rsidP="009636D2">
      <w:pPr>
        <w:pStyle w:val="TDC1"/>
        <w:rPr>
          <w:rFonts w:asciiTheme="minorHAnsi" w:eastAsiaTheme="minorEastAsia" w:hAnsiTheme="minorHAnsi" w:cstheme="minorBidi"/>
          <w:smallCaps w:val="0"/>
          <w:noProof/>
          <w:szCs w:val="22"/>
          <w:lang w:val="es-ES" w:eastAsia="es-ES"/>
        </w:rPr>
      </w:pPr>
      <w:hyperlink w:anchor="_Toc4671425" w:history="1">
        <w:r w:rsidR="000D7F75" w:rsidRPr="00C8771B">
          <w:rPr>
            <w:rStyle w:val="Hipervnculo"/>
            <w:noProof/>
          </w:rPr>
          <w:t>III. Objetivos, alcance y limitaciones</w:t>
        </w:r>
        <w:r w:rsidR="000D7F75">
          <w:rPr>
            <w:noProof/>
            <w:webHidden/>
          </w:rPr>
          <w:tab/>
        </w:r>
        <w:r w:rsidR="000D7F75">
          <w:rPr>
            <w:noProof/>
            <w:webHidden/>
          </w:rPr>
          <w:fldChar w:fldCharType="begin"/>
        </w:r>
        <w:r w:rsidR="000D7F75">
          <w:rPr>
            <w:noProof/>
            <w:webHidden/>
          </w:rPr>
          <w:instrText xml:space="preserve"> PAGEREF _Toc4671425 \h </w:instrText>
        </w:r>
        <w:r w:rsidR="000D7F75">
          <w:rPr>
            <w:noProof/>
            <w:webHidden/>
          </w:rPr>
        </w:r>
        <w:r w:rsidR="000D7F75">
          <w:rPr>
            <w:noProof/>
            <w:webHidden/>
          </w:rPr>
          <w:fldChar w:fldCharType="separate"/>
        </w:r>
        <w:r w:rsidR="00161253">
          <w:rPr>
            <w:noProof/>
            <w:webHidden/>
          </w:rPr>
          <w:t>12</w:t>
        </w:r>
        <w:r w:rsidR="000D7F75">
          <w:rPr>
            <w:noProof/>
            <w:webHidden/>
          </w:rPr>
          <w:fldChar w:fldCharType="end"/>
        </w:r>
      </w:hyperlink>
    </w:p>
    <w:p w:rsidR="000D7F75" w:rsidRDefault="00445899" w:rsidP="009636D2">
      <w:pPr>
        <w:pStyle w:val="TDC1"/>
        <w:rPr>
          <w:rFonts w:asciiTheme="minorHAnsi" w:eastAsiaTheme="minorEastAsia" w:hAnsiTheme="minorHAnsi" w:cstheme="minorBidi"/>
          <w:smallCaps w:val="0"/>
          <w:noProof/>
          <w:szCs w:val="22"/>
          <w:lang w:val="es-ES" w:eastAsia="es-ES"/>
        </w:rPr>
      </w:pPr>
      <w:hyperlink w:anchor="_Toc4671426" w:history="1">
        <w:r w:rsidR="000D7F75" w:rsidRPr="00C8771B">
          <w:rPr>
            <w:rStyle w:val="Hipervnculo"/>
            <w:noProof/>
          </w:rPr>
          <w:t>IV. Opinión</w:t>
        </w:r>
        <w:r w:rsidR="000D7F75">
          <w:rPr>
            <w:noProof/>
            <w:webHidden/>
          </w:rPr>
          <w:tab/>
        </w:r>
        <w:r w:rsidR="000D7F75">
          <w:rPr>
            <w:noProof/>
            <w:webHidden/>
          </w:rPr>
          <w:fldChar w:fldCharType="begin"/>
        </w:r>
        <w:r w:rsidR="000D7F75">
          <w:rPr>
            <w:noProof/>
            <w:webHidden/>
          </w:rPr>
          <w:instrText xml:space="preserve"> PAGEREF _Toc4671426 \h </w:instrText>
        </w:r>
        <w:r w:rsidR="000D7F75">
          <w:rPr>
            <w:noProof/>
            <w:webHidden/>
          </w:rPr>
        </w:r>
        <w:r w:rsidR="000D7F75">
          <w:rPr>
            <w:noProof/>
            <w:webHidden/>
          </w:rPr>
          <w:fldChar w:fldCharType="separate"/>
        </w:r>
        <w:r w:rsidR="00161253">
          <w:rPr>
            <w:noProof/>
            <w:webHidden/>
          </w:rPr>
          <w:t>15</w:t>
        </w:r>
        <w:r w:rsidR="000D7F75">
          <w:rPr>
            <w:noProof/>
            <w:webHidden/>
          </w:rPr>
          <w:fldChar w:fldCharType="end"/>
        </w:r>
      </w:hyperlink>
    </w:p>
    <w:p w:rsidR="000D7F75" w:rsidRDefault="00445899" w:rsidP="009636D2">
      <w:pPr>
        <w:pStyle w:val="TDC2"/>
        <w:ind w:left="0"/>
        <w:rPr>
          <w:rFonts w:asciiTheme="minorHAnsi" w:eastAsiaTheme="minorEastAsia" w:hAnsiTheme="minorHAnsi" w:cstheme="minorBidi"/>
          <w:noProof/>
          <w:szCs w:val="22"/>
          <w:lang w:val="es-ES" w:eastAsia="es-ES"/>
        </w:rPr>
      </w:pPr>
      <w:hyperlink w:anchor="_Toc4671427" w:history="1">
        <w:r w:rsidR="000D7F75" w:rsidRPr="00C8771B">
          <w:rPr>
            <w:rStyle w:val="Hipervnculo"/>
            <w:noProof/>
          </w:rPr>
          <w:t>IV.1. Conclusión sobre el control interno</w:t>
        </w:r>
        <w:r w:rsidR="000D7F75">
          <w:rPr>
            <w:noProof/>
            <w:webHidden/>
          </w:rPr>
          <w:tab/>
        </w:r>
        <w:r w:rsidR="000D7F75">
          <w:rPr>
            <w:noProof/>
            <w:webHidden/>
          </w:rPr>
          <w:fldChar w:fldCharType="begin"/>
        </w:r>
        <w:r w:rsidR="000D7F75">
          <w:rPr>
            <w:noProof/>
            <w:webHidden/>
          </w:rPr>
          <w:instrText xml:space="preserve"> PAGEREF _Toc4671427 \h </w:instrText>
        </w:r>
        <w:r w:rsidR="000D7F75">
          <w:rPr>
            <w:noProof/>
            <w:webHidden/>
          </w:rPr>
        </w:r>
        <w:r w:rsidR="000D7F75">
          <w:rPr>
            <w:noProof/>
            <w:webHidden/>
          </w:rPr>
          <w:fldChar w:fldCharType="separate"/>
        </w:r>
        <w:r w:rsidR="00161253">
          <w:rPr>
            <w:noProof/>
            <w:webHidden/>
          </w:rPr>
          <w:t>16</w:t>
        </w:r>
        <w:r w:rsidR="000D7F75">
          <w:rPr>
            <w:noProof/>
            <w:webHidden/>
          </w:rPr>
          <w:fldChar w:fldCharType="end"/>
        </w:r>
      </w:hyperlink>
    </w:p>
    <w:p w:rsidR="000D7F75" w:rsidRDefault="00445899" w:rsidP="009636D2">
      <w:pPr>
        <w:pStyle w:val="TDC2"/>
        <w:ind w:left="0"/>
        <w:rPr>
          <w:rFonts w:asciiTheme="minorHAnsi" w:eastAsiaTheme="minorEastAsia" w:hAnsiTheme="minorHAnsi" w:cstheme="minorBidi"/>
          <w:noProof/>
          <w:szCs w:val="22"/>
          <w:lang w:val="es-ES" w:eastAsia="es-ES"/>
        </w:rPr>
      </w:pPr>
      <w:hyperlink w:anchor="_Toc4671428" w:history="1">
        <w:r w:rsidR="000D7F75" w:rsidRPr="00C8771B">
          <w:rPr>
            <w:rStyle w:val="Hipervnculo"/>
            <w:noProof/>
          </w:rPr>
          <w:t>IV.2. Opinión sobre cumplimiento de legalidad</w:t>
        </w:r>
        <w:r w:rsidR="000D7F75">
          <w:rPr>
            <w:noProof/>
            <w:webHidden/>
          </w:rPr>
          <w:tab/>
        </w:r>
        <w:r w:rsidR="000D7F75">
          <w:rPr>
            <w:noProof/>
            <w:webHidden/>
          </w:rPr>
          <w:fldChar w:fldCharType="begin"/>
        </w:r>
        <w:r w:rsidR="000D7F75">
          <w:rPr>
            <w:noProof/>
            <w:webHidden/>
          </w:rPr>
          <w:instrText xml:space="preserve"> PAGEREF _Toc4671428 \h </w:instrText>
        </w:r>
        <w:r w:rsidR="000D7F75">
          <w:rPr>
            <w:noProof/>
            <w:webHidden/>
          </w:rPr>
        </w:r>
        <w:r w:rsidR="000D7F75">
          <w:rPr>
            <w:noProof/>
            <w:webHidden/>
          </w:rPr>
          <w:fldChar w:fldCharType="separate"/>
        </w:r>
        <w:r w:rsidR="00161253">
          <w:rPr>
            <w:noProof/>
            <w:webHidden/>
          </w:rPr>
          <w:t>17</w:t>
        </w:r>
        <w:r w:rsidR="000D7F75">
          <w:rPr>
            <w:noProof/>
            <w:webHidden/>
          </w:rPr>
          <w:fldChar w:fldCharType="end"/>
        </w:r>
      </w:hyperlink>
    </w:p>
    <w:p w:rsidR="000D7F75" w:rsidRDefault="00445899" w:rsidP="009636D2">
      <w:pPr>
        <w:pStyle w:val="TDC2"/>
        <w:ind w:left="0"/>
        <w:rPr>
          <w:rFonts w:asciiTheme="minorHAnsi" w:eastAsiaTheme="minorEastAsia" w:hAnsiTheme="minorHAnsi" w:cstheme="minorBidi"/>
          <w:noProof/>
          <w:szCs w:val="22"/>
          <w:lang w:val="es-ES" w:eastAsia="es-ES"/>
        </w:rPr>
      </w:pPr>
      <w:hyperlink w:anchor="_Toc4671429" w:history="1">
        <w:r w:rsidR="000D7F75" w:rsidRPr="00C8771B">
          <w:rPr>
            <w:rStyle w:val="Hipervnculo"/>
            <w:noProof/>
          </w:rPr>
          <w:t>IV.3. Opinión de auditoría financiera</w:t>
        </w:r>
        <w:r w:rsidR="000D7F75">
          <w:rPr>
            <w:noProof/>
            <w:webHidden/>
          </w:rPr>
          <w:tab/>
        </w:r>
        <w:r w:rsidR="000D7F75">
          <w:rPr>
            <w:noProof/>
            <w:webHidden/>
          </w:rPr>
          <w:fldChar w:fldCharType="begin"/>
        </w:r>
        <w:r w:rsidR="000D7F75">
          <w:rPr>
            <w:noProof/>
            <w:webHidden/>
          </w:rPr>
          <w:instrText xml:space="preserve"> PAGEREF _Toc4671429 \h </w:instrText>
        </w:r>
        <w:r w:rsidR="000D7F75">
          <w:rPr>
            <w:noProof/>
            <w:webHidden/>
          </w:rPr>
        </w:r>
        <w:r w:rsidR="000D7F75">
          <w:rPr>
            <w:noProof/>
            <w:webHidden/>
          </w:rPr>
          <w:fldChar w:fldCharType="separate"/>
        </w:r>
        <w:r w:rsidR="00161253">
          <w:rPr>
            <w:noProof/>
            <w:webHidden/>
          </w:rPr>
          <w:t>18</w:t>
        </w:r>
        <w:r w:rsidR="000D7F75">
          <w:rPr>
            <w:noProof/>
            <w:webHidden/>
          </w:rPr>
          <w:fldChar w:fldCharType="end"/>
        </w:r>
      </w:hyperlink>
    </w:p>
    <w:p w:rsidR="000D7F75" w:rsidRDefault="00445899" w:rsidP="009636D2">
      <w:pPr>
        <w:pStyle w:val="TDC1"/>
        <w:rPr>
          <w:rFonts w:asciiTheme="minorHAnsi" w:eastAsiaTheme="minorEastAsia" w:hAnsiTheme="minorHAnsi" w:cstheme="minorBidi"/>
          <w:smallCaps w:val="0"/>
          <w:noProof/>
          <w:szCs w:val="22"/>
          <w:lang w:val="es-ES" w:eastAsia="es-ES"/>
        </w:rPr>
      </w:pPr>
      <w:hyperlink w:anchor="_Toc4671430" w:history="1">
        <w:r w:rsidR="000D7F75" w:rsidRPr="00C8771B">
          <w:rPr>
            <w:rStyle w:val="Hipervnculo"/>
            <w:noProof/>
          </w:rPr>
          <w:t>V. Conclusiones y recomendaciones</w:t>
        </w:r>
        <w:r w:rsidR="000D7F75">
          <w:rPr>
            <w:noProof/>
            <w:webHidden/>
          </w:rPr>
          <w:tab/>
        </w:r>
        <w:r w:rsidR="000D7F75">
          <w:rPr>
            <w:noProof/>
            <w:webHidden/>
          </w:rPr>
          <w:fldChar w:fldCharType="begin"/>
        </w:r>
        <w:r w:rsidR="000D7F75">
          <w:rPr>
            <w:noProof/>
            <w:webHidden/>
          </w:rPr>
          <w:instrText xml:space="preserve"> PAGEREF _Toc4671430 \h </w:instrText>
        </w:r>
        <w:r w:rsidR="000D7F75">
          <w:rPr>
            <w:noProof/>
            <w:webHidden/>
          </w:rPr>
        </w:r>
        <w:r w:rsidR="000D7F75">
          <w:rPr>
            <w:noProof/>
            <w:webHidden/>
          </w:rPr>
          <w:fldChar w:fldCharType="separate"/>
        </w:r>
        <w:r w:rsidR="00161253">
          <w:rPr>
            <w:noProof/>
            <w:webHidden/>
          </w:rPr>
          <w:t>19</w:t>
        </w:r>
        <w:r w:rsidR="000D7F75">
          <w:rPr>
            <w:noProof/>
            <w:webHidden/>
          </w:rPr>
          <w:fldChar w:fldCharType="end"/>
        </w:r>
      </w:hyperlink>
    </w:p>
    <w:p w:rsidR="000D7F75" w:rsidRDefault="00445899" w:rsidP="009636D2">
      <w:pPr>
        <w:pStyle w:val="TDC2"/>
        <w:ind w:left="0"/>
        <w:rPr>
          <w:rFonts w:asciiTheme="minorHAnsi" w:eastAsiaTheme="minorEastAsia" w:hAnsiTheme="minorHAnsi" w:cstheme="minorBidi"/>
          <w:noProof/>
          <w:szCs w:val="22"/>
          <w:lang w:val="es-ES" w:eastAsia="es-ES"/>
        </w:rPr>
      </w:pPr>
      <w:hyperlink w:anchor="_Toc4671431" w:history="1">
        <w:r w:rsidR="000D7F75" w:rsidRPr="00C8771B">
          <w:rPr>
            <w:rStyle w:val="Hipervnculo"/>
            <w:noProof/>
          </w:rPr>
          <w:t>V.1. Procedimiento de gestión de la prestación farmacéutica</w:t>
        </w:r>
        <w:r w:rsidR="000D7F75">
          <w:rPr>
            <w:noProof/>
            <w:webHidden/>
          </w:rPr>
          <w:tab/>
        </w:r>
        <w:r w:rsidR="000D7F75">
          <w:rPr>
            <w:noProof/>
            <w:webHidden/>
          </w:rPr>
          <w:fldChar w:fldCharType="begin"/>
        </w:r>
        <w:r w:rsidR="000D7F75">
          <w:rPr>
            <w:noProof/>
            <w:webHidden/>
          </w:rPr>
          <w:instrText xml:space="preserve"> PAGEREF _Toc4671431 \h </w:instrText>
        </w:r>
        <w:r w:rsidR="000D7F75">
          <w:rPr>
            <w:noProof/>
            <w:webHidden/>
          </w:rPr>
        </w:r>
        <w:r w:rsidR="000D7F75">
          <w:rPr>
            <w:noProof/>
            <w:webHidden/>
          </w:rPr>
          <w:fldChar w:fldCharType="separate"/>
        </w:r>
        <w:r w:rsidR="00161253">
          <w:rPr>
            <w:noProof/>
            <w:webHidden/>
          </w:rPr>
          <w:t>19</w:t>
        </w:r>
        <w:r w:rsidR="000D7F75">
          <w:rPr>
            <w:noProof/>
            <w:webHidden/>
          </w:rPr>
          <w:fldChar w:fldCharType="end"/>
        </w:r>
      </w:hyperlink>
    </w:p>
    <w:p w:rsidR="000D7F75" w:rsidRDefault="00445899" w:rsidP="009636D2">
      <w:pPr>
        <w:pStyle w:val="TDC2"/>
        <w:ind w:left="0"/>
        <w:rPr>
          <w:rFonts w:asciiTheme="minorHAnsi" w:eastAsiaTheme="minorEastAsia" w:hAnsiTheme="minorHAnsi" w:cstheme="minorBidi"/>
          <w:noProof/>
          <w:szCs w:val="22"/>
          <w:lang w:val="es-ES" w:eastAsia="es-ES"/>
        </w:rPr>
      </w:pPr>
      <w:hyperlink w:anchor="_Toc4671432" w:history="1">
        <w:r w:rsidR="000D7F75" w:rsidRPr="00C8771B">
          <w:rPr>
            <w:rStyle w:val="Hipervnculo"/>
            <w:noProof/>
          </w:rPr>
          <w:t>V.2. Auditoría de cumplimiento y financiera del proceso de gestión farmacéutica</w:t>
        </w:r>
        <w:r w:rsidR="000D7F75">
          <w:rPr>
            <w:noProof/>
            <w:webHidden/>
          </w:rPr>
          <w:tab/>
        </w:r>
        <w:r w:rsidR="000D7F75">
          <w:rPr>
            <w:noProof/>
            <w:webHidden/>
          </w:rPr>
          <w:fldChar w:fldCharType="begin"/>
        </w:r>
        <w:r w:rsidR="000D7F75">
          <w:rPr>
            <w:noProof/>
            <w:webHidden/>
          </w:rPr>
          <w:instrText xml:space="preserve"> PAGEREF _Toc4671432 \h </w:instrText>
        </w:r>
        <w:r w:rsidR="000D7F75">
          <w:rPr>
            <w:noProof/>
            <w:webHidden/>
          </w:rPr>
        </w:r>
        <w:r w:rsidR="000D7F75">
          <w:rPr>
            <w:noProof/>
            <w:webHidden/>
          </w:rPr>
          <w:fldChar w:fldCharType="separate"/>
        </w:r>
        <w:r w:rsidR="00161253">
          <w:rPr>
            <w:noProof/>
            <w:webHidden/>
          </w:rPr>
          <w:t>30</w:t>
        </w:r>
        <w:r w:rsidR="000D7F75">
          <w:rPr>
            <w:noProof/>
            <w:webHidden/>
          </w:rPr>
          <w:fldChar w:fldCharType="end"/>
        </w:r>
      </w:hyperlink>
    </w:p>
    <w:p w:rsidR="000D7F75" w:rsidRDefault="00445899" w:rsidP="009636D2">
      <w:pPr>
        <w:pStyle w:val="TDC2"/>
        <w:ind w:left="0"/>
        <w:rPr>
          <w:rFonts w:asciiTheme="minorHAnsi" w:eastAsiaTheme="minorEastAsia" w:hAnsiTheme="minorHAnsi" w:cstheme="minorBidi"/>
          <w:noProof/>
          <w:szCs w:val="22"/>
          <w:lang w:val="es-ES" w:eastAsia="es-ES"/>
        </w:rPr>
      </w:pPr>
      <w:hyperlink w:anchor="_Toc4671433" w:history="1">
        <w:r w:rsidR="000D7F75" w:rsidRPr="00C8771B">
          <w:rPr>
            <w:rStyle w:val="Hipervnculo"/>
            <w:noProof/>
          </w:rPr>
          <w:t>V.3. Conclusión final y recomendaciones</w:t>
        </w:r>
        <w:r w:rsidR="000D7F75">
          <w:rPr>
            <w:noProof/>
            <w:webHidden/>
          </w:rPr>
          <w:tab/>
        </w:r>
        <w:r w:rsidR="000D7F75">
          <w:rPr>
            <w:noProof/>
            <w:webHidden/>
          </w:rPr>
          <w:fldChar w:fldCharType="begin"/>
        </w:r>
        <w:r w:rsidR="000D7F75">
          <w:rPr>
            <w:noProof/>
            <w:webHidden/>
          </w:rPr>
          <w:instrText xml:space="preserve"> PAGEREF _Toc4671433 \h </w:instrText>
        </w:r>
        <w:r w:rsidR="000D7F75">
          <w:rPr>
            <w:noProof/>
            <w:webHidden/>
          </w:rPr>
        </w:r>
        <w:r w:rsidR="000D7F75">
          <w:rPr>
            <w:noProof/>
            <w:webHidden/>
          </w:rPr>
          <w:fldChar w:fldCharType="separate"/>
        </w:r>
        <w:r w:rsidR="00161253">
          <w:rPr>
            <w:noProof/>
            <w:webHidden/>
          </w:rPr>
          <w:t>31</w:t>
        </w:r>
        <w:r w:rsidR="000D7F75">
          <w:rPr>
            <w:noProof/>
            <w:webHidden/>
          </w:rPr>
          <w:fldChar w:fldCharType="end"/>
        </w:r>
      </w:hyperlink>
    </w:p>
    <w:p w:rsidR="000D7F75" w:rsidRDefault="00445899" w:rsidP="009636D2">
      <w:pPr>
        <w:pStyle w:val="TDC1"/>
        <w:rPr>
          <w:rFonts w:asciiTheme="minorHAnsi" w:eastAsiaTheme="minorEastAsia" w:hAnsiTheme="minorHAnsi" w:cstheme="minorBidi"/>
          <w:smallCaps w:val="0"/>
          <w:noProof/>
          <w:szCs w:val="22"/>
          <w:lang w:val="es-ES" w:eastAsia="es-ES"/>
        </w:rPr>
      </w:pPr>
      <w:hyperlink w:anchor="_Toc4671434" w:history="1">
        <w:r w:rsidR="000D7F75" w:rsidRPr="00C8771B">
          <w:rPr>
            <w:rStyle w:val="Hipervnculo"/>
            <w:rFonts w:eastAsiaTheme="minorHAnsi"/>
            <w:noProof/>
          </w:rPr>
          <w:t>Anexos</w:t>
        </w:r>
        <w:r w:rsidR="000D7F75">
          <w:rPr>
            <w:noProof/>
            <w:webHidden/>
          </w:rPr>
          <w:tab/>
        </w:r>
        <w:r w:rsidR="000D7F75">
          <w:rPr>
            <w:noProof/>
            <w:webHidden/>
          </w:rPr>
          <w:fldChar w:fldCharType="begin"/>
        </w:r>
        <w:r w:rsidR="000D7F75">
          <w:rPr>
            <w:noProof/>
            <w:webHidden/>
          </w:rPr>
          <w:instrText xml:space="preserve"> PAGEREF _Toc4671434 \h </w:instrText>
        </w:r>
        <w:r w:rsidR="000D7F75">
          <w:rPr>
            <w:noProof/>
            <w:webHidden/>
          </w:rPr>
        </w:r>
        <w:r w:rsidR="000D7F75">
          <w:rPr>
            <w:noProof/>
            <w:webHidden/>
          </w:rPr>
          <w:fldChar w:fldCharType="separate"/>
        </w:r>
        <w:r w:rsidR="00161253">
          <w:rPr>
            <w:noProof/>
            <w:webHidden/>
          </w:rPr>
          <w:t>36</w:t>
        </w:r>
        <w:r w:rsidR="000D7F75">
          <w:rPr>
            <w:noProof/>
            <w:webHidden/>
          </w:rPr>
          <w:fldChar w:fldCharType="end"/>
        </w:r>
      </w:hyperlink>
    </w:p>
    <w:p w:rsidR="000D7F75" w:rsidRDefault="00445899" w:rsidP="009636D2">
      <w:pPr>
        <w:pStyle w:val="TDC2"/>
        <w:ind w:left="0"/>
        <w:rPr>
          <w:rFonts w:asciiTheme="minorHAnsi" w:eastAsiaTheme="minorEastAsia" w:hAnsiTheme="minorHAnsi" w:cstheme="minorBidi"/>
          <w:noProof/>
          <w:szCs w:val="22"/>
          <w:lang w:val="es-ES" w:eastAsia="es-ES"/>
        </w:rPr>
      </w:pPr>
      <w:hyperlink w:anchor="_Toc4671435" w:history="1">
        <w:r w:rsidR="000D7F75" w:rsidRPr="00C8771B">
          <w:rPr>
            <w:rStyle w:val="Hipervnculo"/>
            <w:noProof/>
          </w:rPr>
          <w:t>Anexo 1. Esquema tecnológico global del procedimiento de gestión de la prestación farmacéutica</w:t>
        </w:r>
        <w:r w:rsidR="000D7F75">
          <w:rPr>
            <w:noProof/>
            <w:webHidden/>
          </w:rPr>
          <w:tab/>
        </w:r>
        <w:r w:rsidR="000D7F75">
          <w:rPr>
            <w:noProof/>
            <w:webHidden/>
          </w:rPr>
          <w:fldChar w:fldCharType="begin"/>
        </w:r>
        <w:r w:rsidR="000D7F75">
          <w:rPr>
            <w:noProof/>
            <w:webHidden/>
          </w:rPr>
          <w:instrText xml:space="preserve"> PAGEREF _Toc4671435 \h </w:instrText>
        </w:r>
        <w:r w:rsidR="000D7F75">
          <w:rPr>
            <w:noProof/>
            <w:webHidden/>
          </w:rPr>
        </w:r>
        <w:r w:rsidR="000D7F75">
          <w:rPr>
            <w:noProof/>
            <w:webHidden/>
          </w:rPr>
          <w:fldChar w:fldCharType="separate"/>
        </w:r>
        <w:r w:rsidR="00161253">
          <w:rPr>
            <w:noProof/>
            <w:webHidden/>
          </w:rPr>
          <w:t>37</w:t>
        </w:r>
        <w:r w:rsidR="000D7F75">
          <w:rPr>
            <w:noProof/>
            <w:webHidden/>
          </w:rPr>
          <w:fldChar w:fldCharType="end"/>
        </w:r>
      </w:hyperlink>
    </w:p>
    <w:p w:rsidR="000D7F75" w:rsidRDefault="00445899" w:rsidP="009636D2">
      <w:pPr>
        <w:pStyle w:val="TDC2"/>
        <w:ind w:left="0"/>
        <w:rPr>
          <w:rFonts w:asciiTheme="minorHAnsi" w:eastAsiaTheme="minorEastAsia" w:hAnsiTheme="minorHAnsi" w:cstheme="minorBidi"/>
          <w:noProof/>
          <w:szCs w:val="22"/>
          <w:lang w:val="es-ES" w:eastAsia="es-ES"/>
        </w:rPr>
      </w:pPr>
      <w:hyperlink w:anchor="_Toc4671436" w:history="1">
        <w:r w:rsidR="000D7F75" w:rsidRPr="00C8771B">
          <w:rPr>
            <w:rStyle w:val="Hipervnculo"/>
            <w:noProof/>
          </w:rPr>
          <w:t>Anexo 2. Normativa básica aplicable a la gestión de la prestación farmacéutica</w:t>
        </w:r>
        <w:r w:rsidR="000D7F75">
          <w:rPr>
            <w:noProof/>
            <w:webHidden/>
          </w:rPr>
          <w:tab/>
        </w:r>
        <w:r w:rsidR="000D7F75">
          <w:rPr>
            <w:noProof/>
            <w:webHidden/>
          </w:rPr>
          <w:fldChar w:fldCharType="begin"/>
        </w:r>
        <w:r w:rsidR="000D7F75">
          <w:rPr>
            <w:noProof/>
            <w:webHidden/>
          </w:rPr>
          <w:instrText xml:space="preserve"> PAGEREF _Toc4671436 \h </w:instrText>
        </w:r>
        <w:r w:rsidR="000D7F75">
          <w:rPr>
            <w:noProof/>
            <w:webHidden/>
          </w:rPr>
        </w:r>
        <w:r w:rsidR="000D7F75">
          <w:rPr>
            <w:noProof/>
            <w:webHidden/>
          </w:rPr>
          <w:fldChar w:fldCharType="separate"/>
        </w:r>
        <w:r w:rsidR="00161253">
          <w:rPr>
            <w:noProof/>
            <w:webHidden/>
          </w:rPr>
          <w:t>38</w:t>
        </w:r>
        <w:r w:rsidR="000D7F75">
          <w:rPr>
            <w:noProof/>
            <w:webHidden/>
          </w:rPr>
          <w:fldChar w:fldCharType="end"/>
        </w:r>
      </w:hyperlink>
    </w:p>
    <w:p w:rsidR="000D7F75" w:rsidRDefault="00445899" w:rsidP="009636D2">
      <w:pPr>
        <w:pStyle w:val="TDC2"/>
        <w:ind w:left="0"/>
        <w:rPr>
          <w:rFonts w:asciiTheme="minorHAnsi" w:eastAsiaTheme="minorEastAsia" w:hAnsiTheme="minorHAnsi" w:cstheme="minorBidi"/>
          <w:noProof/>
          <w:szCs w:val="22"/>
          <w:lang w:val="es-ES" w:eastAsia="es-ES"/>
        </w:rPr>
      </w:pPr>
      <w:hyperlink w:anchor="_Toc4671437" w:history="1">
        <w:r w:rsidR="000D7F75" w:rsidRPr="00C8771B">
          <w:rPr>
            <w:rStyle w:val="Hipervnculo"/>
            <w:noProof/>
          </w:rPr>
          <w:t>Anexo 3. Procedimiento de gestión de la receta electrónica en el SNS-O</w:t>
        </w:r>
        <w:r w:rsidR="000D7F75">
          <w:rPr>
            <w:noProof/>
            <w:webHidden/>
          </w:rPr>
          <w:tab/>
        </w:r>
        <w:r w:rsidR="000D7F75">
          <w:rPr>
            <w:noProof/>
            <w:webHidden/>
          </w:rPr>
          <w:fldChar w:fldCharType="begin"/>
        </w:r>
        <w:r w:rsidR="000D7F75">
          <w:rPr>
            <w:noProof/>
            <w:webHidden/>
          </w:rPr>
          <w:instrText xml:space="preserve"> PAGEREF _Toc4671437 \h </w:instrText>
        </w:r>
        <w:r w:rsidR="000D7F75">
          <w:rPr>
            <w:noProof/>
            <w:webHidden/>
          </w:rPr>
        </w:r>
        <w:r w:rsidR="000D7F75">
          <w:rPr>
            <w:noProof/>
            <w:webHidden/>
          </w:rPr>
          <w:fldChar w:fldCharType="separate"/>
        </w:r>
        <w:r w:rsidR="00161253">
          <w:rPr>
            <w:noProof/>
            <w:webHidden/>
          </w:rPr>
          <w:t>40</w:t>
        </w:r>
        <w:r w:rsidR="000D7F75">
          <w:rPr>
            <w:noProof/>
            <w:webHidden/>
          </w:rPr>
          <w:fldChar w:fldCharType="end"/>
        </w:r>
      </w:hyperlink>
    </w:p>
    <w:p w:rsidR="000D7F75" w:rsidRDefault="00445899" w:rsidP="009636D2">
      <w:pPr>
        <w:pStyle w:val="TDC1"/>
        <w:rPr>
          <w:rFonts w:asciiTheme="minorHAnsi" w:eastAsiaTheme="minorEastAsia" w:hAnsiTheme="minorHAnsi" w:cstheme="minorBidi"/>
          <w:smallCaps w:val="0"/>
          <w:noProof/>
          <w:szCs w:val="22"/>
          <w:lang w:val="es-ES" w:eastAsia="es-ES"/>
        </w:rPr>
      </w:pPr>
      <w:hyperlink w:anchor="_Toc4671438" w:history="1">
        <w:r w:rsidR="000D7F75" w:rsidRPr="00C8771B">
          <w:rPr>
            <w:rStyle w:val="Hipervnculo"/>
            <w:bCs/>
            <w:noProof/>
          </w:rPr>
          <w:t>Alegaciones formuladas al informe provisional</w:t>
        </w:r>
        <w:r w:rsidR="000D7F75">
          <w:rPr>
            <w:noProof/>
            <w:webHidden/>
          </w:rPr>
          <w:tab/>
        </w:r>
        <w:r w:rsidR="000D7F75">
          <w:rPr>
            <w:noProof/>
            <w:webHidden/>
          </w:rPr>
          <w:fldChar w:fldCharType="begin"/>
        </w:r>
        <w:r w:rsidR="000D7F75">
          <w:rPr>
            <w:noProof/>
            <w:webHidden/>
          </w:rPr>
          <w:instrText xml:space="preserve"> PAGEREF _Toc4671438 \h </w:instrText>
        </w:r>
        <w:r w:rsidR="000D7F75">
          <w:rPr>
            <w:noProof/>
            <w:webHidden/>
          </w:rPr>
        </w:r>
        <w:r w:rsidR="000D7F75">
          <w:rPr>
            <w:noProof/>
            <w:webHidden/>
          </w:rPr>
          <w:fldChar w:fldCharType="separate"/>
        </w:r>
        <w:r w:rsidR="00161253">
          <w:rPr>
            <w:noProof/>
            <w:webHidden/>
          </w:rPr>
          <w:t>41</w:t>
        </w:r>
        <w:r w:rsidR="000D7F75">
          <w:rPr>
            <w:noProof/>
            <w:webHidden/>
          </w:rPr>
          <w:fldChar w:fldCharType="end"/>
        </w:r>
      </w:hyperlink>
    </w:p>
    <w:p w:rsidR="000D7F75" w:rsidRDefault="00445899" w:rsidP="009636D2">
      <w:pPr>
        <w:pStyle w:val="TDC1"/>
        <w:rPr>
          <w:rFonts w:asciiTheme="minorHAnsi" w:eastAsiaTheme="minorEastAsia" w:hAnsiTheme="minorHAnsi" w:cstheme="minorBidi"/>
          <w:smallCaps w:val="0"/>
          <w:noProof/>
          <w:szCs w:val="22"/>
          <w:lang w:val="es-ES" w:eastAsia="es-ES"/>
        </w:rPr>
      </w:pPr>
      <w:hyperlink w:anchor="_Toc4671439" w:history="1">
        <w:r w:rsidR="000D7F75" w:rsidRPr="00C8771B">
          <w:rPr>
            <w:rStyle w:val="Hipervnculo"/>
            <w:noProof/>
          </w:rPr>
          <w:t>Contestación de la Cámara de Comptos a las alegaciones presentadas al informe provisional</w:t>
        </w:r>
      </w:hyperlink>
    </w:p>
    <w:p w:rsidR="00891D73" w:rsidRDefault="0014728F" w:rsidP="009636D2">
      <w:pPr>
        <w:pStyle w:val="texto"/>
      </w:pPr>
      <w:r>
        <w:fldChar w:fldCharType="end"/>
      </w:r>
    </w:p>
    <w:p w:rsidR="00FB0E27" w:rsidRDefault="00FB0E27" w:rsidP="00891D73">
      <w:pPr>
        <w:pStyle w:val="texto"/>
        <w:sectPr w:rsidR="00FB0E27" w:rsidSect="00160F66">
          <w:type w:val="oddPage"/>
          <w:pgSz w:w="11907" w:h="16840" w:code="9"/>
          <w:pgMar w:top="2109" w:right="1559" w:bottom="1644" w:left="1559" w:header="369" w:footer="402" w:gutter="0"/>
          <w:pgNumType w:start="3"/>
          <w:cols w:space="720"/>
          <w:docGrid w:linePitch="360"/>
        </w:sectPr>
      </w:pPr>
    </w:p>
    <w:p w:rsidR="00C9781F" w:rsidRPr="003A493B" w:rsidRDefault="00C9781F" w:rsidP="00C9781F">
      <w:pPr>
        <w:pStyle w:val="atitulo1"/>
        <w:spacing w:before="240"/>
      </w:pPr>
      <w:bookmarkStart w:id="1" w:name="_Toc3461799"/>
      <w:bookmarkStart w:id="2" w:name="_Toc4671418"/>
      <w:r w:rsidRPr="003A493B">
        <w:lastRenderedPageBreak/>
        <w:t>I. Introducción</w:t>
      </w:r>
      <w:bookmarkEnd w:id="1"/>
      <w:bookmarkEnd w:id="2"/>
    </w:p>
    <w:p w:rsidR="00C9781F" w:rsidRDefault="00C9781F" w:rsidP="00C9781F">
      <w:pPr>
        <w:pStyle w:val="texto"/>
      </w:pPr>
      <w:r>
        <w:t>L</w:t>
      </w:r>
      <w:r w:rsidRPr="00496A93">
        <w:t>a Cámara de Comptos</w:t>
      </w:r>
      <w:r>
        <w:t xml:space="preserve"> incluyó en su programa anual de fiscalización del año 2018 la realización de un </w:t>
      </w:r>
      <w:r w:rsidRPr="00FE18A4">
        <w:t xml:space="preserve">informe sobre </w:t>
      </w:r>
      <w:r>
        <w:t>la gestión de la prestación farm</w:t>
      </w:r>
      <w:r>
        <w:t>a</w:t>
      </w:r>
      <w:r>
        <w:t>céutica en el Servicio Navarro de Salud-</w:t>
      </w:r>
      <w:proofErr w:type="spellStart"/>
      <w:r>
        <w:t>Osasunbidea</w:t>
      </w:r>
      <w:proofErr w:type="spellEnd"/>
      <w:r>
        <w:t xml:space="preserve"> (SNS-O en adelante)</w:t>
      </w:r>
      <w:r w:rsidRPr="00FE18A4">
        <w:t>.</w:t>
      </w:r>
    </w:p>
    <w:p w:rsidR="00C9781F" w:rsidRPr="00490649" w:rsidRDefault="00C9781F" w:rsidP="00C9781F">
      <w:pPr>
        <w:pStyle w:val="texto"/>
        <w:tabs>
          <w:tab w:val="clear" w:pos="2835"/>
          <w:tab w:val="clear" w:pos="3969"/>
          <w:tab w:val="clear" w:pos="5103"/>
          <w:tab w:val="clear" w:pos="6237"/>
          <w:tab w:val="clear" w:pos="7371"/>
        </w:tabs>
        <w:rPr>
          <w:szCs w:val="26"/>
        </w:rPr>
      </w:pPr>
      <w:r>
        <w:rPr>
          <w:szCs w:val="26"/>
        </w:rPr>
        <w:t>Dadas las especiales características del trabajo sobre los sistemas de info</w:t>
      </w:r>
      <w:r>
        <w:rPr>
          <w:szCs w:val="26"/>
        </w:rPr>
        <w:t>r</w:t>
      </w:r>
      <w:r>
        <w:rPr>
          <w:szCs w:val="26"/>
        </w:rPr>
        <w:t>mación involucrados en la gestión de la prestación farmacéutica, y dado que era la primera vez que se realizaba en la Cámara un informe de este tipo, se contr</w:t>
      </w:r>
      <w:r>
        <w:rPr>
          <w:szCs w:val="26"/>
        </w:rPr>
        <w:t>a</w:t>
      </w:r>
      <w:r>
        <w:rPr>
          <w:szCs w:val="26"/>
        </w:rPr>
        <w:t>tó a una empresa experta en auditoría informática para que colaborara con el equipo de fiscalización de la Cámara de Comptos.</w:t>
      </w:r>
    </w:p>
    <w:p w:rsidR="00C9781F" w:rsidRPr="00FE18A4" w:rsidRDefault="00C9781F" w:rsidP="00C9781F">
      <w:pPr>
        <w:pStyle w:val="texto"/>
      </w:pPr>
      <w:r>
        <w:t>El trabajo lo realizó entre el mes de noviembre de 2018 y febrero de 2019 un equipo integrado por dos técnicas de auditoría, un técnico superior en sistemas informáticos y una auditora, con la colaboración de los servicios jurídicos y administrativos de la Cámara de Comptos.</w:t>
      </w:r>
    </w:p>
    <w:p w:rsidR="00C9781F" w:rsidRDefault="00C9781F" w:rsidP="00C9781F">
      <w:pPr>
        <w:pStyle w:val="texto"/>
      </w:pPr>
      <w:r w:rsidRPr="00496A93">
        <w:t xml:space="preserve">El informe se estructura en </w:t>
      </w:r>
      <w:r>
        <w:t>cinco</w:t>
      </w:r>
      <w:r w:rsidRPr="00496A93">
        <w:t xml:space="preserve"> epígrafes incluida esta introducción; en el segundo se describen </w:t>
      </w:r>
      <w:r>
        <w:t>aspectos generales relacionados con la gestión de la pre</w:t>
      </w:r>
      <w:r>
        <w:t>s</w:t>
      </w:r>
      <w:r>
        <w:t xml:space="preserve">tación farmacéutica en el SNS-O; </w:t>
      </w:r>
      <w:r w:rsidRPr="00496A93">
        <w:t xml:space="preserve">el tercero </w:t>
      </w:r>
      <w:r>
        <w:t>describe los objetivos, el alcance y las limitaciones del trabajo realizado; el cuarto contiene la conclusión sobre el control interno y los sistemas de información relacionados con la prestación farmacéutica, y nuestra opinión de cumplimiento y financiera, y el quinto y ú</w:t>
      </w:r>
      <w:r>
        <w:t>l</w:t>
      </w:r>
      <w:r>
        <w:t xml:space="preserve">timo, </w:t>
      </w:r>
      <w:r w:rsidRPr="00496A93">
        <w:t xml:space="preserve">expone las conclusiones y recomendaciones </w:t>
      </w:r>
      <w:r>
        <w:t>del trabajo realizado.</w:t>
      </w:r>
    </w:p>
    <w:p w:rsidR="00C9781F" w:rsidRDefault="00C9781F" w:rsidP="00C9781F">
      <w:pPr>
        <w:pStyle w:val="texto"/>
      </w:pPr>
      <w:r>
        <w:t xml:space="preserve">Agradecemos </w:t>
      </w:r>
      <w:r w:rsidR="00F151A6">
        <w:t>la colaboración prestada por el personal de los siguientes o</w:t>
      </w:r>
      <w:r w:rsidR="00F151A6">
        <w:t>r</w:t>
      </w:r>
      <w:r w:rsidR="00F151A6">
        <w:t>ganismos:</w:t>
      </w:r>
      <w:r>
        <w:t xml:space="preserve"> Servicio de Gestión de la Prestación Farmacéutica, Subdirección de Farmacia, Servicio de Gestión de Prestaciones y Conciertos, Sección de In</w:t>
      </w:r>
      <w:r>
        <w:t>s</w:t>
      </w:r>
      <w:r>
        <w:t>pección Farmacéutica, Sección de la Tarjeta Individual Sanitaria, de la empresa IECISA contratada por la Dirección General de Informática e Innovación P</w:t>
      </w:r>
      <w:r>
        <w:t>ú</w:t>
      </w:r>
      <w:r>
        <w:t xml:space="preserve">blica (DGITIP en adelante), </w:t>
      </w:r>
      <w:r w:rsidR="0036517C">
        <w:t>TRACASA Instrumental S.L</w:t>
      </w:r>
      <w:r>
        <w:t>., Servicio de Apoyo a la Gestión Clínica y Continuidad Asistencial, Servicio de Sistemas de Inform</w:t>
      </w:r>
      <w:r>
        <w:t>a</w:t>
      </w:r>
      <w:r>
        <w:t xml:space="preserve">ción Sanitaria, Servicio de Sistemas de Información Corporativos, </w:t>
      </w:r>
      <w:r w:rsidR="00F52109">
        <w:t xml:space="preserve">Servicio de Infraestructuras Tecnológicas y Centro Soporte, </w:t>
      </w:r>
      <w:r>
        <w:t>Servicio de Presupuestos y Contabilidad, del Colegio Oficial de Farmacéuticos de Navarra (COFNA en adelante), oficinas de farmacia, y empresa externa que participa en la gestión de la prestación farmacéuti</w:t>
      </w:r>
      <w:r w:rsidR="00F151A6">
        <w:t>ca.</w:t>
      </w:r>
    </w:p>
    <w:p w:rsidR="00EA459E" w:rsidRPr="00391F00" w:rsidRDefault="00EA459E" w:rsidP="00EA459E">
      <w:pPr>
        <w:pStyle w:val="texto"/>
        <w:rPr>
          <w:lang w:val="es-ES"/>
        </w:rPr>
      </w:pPr>
      <w:r w:rsidRPr="00391F00">
        <w:rPr>
          <w:lang w:val="es-ES"/>
        </w:rPr>
        <w:t>De conformidad con lo previsto en el artículo 11 de la Ley Foral 19/1984, reguladora de la Cámara de Comptos de Navarra, los resultados de este trabajo se pusieron de manifiesto, con el fin de que formularan alegaciones, a las pe</w:t>
      </w:r>
      <w:r w:rsidRPr="00391F00">
        <w:rPr>
          <w:lang w:val="es-ES"/>
        </w:rPr>
        <w:t>r</w:t>
      </w:r>
      <w:r w:rsidRPr="00391F00">
        <w:rPr>
          <w:lang w:val="es-ES"/>
        </w:rPr>
        <w:t>sonas que ocupaban los siguientes cargos:</w:t>
      </w:r>
    </w:p>
    <w:p w:rsidR="00EA459E" w:rsidRPr="00391F00" w:rsidRDefault="00EA459E" w:rsidP="002303D6">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spacing w:after="0"/>
        <w:ind w:left="0" w:firstLine="289"/>
        <w:rPr>
          <w:szCs w:val="26"/>
        </w:rPr>
      </w:pPr>
      <w:r w:rsidRPr="00391F00">
        <w:rPr>
          <w:szCs w:val="26"/>
        </w:rPr>
        <w:t>Consejero del Departamento de Salud.</w:t>
      </w:r>
    </w:p>
    <w:p w:rsidR="00EA459E" w:rsidRPr="00391F00" w:rsidRDefault="00EA459E" w:rsidP="002303D6">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spacing w:after="0"/>
        <w:ind w:left="0" w:firstLine="289"/>
        <w:rPr>
          <w:szCs w:val="26"/>
        </w:rPr>
      </w:pPr>
      <w:r w:rsidRPr="00391F00">
        <w:rPr>
          <w:szCs w:val="26"/>
        </w:rPr>
        <w:t>Director Gerente del Servicio Navarro de Salud-</w:t>
      </w:r>
      <w:proofErr w:type="spellStart"/>
      <w:r w:rsidRPr="00391F00">
        <w:rPr>
          <w:szCs w:val="26"/>
        </w:rPr>
        <w:t>Osasunbidea</w:t>
      </w:r>
      <w:proofErr w:type="spellEnd"/>
      <w:r w:rsidRPr="00391F00">
        <w:rPr>
          <w:szCs w:val="26"/>
        </w:rPr>
        <w:t>.</w:t>
      </w:r>
    </w:p>
    <w:p w:rsidR="00EA459E" w:rsidRPr="00391F00" w:rsidRDefault="00EA459E" w:rsidP="002303D6">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spacing w:after="0"/>
        <w:ind w:left="0" w:firstLine="289"/>
        <w:rPr>
          <w:szCs w:val="26"/>
        </w:rPr>
      </w:pPr>
      <w:r w:rsidRPr="00391F00">
        <w:rPr>
          <w:szCs w:val="26"/>
        </w:rPr>
        <w:t>Consejero de Hacienda y Política Financiera.</w:t>
      </w:r>
    </w:p>
    <w:p w:rsidR="00EA459E" w:rsidRPr="00391F00" w:rsidRDefault="00EA459E" w:rsidP="002303D6">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spacing w:after="0"/>
        <w:ind w:left="0" w:firstLine="289"/>
        <w:rPr>
          <w:szCs w:val="26"/>
        </w:rPr>
      </w:pPr>
      <w:r w:rsidRPr="00391F00">
        <w:rPr>
          <w:szCs w:val="26"/>
        </w:rPr>
        <w:lastRenderedPageBreak/>
        <w:t xml:space="preserve">Director Gerente de la Hacienda </w:t>
      </w:r>
      <w:r w:rsidR="00D9134C" w:rsidRPr="00391F00">
        <w:rPr>
          <w:szCs w:val="26"/>
        </w:rPr>
        <w:t>T</w:t>
      </w:r>
      <w:r w:rsidRPr="00391F00">
        <w:rPr>
          <w:szCs w:val="26"/>
        </w:rPr>
        <w:t>ributaria</w:t>
      </w:r>
      <w:r w:rsidR="00D9134C" w:rsidRPr="00391F00">
        <w:rPr>
          <w:szCs w:val="26"/>
        </w:rPr>
        <w:t xml:space="preserve"> </w:t>
      </w:r>
      <w:r w:rsidRPr="00391F00">
        <w:rPr>
          <w:szCs w:val="26"/>
        </w:rPr>
        <w:t>de Navarra.</w:t>
      </w:r>
    </w:p>
    <w:p w:rsidR="002C15B7" w:rsidRPr="00391F00" w:rsidRDefault="002C15B7" w:rsidP="002303D6">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spacing w:after="0"/>
        <w:ind w:left="0" w:firstLine="289"/>
        <w:rPr>
          <w:szCs w:val="26"/>
        </w:rPr>
      </w:pPr>
      <w:r w:rsidRPr="00391F00">
        <w:rPr>
          <w:szCs w:val="26"/>
        </w:rPr>
        <w:t>Consejera de Presidencia, Función Pública, Interior y Justicia.</w:t>
      </w:r>
    </w:p>
    <w:p w:rsidR="00EA459E" w:rsidRPr="00391F00" w:rsidRDefault="00EA459E" w:rsidP="002303D6">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spacing w:after="0"/>
        <w:ind w:left="0" w:firstLine="289"/>
        <w:rPr>
          <w:szCs w:val="26"/>
        </w:rPr>
      </w:pPr>
      <w:r w:rsidRPr="00391F00">
        <w:rPr>
          <w:szCs w:val="26"/>
        </w:rPr>
        <w:t>Presidenta del COFNA.</w:t>
      </w:r>
    </w:p>
    <w:p w:rsidR="00EA459E" w:rsidRPr="00391F00" w:rsidRDefault="00EA459E" w:rsidP="00EA459E">
      <w:pPr>
        <w:pStyle w:val="texto"/>
        <w:spacing w:before="140"/>
        <w:rPr>
          <w:lang w:val="es-ES"/>
        </w:rPr>
      </w:pPr>
      <w:r w:rsidRPr="00391F00">
        <w:rPr>
          <w:lang w:val="es-ES"/>
        </w:rPr>
        <w:t xml:space="preserve">Han presentado alegaciones, en el plazo fijado por la Cámara de Comptos </w:t>
      </w:r>
      <w:proofErr w:type="gramStart"/>
      <w:r w:rsidRPr="00391F00">
        <w:rPr>
          <w:lang w:val="es-ES"/>
        </w:rPr>
        <w:t>las</w:t>
      </w:r>
      <w:proofErr w:type="gramEnd"/>
      <w:r w:rsidRPr="00391F00">
        <w:rPr>
          <w:lang w:val="es-ES"/>
        </w:rPr>
        <w:t xml:space="preserve"> siguientes departamentos y organismos: COFNA, Hacienda tributaria de Nav</w:t>
      </w:r>
      <w:r w:rsidRPr="00391F00">
        <w:rPr>
          <w:lang w:val="es-ES"/>
        </w:rPr>
        <w:t>a</w:t>
      </w:r>
      <w:r w:rsidRPr="00391F00">
        <w:rPr>
          <w:lang w:val="es-ES"/>
        </w:rPr>
        <w:t>rra</w:t>
      </w:r>
      <w:r w:rsidR="002C15B7" w:rsidRPr="00391F00">
        <w:rPr>
          <w:lang w:val="es-ES"/>
        </w:rPr>
        <w:t>, Departamento de Presidencia, Función Pública, Interior y Justicia, y</w:t>
      </w:r>
      <w:r w:rsidRPr="00391F00">
        <w:rPr>
          <w:lang w:val="es-ES"/>
        </w:rPr>
        <w:t xml:space="preserve"> Depa</w:t>
      </w:r>
      <w:r w:rsidRPr="00391F00">
        <w:rPr>
          <w:lang w:val="es-ES"/>
        </w:rPr>
        <w:t>r</w:t>
      </w:r>
      <w:r w:rsidRPr="00391F00">
        <w:rPr>
          <w:lang w:val="es-ES"/>
        </w:rPr>
        <w:t>tamento de Salud. Estas alegaciones que no han supuesto m</w:t>
      </w:r>
      <w:r w:rsidR="00D9134C" w:rsidRPr="00391F00">
        <w:rPr>
          <w:lang w:val="es-ES"/>
        </w:rPr>
        <w:t>odificaciones en nuestro informe a excepción de una matización del COFNA</w:t>
      </w:r>
      <w:r w:rsidRPr="00391F00">
        <w:rPr>
          <w:lang w:val="es-ES"/>
        </w:rPr>
        <w:t>, junto con la co</w:t>
      </w:r>
      <w:r w:rsidRPr="00391F00">
        <w:rPr>
          <w:lang w:val="es-ES"/>
        </w:rPr>
        <w:t>n</w:t>
      </w:r>
      <w:r w:rsidRPr="00391F00">
        <w:rPr>
          <w:lang w:val="es-ES"/>
        </w:rPr>
        <w:t>testación de esta Cámara a las mismas, se adjuntan al informe definitivo</w:t>
      </w:r>
    </w:p>
    <w:p w:rsidR="00EA459E" w:rsidRPr="00391F00" w:rsidRDefault="00EA459E" w:rsidP="00C9781F">
      <w:pPr>
        <w:pStyle w:val="texto"/>
        <w:rPr>
          <w:lang w:val="es-ES"/>
        </w:rPr>
      </w:pPr>
    </w:p>
    <w:p w:rsidR="00C9781F" w:rsidRDefault="00C9781F" w:rsidP="00C9781F">
      <w:pPr>
        <w:spacing w:after="0"/>
        <w:ind w:firstLine="0"/>
        <w:jc w:val="left"/>
        <w:rPr>
          <w:spacing w:val="6"/>
          <w:sz w:val="26"/>
          <w:szCs w:val="24"/>
        </w:rPr>
      </w:pPr>
      <w:r>
        <w:br w:type="page"/>
      </w:r>
    </w:p>
    <w:p w:rsidR="00C9781F" w:rsidRPr="00BB1925" w:rsidRDefault="00C9781F" w:rsidP="00C9781F">
      <w:pPr>
        <w:pStyle w:val="atitulo1"/>
      </w:pPr>
      <w:bookmarkStart w:id="3" w:name="_Toc3461800"/>
      <w:bookmarkStart w:id="4" w:name="_Toc4671419"/>
      <w:r>
        <w:lastRenderedPageBreak/>
        <w:t>II</w:t>
      </w:r>
      <w:r w:rsidRPr="00BB1925">
        <w:t xml:space="preserve">. </w:t>
      </w:r>
      <w:r>
        <w:t>Gestión de la prestación farmacéutica en el SNS-O</w:t>
      </w:r>
      <w:bookmarkEnd w:id="3"/>
      <w:bookmarkEnd w:id="4"/>
    </w:p>
    <w:p w:rsidR="00C9781F" w:rsidRDefault="00C9781F" w:rsidP="00C9781F">
      <w:pPr>
        <w:pStyle w:val="atitulo2"/>
        <w:rPr>
          <w:rFonts w:ascii="Times New Roman" w:hAnsi="Times New Roman"/>
        </w:rPr>
      </w:pPr>
      <w:bookmarkStart w:id="5" w:name="_Toc534015416"/>
      <w:bookmarkStart w:id="6" w:name="_Toc3461801"/>
      <w:bookmarkStart w:id="7" w:name="_Toc4671420"/>
      <w:r>
        <w:t>II.1.</w:t>
      </w:r>
      <w:r w:rsidRPr="00C13999">
        <w:t xml:space="preserve"> </w:t>
      </w:r>
      <w:r>
        <w:t>Aspectos generales</w:t>
      </w:r>
      <w:bookmarkEnd w:id="5"/>
      <w:bookmarkEnd w:id="6"/>
      <w:bookmarkEnd w:id="7"/>
    </w:p>
    <w:p w:rsidR="00C9781F" w:rsidRPr="00A47C76" w:rsidRDefault="00C9781F" w:rsidP="00F151A6">
      <w:pPr>
        <w:pStyle w:val="texto"/>
        <w:tabs>
          <w:tab w:val="clear" w:pos="2835"/>
          <w:tab w:val="clear" w:pos="3969"/>
          <w:tab w:val="clear" w:pos="5103"/>
          <w:tab w:val="clear" w:pos="6237"/>
          <w:tab w:val="clear" w:pos="7371"/>
        </w:tabs>
        <w:spacing w:before="200" w:after="200"/>
        <w:ind w:firstLine="0"/>
        <w:rPr>
          <w:rFonts w:ascii="Arial" w:hAnsi="Arial" w:cs="Arial"/>
          <w:i/>
          <w:szCs w:val="26"/>
        </w:rPr>
      </w:pPr>
      <w:r w:rsidRPr="00A47C76">
        <w:rPr>
          <w:rFonts w:ascii="Arial" w:hAnsi="Arial" w:cs="Arial"/>
          <w:i/>
          <w:szCs w:val="26"/>
        </w:rPr>
        <w:t>Gasto prestación farmacéutica</w:t>
      </w:r>
    </w:p>
    <w:p w:rsidR="00C9781F" w:rsidRDefault="00C9781F" w:rsidP="00C9781F">
      <w:pPr>
        <w:pStyle w:val="texto"/>
        <w:tabs>
          <w:tab w:val="clear" w:pos="2835"/>
          <w:tab w:val="clear" w:pos="3969"/>
          <w:tab w:val="clear" w:pos="5103"/>
          <w:tab w:val="clear" w:pos="6237"/>
          <w:tab w:val="clear" w:pos="7371"/>
        </w:tabs>
        <w:rPr>
          <w:szCs w:val="26"/>
        </w:rPr>
      </w:pPr>
      <w:r>
        <w:rPr>
          <w:szCs w:val="26"/>
        </w:rPr>
        <w:t>La gestión de la prestación farmacéutica en el SNS-O se refiere al conjunto de actividades, realizadas por este organismo y entidades colaboradoras, dest</w:t>
      </w:r>
      <w:r>
        <w:rPr>
          <w:szCs w:val="26"/>
        </w:rPr>
        <w:t>i</w:t>
      </w:r>
      <w:r>
        <w:rPr>
          <w:szCs w:val="26"/>
        </w:rPr>
        <w:t>nadas a la prescripción y entrega de medicamentos y productos sanitarios que los ciudadanos precisan para restaurar su salud y/o prevenir una enfermedad</w:t>
      </w:r>
      <w:r w:rsidRPr="00625DB2">
        <w:rPr>
          <w:szCs w:val="26"/>
        </w:rPr>
        <w:t>.</w:t>
      </w:r>
      <w:r>
        <w:rPr>
          <w:szCs w:val="26"/>
        </w:rPr>
        <w:t xml:space="preserve"> </w:t>
      </w:r>
    </w:p>
    <w:p w:rsidR="00C9781F" w:rsidRDefault="00C9781F" w:rsidP="00C9781F">
      <w:pPr>
        <w:pStyle w:val="texto"/>
        <w:tabs>
          <w:tab w:val="clear" w:pos="2835"/>
          <w:tab w:val="clear" w:pos="3969"/>
          <w:tab w:val="clear" w:pos="5103"/>
          <w:tab w:val="clear" w:pos="6237"/>
          <w:tab w:val="clear" w:pos="7371"/>
        </w:tabs>
        <w:rPr>
          <w:szCs w:val="26"/>
        </w:rPr>
      </w:pPr>
      <w:r>
        <w:rPr>
          <w:szCs w:val="26"/>
        </w:rPr>
        <w:t>Los medicamentos y productos sanitarios se financian con fondos públicos en un porcentaje variable sobre el precio de venta, siempre que exista una pre</w:t>
      </w:r>
      <w:r>
        <w:rPr>
          <w:szCs w:val="26"/>
        </w:rPr>
        <w:t>s</w:t>
      </w:r>
      <w:r>
        <w:rPr>
          <w:szCs w:val="26"/>
        </w:rPr>
        <w:t>cripción realizada por personal facultativo, y que estos productos sean fina</w:t>
      </w:r>
      <w:r>
        <w:rPr>
          <w:szCs w:val="26"/>
        </w:rPr>
        <w:t>n</w:t>
      </w:r>
      <w:r>
        <w:rPr>
          <w:szCs w:val="26"/>
        </w:rPr>
        <w:t>ciables según la legislación vigente.</w:t>
      </w:r>
    </w:p>
    <w:p w:rsidR="00C9781F" w:rsidRDefault="00C9781F" w:rsidP="00C9781F">
      <w:pPr>
        <w:pStyle w:val="texto"/>
        <w:tabs>
          <w:tab w:val="clear" w:pos="2835"/>
          <w:tab w:val="clear" w:pos="3969"/>
          <w:tab w:val="clear" w:pos="5103"/>
          <w:tab w:val="clear" w:pos="6237"/>
          <w:tab w:val="clear" w:pos="7371"/>
        </w:tabs>
        <w:spacing w:after="240"/>
        <w:rPr>
          <w:szCs w:val="26"/>
        </w:rPr>
      </w:pPr>
      <w:r>
        <w:rPr>
          <w:szCs w:val="26"/>
        </w:rPr>
        <w:t>El régimen de aportación de los ciudadanos (copago) actual depende del n</w:t>
      </w:r>
      <w:r>
        <w:rPr>
          <w:szCs w:val="26"/>
        </w:rPr>
        <w:t>i</w:t>
      </w:r>
      <w:r>
        <w:rPr>
          <w:szCs w:val="26"/>
        </w:rPr>
        <w:t>vel de renta, edad y grado de discapacidad en su caso; este porcentaje se dete</w:t>
      </w:r>
      <w:r>
        <w:rPr>
          <w:szCs w:val="26"/>
        </w:rPr>
        <w:t>r</w:t>
      </w:r>
      <w:r>
        <w:rPr>
          <w:szCs w:val="26"/>
        </w:rPr>
        <w:t>mina en el Instituto Nacional de la Seguridad Social (INSS en adelante)</w:t>
      </w:r>
      <w:r w:rsidR="00F151A6">
        <w:rPr>
          <w:szCs w:val="26"/>
        </w:rPr>
        <w:t>,</w:t>
      </w:r>
      <w:r>
        <w:rPr>
          <w:szCs w:val="26"/>
        </w:rPr>
        <w:t xml:space="preserve"> unie</w:t>
      </w:r>
      <w:r>
        <w:rPr>
          <w:szCs w:val="26"/>
        </w:rPr>
        <w:t>n</w:t>
      </w:r>
      <w:r>
        <w:rPr>
          <w:szCs w:val="26"/>
        </w:rPr>
        <w:t>do la información que le remiten los órganos de hacienda tributaria de las c</w:t>
      </w:r>
      <w:r>
        <w:rPr>
          <w:szCs w:val="26"/>
        </w:rPr>
        <w:t>o</w:t>
      </w:r>
      <w:r>
        <w:rPr>
          <w:szCs w:val="26"/>
        </w:rPr>
        <w:t>munidades autónomas sobre determinadas casillas de la declaración de la renta, a otros datos relacionados con los parámetros indicados. Mostramos a cont</w:t>
      </w:r>
      <w:r>
        <w:rPr>
          <w:szCs w:val="26"/>
        </w:rPr>
        <w:t>i</w:t>
      </w:r>
      <w:r>
        <w:rPr>
          <w:szCs w:val="26"/>
        </w:rPr>
        <w:t>nuación los porcentajes de aportación actuales:</w:t>
      </w:r>
    </w:p>
    <w:tbl>
      <w:tblPr>
        <w:tblStyle w:val="Tablaconcuadrcula"/>
        <w:tblW w:w="8789"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3686"/>
        <w:gridCol w:w="1701"/>
        <w:gridCol w:w="1445"/>
        <w:gridCol w:w="1957"/>
      </w:tblGrid>
      <w:tr w:rsidR="00C9781F" w:rsidRPr="00264C04" w:rsidTr="00B53A0A">
        <w:trPr>
          <w:trHeight w:val="198"/>
        </w:trPr>
        <w:tc>
          <w:tcPr>
            <w:tcW w:w="3686" w:type="dxa"/>
            <w:tcBorders>
              <w:bottom w:val="single" w:sz="2" w:space="0" w:color="auto"/>
            </w:tcBorders>
            <w:shd w:val="clear" w:color="auto" w:fill="B8CCE4" w:themeFill="accent1" w:themeFillTint="66"/>
            <w:vAlign w:val="center"/>
          </w:tcPr>
          <w:p w:rsidR="00C9781F" w:rsidRPr="00264C04" w:rsidRDefault="00C9781F" w:rsidP="00B53A0A">
            <w:pPr>
              <w:pStyle w:val="texto"/>
              <w:tabs>
                <w:tab w:val="clear" w:pos="2835"/>
                <w:tab w:val="clear" w:pos="3969"/>
                <w:tab w:val="clear" w:pos="5103"/>
                <w:tab w:val="clear" w:pos="6237"/>
                <w:tab w:val="clear" w:pos="7371"/>
              </w:tabs>
              <w:spacing w:after="0"/>
              <w:ind w:firstLine="0"/>
              <w:rPr>
                <w:rFonts w:ascii="Arial" w:hAnsi="Arial" w:cs="Arial"/>
                <w:sz w:val="18"/>
                <w:szCs w:val="18"/>
              </w:rPr>
            </w:pPr>
          </w:p>
        </w:tc>
        <w:tc>
          <w:tcPr>
            <w:tcW w:w="1701" w:type="dxa"/>
            <w:tcBorders>
              <w:bottom w:val="single" w:sz="2" w:space="0" w:color="auto"/>
              <w:right w:val="single" w:sz="2" w:space="0" w:color="auto"/>
            </w:tcBorders>
            <w:shd w:val="clear" w:color="auto" w:fill="B8CCE4" w:themeFill="accent1" w:themeFillTint="66"/>
            <w:vAlign w:val="center"/>
          </w:tcPr>
          <w:p w:rsidR="00C9781F" w:rsidRPr="00264C04"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264C04">
              <w:rPr>
                <w:rFonts w:ascii="Arial" w:hAnsi="Arial" w:cs="Arial"/>
                <w:sz w:val="18"/>
                <w:szCs w:val="18"/>
              </w:rPr>
              <w:t>Activos</w:t>
            </w:r>
          </w:p>
        </w:tc>
        <w:tc>
          <w:tcPr>
            <w:tcW w:w="3402" w:type="dxa"/>
            <w:gridSpan w:val="2"/>
            <w:tcBorders>
              <w:left w:val="single" w:sz="2" w:space="0" w:color="auto"/>
              <w:bottom w:val="single" w:sz="2" w:space="0" w:color="auto"/>
            </w:tcBorders>
            <w:shd w:val="clear" w:color="auto" w:fill="B8CCE4" w:themeFill="accent1" w:themeFillTint="66"/>
            <w:vAlign w:val="center"/>
          </w:tcPr>
          <w:p w:rsidR="00C9781F" w:rsidRPr="00264C04" w:rsidRDefault="00C9781F" w:rsidP="00B53A0A">
            <w:pPr>
              <w:pStyle w:val="texto"/>
              <w:tabs>
                <w:tab w:val="clear" w:pos="2835"/>
                <w:tab w:val="clear" w:pos="3969"/>
                <w:tab w:val="clear" w:pos="5103"/>
                <w:tab w:val="clear" w:pos="6237"/>
                <w:tab w:val="clear" w:pos="7371"/>
              </w:tabs>
              <w:spacing w:after="0"/>
              <w:ind w:firstLine="0"/>
              <w:jc w:val="center"/>
              <w:rPr>
                <w:rFonts w:ascii="Arial" w:hAnsi="Arial" w:cs="Arial"/>
                <w:sz w:val="18"/>
                <w:szCs w:val="18"/>
              </w:rPr>
            </w:pPr>
            <w:r w:rsidRPr="00264C04">
              <w:rPr>
                <w:rFonts w:ascii="Arial" w:hAnsi="Arial" w:cs="Arial"/>
                <w:sz w:val="18"/>
                <w:szCs w:val="18"/>
              </w:rPr>
              <w:t>Pensionistas</w:t>
            </w:r>
          </w:p>
        </w:tc>
      </w:tr>
      <w:tr w:rsidR="00C9781F" w:rsidRPr="00264C04" w:rsidTr="00B53A0A">
        <w:trPr>
          <w:trHeight w:val="198"/>
        </w:trPr>
        <w:tc>
          <w:tcPr>
            <w:tcW w:w="3686" w:type="dxa"/>
            <w:tcBorders>
              <w:top w:val="single" w:sz="2" w:space="0" w:color="auto"/>
              <w:bottom w:val="single" w:sz="4" w:space="0" w:color="auto"/>
            </w:tcBorders>
            <w:shd w:val="clear" w:color="auto" w:fill="B8CCE4" w:themeFill="accent1" w:themeFillTint="66"/>
            <w:vAlign w:val="center"/>
          </w:tcPr>
          <w:p w:rsidR="00C9781F" w:rsidRPr="00264C04" w:rsidRDefault="00C9781F" w:rsidP="00B53A0A">
            <w:pPr>
              <w:pStyle w:val="texto"/>
              <w:tabs>
                <w:tab w:val="clear" w:pos="2835"/>
                <w:tab w:val="clear" w:pos="3969"/>
                <w:tab w:val="clear" w:pos="5103"/>
                <w:tab w:val="clear" w:pos="6237"/>
                <w:tab w:val="clear" w:pos="7371"/>
              </w:tabs>
              <w:spacing w:after="0"/>
              <w:ind w:firstLine="0"/>
              <w:rPr>
                <w:rFonts w:ascii="Arial" w:hAnsi="Arial" w:cs="Arial"/>
                <w:sz w:val="18"/>
                <w:szCs w:val="18"/>
              </w:rPr>
            </w:pPr>
          </w:p>
        </w:tc>
        <w:tc>
          <w:tcPr>
            <w:tcW w:w="1701" w:type="dxa"/>
            <w:tcBorders>
              <w:top w:val="single" w:sz="2" w:space="0" w:color="auto"/>
              <w:bottom w:val="single" w:sz="4" w:space="0" w:color="auto"/>
              <w:right w:val="single" w:sz="2" w:space="0" w:color="auto"/>
            </w:tcBorders>
            <w:shd w:val="clear" w:color="auto" w:fill="B8CCE4" w:themeFill="accent1" w:themeFillTint="66"/>
            <w:vAlign w:val="center"/>
          </w:tcPr>
          <w:p w:rsidR="00C9781F" w:rsidRPr="00264C04" w:rsidRDefault="00C9781F" w:rsidP="00B53A0A">
            <w:pPr>
              <w:pStyle w:val="texto"/>
              <w:tabs>
                <w:tab w:val="clear" w:pos="2835"/>
                <w:tab w:val="clear" w:pos="3969"/>
                <w:tab w:val="clear" w:pos="5103"/>
                <w:tab w:val="clear" w:pos="6237"/>
                <w:tab w:val="clear" w:pos="7371"/>
              </w:tabs>
              <w:spacing w:after="0" w:line="0" w:lineRule="atLeast"/>
              <w:ind w:firstLine="0"/>
              <w:jc w:val="right"/>
              <w:rPr>
                <w:rFonts w:ascii="Arial" w:hAnsi="Arial" w:cs="Arial"/>
                <w:sz w:val="18"/>
                <w:szCs w:val="18"/>
              </w:rPr>
            </w:pPr>
            <w:r w:rsidRPr="00264C04">
              <w:rPr>
                <w:rFonts w:ascii="Arial" w:hAnsi="Arial" w:cs="Arial"/>
                <w:sz w:val="18"/>
                <w:szCs w:val="18"/>
              </w:rPr>
              <w:t>% aportación</w:t>
            </w:r>
          </w:p>
        </w:tc>
        <w:tc>
          <w:tcPr>
            <w:tcW w:w="1445" w:type="dxa"/>
            <w:tcBorders>
              <w:top w:val="single" w:sz="2" w:space="0" w:color="auto"/>
              <w:left w:val="single" w:sz="2" w:space="0" w:color="auto"/>
              <w:bottom w:val="single" w:sz="4" w:space="0" w:color="auto"/>
            </w:tcBorders>
            <w:shd w:val="clear" w:color="auto" w:fill="B8CCE4" w:themeFill="accent1" w:themeFillTint="66"/>
            <w:vAlign w:val="center"/>
          </w:tcPr>
          <w:p w:rsidR="00C9781F" w:rsidRPr="00264C04" w:rsidRDefault="00C9781F" w:rsidP="00B53A0A">
            <w:pPr>
              <w:pStyle w:val="texto"/>
              <w:tabs>
                <w:tab w:val="clear" w:pos="2835"/>
                <w:tab w:val="clear" w:pos="3969"/>
                <w:tab w:val="clear" w:pos="5103"/>
                <w:tab w:val="clear" w:pos="6237"/>
                <w:tab w:val="clear" w:pos="7371"/>
              </w:tabs>
              <w:spacing w:after="0" w:line="0" w:lineRule="atLeast"/>
              <w:ind w:firstLine="0"/>
              <w:jc w:val="right"/>
              <w:rPr>
                <w:rFonts w:ascii="Arial" w:hAnsi="Arial" w:cs="Arial"/>
                <w:sz w:val="18"/>
                <w:szCs w:val="18"/>
              </w:rPr>
            </w:pPr>
            <w:r w:rsidRPr="00264C04">
              <w:rPr>
                <w:rFonts w:ascii="Arial" w:hAnsi="Arial" w:cs="Arial"/>
                <w:sz w:val="18"/>
                <w:szCs w:val="18"/>
              </w:rPr>
              <w:t>% aportación</w:t>
            </w:r>
          </w:p>
        </w:tc>
        <w:tc>
          <w:tcPr>
            <w:tcW w:w="1957" w:type="dxa"/>
            <w:tcBorders>
              <w:top w:val="single" w:sz="2" w:space="0" w:color="auto"/>
              <w:bottom w:val="single" w:sz="4" w:space="0" w:color="auto"/>
            </w:tcBorders>
            <w:shd w:val="clear" w:color="auto" w:fill="B8CCE4" w:themeFill="accent1" w:themeFillTint="66"/>
            <w:vAlign w:val="center"/>
          </w:tcPr>
          <w:p w:rsidR="00C9781F" w:rsidRPr="00264C04" w:rsidRDefault="00C9781F" w:rsidP="00B53A0A">
            <w:pPr>
              <w:pStyle w:val="texto"/>
              <w:tabs>
                <w:tab w:val="clear" w:pos="2835"/>
                <w:tab w:val="clear" w:pos="3969"/>
                <w:tab w:val="clear" w:pos="5103"/>
                <w:tab w:val="clear" w:pos="6237"/>
                <w:tab w:val="clear" w:pos="7371"/>
              </w:tabs>
              <w:spacing w:after="0" w:line="0" w:lineRule="atLeast"/>
              <w:ind w:firstLine="0"/>
              <w:jc w:val="right"/>
              <w:rPr>
                <w:rFonts w:ascii="Arial" w:hAnsi="Arial" w:cs="Arial"/>
                <w:sz w:val="18"/>
                <w:szCs w:val="18"/>
              </w:rPr>
            </w:pPr>
            <w:r w:rsidRPr="00264C04">
              <w:rPr>
                <w:rFonts w:ascii="Arial" w:hAnsi="Arial" w:cs="Arial"/>
                <w:sz w:val="18"/>
                <w:szCs w:val="18"/>
              </w:rPr>
              <w:t>Límite máximo aportación mensual</w:t>
            </w:r>
          </w:p>
        </w:tc>
      </w:tr>
      <w:tr w:rsidR="00C9781F" w:rsidRPr="00DB20C5" w:rsidTr="00B53A0A">
        <w:trPr>
          <w:trHeight w:val="198"/>
        </w:trPr>
        <w:tc>
          <w:tcPr>
            <w:tcW w:w="3686" w:type="dxa"/>
            <w:tcBorders>
              <w:bottom w:val="single" w:sz="2" w:space="0" w:color="auto"/>
            </w:tcBorders>
            <w:vAlign w:val="center"/>
          </w:tcPr>
          <w:p w:rsidR="00C9781F" w:rsidRPr="00DB20C5" w:rsidRDefault="00C9781F" w:rsidP="00B53A0A">
            <w:pPr>
              <w:pStyle w:val="texto"/>
              <w:tabs>
                <w:tab w:val="clear" w:pos="2835"/>
                <w:tab w:val="clear" w:pos="3969"/>
                <w:tab w:val="clear" w:pos="5103"/>
                <w:tab w:val="clear" w:pos="6237"/>
                <w:tab w:val="clear" w:pos="7371"/>
              </w:tabs>
              <w:spacing w:after="0"/>
              <w:ind w:firstLine="0"/>
              <w:rPr>
                <w:rFonts w:ascii="Arial Narrow" w:hAnsi="Arial Narrow"/>
                <w:sz w:val="20"/>
              </w:rPr>
            </w:pPr>
            <w:r w:rsidRPr="00DB20C5">
              <w:rPr>
                <w:rFonts w:ascii="Arial Narrow" w:hAnsi="Arial Narrow"/>
                <w:sz w:val="20"/>
              </w:rPr>
              <w:t>Perceptores de rentas mínimas e inserción, parados sin prestación de desempleo, etc.</w:t>
            </w:r>
          </w:p>
        </w:tc>
        <w:tc>
          <w:tcPr>
            <w:tcW w:w="1701" w:type="dxa"/>
            <w:tcBorders>
              <w:bottom w:val="single" w:sz="2" w:space="0" w:color="auto"/>
              <w:right w:val="single" w:sz="2" w:space="0" w:color="auto"/>
            </w:tcBorders>
            <w:vAlign w:val="center"/>
          </w:tcPr>
          <w:p w:rsidR="00C9781F" w:rsidRPr="00DB20C5" w:rsidRDefault="00C9781F" w:rsidP="00B53A0A">
            <w:pPr>
              <w:pStyle w:val="texto"/>
              <w:tabs>
                <w:tab w:val="clear" w:pos="2835"/>
                <w:tab w:val="clear" w:pos="3969"/>
                <w:tab w:val="clear" w:pos="5103"/>
                <w:tab w:val="clear" w:pos="6237"/>
                <w:tab w:val="clear" w:pos="7371"/>
              </w:tabs>
              <w:spacing w:after="0" w:line="360" w:lineRule="auto"/>
              <w:ind w:firstLine="0"/>
              <w:jc w:val="right"/>
              <w:rPr>
                <w:rFonts w:ascii="Arial Narrow" w:hAnsi="Arial Narrow"/>
                <w:sz w:val="20"/>
              </w:rPr>
            </w:pPr>
            <w:r w:rsidRPr="00DB20C5">
              <w:rPr>
                <w:rFonts w:ascii="Arial Narrow" w:hAnsi="Arial Narrow"/>
                <w:sz w:val="20"/>
              </w:rPr>
              <w:t>0</w:t>
            </w:r>
          </w:p>
        </w:tc>
        <w:tc>
          <w:tcPr>
            <w:tcW w:w="3402" w:type="dxa"/>
            <w:gridSpan w:val="2"/>
            <w:tcBorders>
              <w:left w:val="single" w:sz="2" w:space="0" w:color="auto"/>
              <w:bottom w:val="single" w:sz="2" w:space="0" w:color="auto"/>
            </w:tcBorders>
            <w:vAlign w:val="center"/>
          </w:tcPr>
          <w:p w:rsidR="00C9781F" w:rsidRPr="00DB20C5" w:rsidRDefault="00C9781F" w:rsidP="00B53A0A">
            <w:pPr>
              <w:pStyle w:val="texto"/>
              <w:tabs>
                <w:tab w:val="clear" w:pos="2835"/>
                <w:tab w:val="clear" w:pos="3969"/>
                <w:tab w:val="clear" w:pos="5103"/>
                <w:tab w:val="clear" w:pos="6237"/>
                <w:tab w:val="clear" w:pos="7371"/>
              </w:tabs>
              <w:spacing w:after="0"/>
              <w:ind w:firstLine="0"/>
              <w:jc w:val="center"/>
              <w:rPr>
                <w:rFonts w:ascii="Arial Narrow" w:hAnsi="Arial Narrow"/>
                <w:sz w:val="20"/>
              </w:rPr>
            </w:pPr>
            <w:r w:rsidRPr="00DB20C5">
              <w:rPr>
                <w:rFonts w:ascii="Arial Narrow" w:hAnsi="Arial Narrow"/>
                <w:sz w:val="20"/>
              </w:rPr>
              <w:t>0</w:t>
            </w:r>
          </w:p>
        </w:tc>
      </w:tr>
      <w:tr w:rsidR="00C9781F" w:rsidRPr="00DB20C5" w:rsidTr="00B53A0A">
        <w:trPr>
          <w:trHeight w:val="198"/>
        </w:trPr>
        <w:tc>
          <w:tcPr>
            <w:tcW w:w="3686" w:type="dxa"/>
            <w:tcBorders>
              <w:top w:val="single" w:sz="2" w:space="0" w:color="auto"/>
              <w:bottom w:val="single" w:sz="2" w:space="0" w:color="auto"/>
            </w:tcBorders>
            <w:vAlign w:val="center"/>
          </w:tcPr>
          <w:p w:rsidR="00C9781F" w:rsidRPr="00DB20C5" w:rsidRDefault="00C9781F" w:rsidP="00B53A0A">
            <w:pPr>
              <w:pStyle w:val="texto"/>
              <w:tabs>
                <w:tab w:val="clear" w:pos="2835"/>
                <w:tab w:val="clear" w:pos="3969"/>
                <w:tab w:val="clear" w:pos="5103"/>
                <w:tab w:val="clear" w:pos="6237"/>
                <w:tab w:val="clear" w:pos="7371"/>
              </w:tabs>
              <w:spacing w:after="0"/>
              <w:ind w:firstLine="0"/>
              <w:rPr>
                <w:rFonts w:ascii="Arial Narrow" w:hAnsi="Arial Narrow"/>
                <w:sz w:val="20"/>
              </w:rPr>
            </w:pPr>
            <w:r>
              <w:rPr>
                <w:rFonts w:ascii="Arial Narrow" w:hAnsi="Arial Narrow"/>
                <w:sz w:val="20"/>
              </w:rPr>
              <w:t>Rentas &lt; 18.000 euros</w:t>
            </w:r>
          </w:p>
        </w:tc>
        <w:tc>
          <w:tcPr>
            <w:tcW w:w="1701" w:type="dxa"/>
            <w:tcBorders>
              <w:top w:val="single" w:sz="2" w:space="0" w:color="auto"/>
              <w:bottom w:val="single" w:sz="2" w:space="0" w:color="auto"/>
              <w:right w:val="single" w:sz="2" w:space="0" w:color="auto"/>
            </w:tcBorders>
            <w:vAlign w:val="center"/>
          </w:tcPr>
          <w:p w:rsidR="00C9781F" w:rsidRPr="00DB20C5"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40</w:t>
            </w:r>
          </w:p>
        </w:tc>
        <w:tc>
          <w:tcPr>
            <w:tcW w:w="1445" w:type="dxa"/>
            <w:tcBorders>
              <w:top w:val="single" w:sz="2" w:space="0" w:color="auto"/>
              <w:left w:val="single" w:sz="2" w:space="0" w:color="auto"/>
              <w:bottom w:val="single" w:sz="2" w:space="0" w:color="auto"/>
            </w:tcBorders>
            <w:vAlign w:val="center"/>
          </w:tcPr>
          <w:p w:rsidR="00C9781F" w:rsidRPr="00DB20C5"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10</w:t>
            </w:r>
          </w:p>
        </w:tc>
        <w:tc>
          <w:tcPr>
            <w:tcW w:w="1957" w:type="dxa"/>
            <w:tcBorders>
              <w:top w:val="single" w:sz="2" w:space="0" w:color="auto"/>
              <w:bottom w:val="single" w:sz="2" w:space="0" w:color="auto"/>
            </w:tcBorders>
            <w:vAlign w:val="center"/>
          </w:tcPr>
          <w:p w:rsidR="00C9781F" w:rsidRPr="00DB20C5"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 xml:space="preserve"> 8,23 euros/mes</w:t>
            </w:r>
          </w:p>
        </w:tc>
      </w:tr>
      <w:tr w:rsidR="00C9781F" w:rsidRPr="00DB20C5" w:rsidTr="00B53A0A">
        <w:trPr>
          <w:trHeight w:val="198"/>
        </w:trPr>
        <w:tc>
          <w:tcPr>
            <w:tcW w:w="3686" w:type="dxa"/>
            <w:tcBorders>
              <w:top w:val="single" w:sz="2" w:space="0" w:color="auto"/>
              <w:bottom w:val="single" w:sz="2" w:space="0" w:color="auto"/>
            </w:tcBorders>
            <w:vAlign w:val="center"/>
          </w:tcPr>
          <w:p w:rsidR="00C9781F" w:rsidRPr="00DB20C5" w:rsidRDefault="00C9781F" w:rsidP="00B53A0A">
            <w:pPr>
              <w:pStyle w:val="texto"/>
              <w:tabs>
                <w:tab w:val="clear" w:pos="2835"/>
                <w:tab w:val="clear" w:pos="3969"/>
                <w:tab w:val="clear" w:pos="5103"/>
                <w:tab w:val="clear" w:pos="6237"/>
                <w:tab w:val="clear" w:pos="7371"/>
              </w:tabs>
              <w:spacing w:after="0"/>
              <w:ind w:firstLine="0"/>
              <w:rPr>
                <w:rFonts w:ascii="Arial Narrow" w:hAnsi="Arial Narrow"/>
                <w:sz w:val="20"/>
              </w:rPr>
            </w:pPr>
            <w:r>
              <w:rPr>
                <w:rFonts w:ascii="Arial Narrow" w:hAnsi="Arial Narrow"/>
                <w:sz w:val="20"/>
              </w:rPr>
              <w:t>Rentas (18.000;99.999) euros</w:t>
            </w:r>
          </w:p>
        </w:tc>
        <w:tc>
          <w:tcPr>
            <w:tcW w:w="1701" w:type="dxa"/>
            <w:tcBorders>
              <w:top w:val="single" w:sz="2" w:space="0" w:color="auto"/>
              <w:bottom w:val="single" w:sz="2" w:space="0" w:color="auto"/>
              <w:right w:val="single" w:sz="2" w:space="0" w:color="auto"/>
            </w:tcBorders>
            <w:vAlign w:val="center"/>
          </w:tcPr>
          <w:p w:rsidR="00C9781F" w:rsidRPr="00DB20C5"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50</w:t>
            </w:r>
          </w:p>
        </w:tc>
        <w:tc>
          <w:tcPr>
            <w:tcW w:w="1445" w:type="dxa"/>
            <w:tcBorders>
              <w:top w:val="single" w:sz="2" w:space="0" w:color="auto"/>
              <w:left w:val="single" w:sz="2" w:space="0" w:color="auto"/>
              <w:bottom w:val="single" w:sz="2" w:space="0" w:color="auto"/>
            </w:tcBorders>
            <w:vAlign w:val="center"/>
          </w:tcPr>
          <w:p w:rsidR="00C9781F" w:rsidRPr="00DB20C5"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10</w:t>
            </w:r>
          </w:p>
        </w:tc>
        <w:tc>
          <w:tcPr>
            <w:tcW w:w="1957" w:type="dxa"/>
            <w:tcBorders>
              <w:top w:val="single" w:sz="2" w:space="0" w:color="auto"/>
              <w:bottom w:val="single" w:sz="2" w:space="0" w:color="auto"/>
            </w:tcBorders>
            <w:vAlign w:val="center"/>
          </w:tcPr>
          <w:p w:rsidR="00C9781F" w:rsidRPr="00DB20C5"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18,52 euros/mes</w:t>
            </w:r>
          </w:p>
        </w:tc>
      </w:tr>
      <w:tr w:rsidR="00C9781F" w:rsidRPr="00DB20C5" w:rsidTr="00B53A0A">
        <w:trPr>
          <w:trHeight w:val="198"/>
        </w:trPr>
        <w:tc>
          <w:tcPr>
            <w:tcW w:w="3686" w:type="dxa"/>
            <w:tcBorders>
              <w:top w:val="single" w:sz="2" w:space="0" w:color="auto"/>
              <w:bottom w:val="single" w:sz="2" w:space="0" w:color="auto"/>
            </w:tcBorders>
            <w:vAlign w:val="center"/>
          </w:tcPr>
          <w:p w:rsidR="00C9781F" w:rsidRPr="00DB20C5" w:rsidRDefault="00C9781F" w:rsidP="00B53A0A">
            <w:pPr>
              <w:pStyle w:val="texto"/>
              <w:tabs>
                <w:tab w:val="clear" w:pos="2835"/>
                <w:tab w:val="clear" w:pos="3969"/>
                <w:tab w:val="clear" w:pos="5103"/>
                <w:tab w:val="clear" w:pos="6237"/>
                <w:tab w:val="clear" w:pos="7371"/>
              </w:tabs>
              <w:spacing w:after="0"/>
              <w:ind w:firstLine="0"/>
              <w:rPr>
                <w:rFonts w:ascii="Arial Narrow" w:hAnsi="Arial Narrow"/>
                <w:sz w:val="20"/>
              </w:rPr>
            </w:pPr>
            <w:r>
              <w:rPr>
                <w:rFonts w:ascii="Arial Narrow" w:hAnsi="Arial Narrow"/>
                <w:sz w:val="20"/>
              </w:rPr>
              <w:t>Rentas ≥ 100.000 euros</w:t>
            </w:r>
          </w:p>
        </w:tc>
        <w:tc>
          <w:tcPr>
            <w:tcW w:w="1701" w:type="dxa"/>
            <w:tcBorders>
              <w:top w:val="single" w:sz="2" w:space="0" w:color="auto"/>
              <w:bottom w:val="single" w:sz="2" w:space="0" w:color="auto"/>
              <w:right w:val="single" w:sz="2" w:space="0" w:color="auto"/>
            </w:tcBorders>
            <w:vAlign w:val="center"/>
          </w:tcPr>
          <w:p w:rsidR="00C9781F" w:rsidRPr="00DB20C5"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60</w:t>
            </w:r>
          </w:p>
        </w:tc>
        <w:tc>
          <w:tcPr>
            <w:tcW w:w="1445" w:type="dxa"/>
            <w:tcBorders>
              <w:top w:val="single" w:sz="2" w:space="0" w:color="auto"/>
              <w:left w:val="single" w:sz="2" w:space="0" w:color="auto"/>
              <w:bottom w:val="single" w:sz="2" w:space="0" w:color="auto"/>
            </w:tcBorders>
            <w:vAlign w:val="center"/>
          </w:tcPr>
          <w:p w:rsidR="00C9781F" w:rsidRPr="00DB20C5"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60</w:t>
            </w:r>
          </w:p>
        </w:tc>
        <w:tc>
          <w:tcPr>
            <w:tcW w:w="1957" w:type="dxa"/>
            <w:tcBorders>
              <w:top w:val="single" w:sz="2" w:space="0" w:color="auto"/>
              <w:bottom w:val="single" w:sz="2" w:space="0" w:color="auto"/>
            </w:tcBorders>
            <w:vAlign w:val="center"/>
          </w:tcPr>
          <w:p w:rsidR="00C9781F" w:rsidRPr="00DB20C5"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61,75 euros/mes</w:t>
            </w:r>
          </w:p>
        </w:tc>
      </w:tr>
      <w:tr w:rsidR="00C9781F" w:rsidRPr="00DB20C5" w:rsidTr="00B53A0A">
        <w:trPr>
          <w:trHeight w:val="198"/>
        </w:trPr>
        <w:tc>
          <w:tcPr>
            <w:tcW w:w="3686" w:type="dxa"/>
            <w:tcBorders>
              <w:top w:val="single" w:sz="2" w:space="0" w:color="auto"/>
              <w:bottom w:val="single" w:sz="2" w:space="0" w:color="auto"/>
            </w:tcBorders>
            <w:vAlign w:val="center"/>
          </w:tcPr>
          <w:p w:rsidR="00C9781F" w:rsidRPr="00DB20C5" w:rsidRDefault="00C9781F" w:rsidP="00B53A0A">
            <w:pPr>
              <w:pStyle w:val="texto"/>
              <w:tabs>
                <w:tab w:val="clear" w:pos="2835"/>
                <w:tab w:val="clear" w:pos="3969"/>
                <w:tab w:val="clear" w:pos="5103"/>
                <w:tab w:val="clear" w:pos="6237"/>
                <w:tab w:val="clear" w:pos="7371"/>
              </w:tabs>
              <w:spacing w:after="0"/>
              <w:ind w:firstLine="0"/>
              <w:rPr>
                <w:rFonts w:ascii="Arial Narrow" w:hAnsi="Arial Narrow"/>
                <w:sz w:val="20"/>
              </w:rPr>
            </w:pPr>
            <w:r>
              <w:rPr>
                <w:rFonts w:ascii="Arial Narrow" w:hAnsi="Arial Narrow"/>
                <w:sz w:val="20"/>
              </w:rPr>
              <w:t>Medicamentos de aportación reducida*</w:t>
            </w:r>
          </w:p>
        </w:tc>
        <w:tc>
          <w:tcPr>
            <w:tcW w:w="1701" w:type="dxa"/>
            <w:tcBorders>
              <w:top w:val="single" w:sz="2" w:space="0" w:color="auto"/>
              <w:bottom w:val="single" w:sz="2" w:space="0" w:color="auto"/>
              <w:right w:val="single" w:sz="2" w:space="0" w:color="auto"/>
            </w:tcBorders>
            <w:vAlign w:val="center"/>
          </w:tcPr>
          <w:p w:rsidR="00C9781F" w:rsidRPr="00DB20C5"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10</w:t>
            </w:r>
          </w:p>
        </w:tc>
        <w:tc>
          <w:tcPr>
            <w:tcW w:w="1445" w:type="dxa"/>
            <w:tcBorders>
              <w:top w:val="single" w:sz="2" w:space="0" w:color="auto"/>
              <w:left w:val="single" w:sz="2" w:space="0" w:color="auto"/>
              <w:bottom w:val="single" w:sz="2" w:space="0" w:color="auto"/>
            </w:tcBorders>
            <w:vAlign w:val="center"/>
          </w:tcPr>
          <w:p w:rsidR="00C9781F" w:rsidRPr="00DB20C5"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10</w:t>
            </w:r>
          </w:p>
        </w:tc>
        <w:tc>
          <w:tcPr>
            <w:tcW w:w="1957" w:type="dxa"/>
            <w:tcBorders>
              <w:top w:val="single" w:sz="2" w:space="0" w:color="auto"/>
              <w:bottom w:val="single" w:sz="2" w:space="0" w:color="auto"/>
            </w:tcBorders>
            <w:vAlign w:val="center"/>
          </w:tcPr>
          <w:p w:rsidR="00C9781F" w:rsidRPr="00DB20C5"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rPr>
            </w:pPr>
          </w:p>
        </w:tc>
      </w:tr>
      <w:tr w:rsidR="00C9781F" w:rsidRPr="00DB20C5" w:rsidTr="00B53A0A">
        <w:trPr>
          <w:trHeight w:val="198"/>
        </w:trPr>
        <w:tc>
          <w:tcPr>
            <w:tcW w:w="3686" w:type="dxa"/>
            <w:tcBorders>
              <w:top w:val="single" w:sz="2" w:space="0" w:color="auto"/>
              <w:bottom w:val="single" w:sz="4" w:space="0" w:color="auto"/>
            </w:tcBorders>
            <w:vAlign w:val="center"/>
          </w:tcPr>
          <w:p w:rsidR="00C9781F" w:rsidRDefault="00C9781F" w:rsidP="00B53A0A">
            <w:pPr>
              <w:pStyle w:val="texto"/>
              <w:tabs>
                <w:tab w:val="clear" w:pos="2835"/>
                <w:tab w:val="clear" w:pos="3969"/>
                <w:tab w:val="clear" w:pos="5103"/>
                <w:tab w:val="clear" w:pos="6237"/>
                <w:tab w:val="clear" w:pos="7371"/>
              </w:tabs>
              <w:spacing w:after="0"/>
              <w:ind w:firstLine="0"/>
              <w:rPr>
                <w:rFonts w:ascii="Arial Narrow" w:hAnsi="Arial Narrow"/>
                <w:sz w:val="20"/>
              </w:rPr>
            </w:pPr>
            <w:r>
              <w:rPr>
                <w:rFonts w:ascii="Arial Narrow" w:hAnsi="Arial Narrow"/>
                <w:sz w:val="20"/>
              </w:rPr>
              <w:t>Mutualistas y clases pasivas</w:t>
            </w:r>
          </w:p>
        </w:tc>
        <w:tc>
          <w:tcPr>
            <w:tcW w:w="5103" w:type="dxa"/>
            <w:gridSpan w:val="3"/>
            <w:tcBorders>
              <w:top w:val="single" w:sz="2" w:space="0" w:color="auto"/>
              <w:bottom w:val="single" w:sz="4" w:space="0" w:color="auto"/>
            </w:tcBorders>
            <w:vAlign w:val="center"/>
          </w:tcPr>
          <w:p w:rsidR="00C9781F" w:rsidRPr="00DB20C5" w:rsidRDefault="00C9781F" w:rsidP="00B53A0A">
            <w:pPr>
              <w:pStyle w:val="texto"/>
              <w:tabs>
                <w:tab w:val="clear" w:pos="2835"/>
                <w:tab w:val="clear" w:pos="3969"/>
                <w:tab w:val="clear" w:pos="5103"/>
                <w:tab w:val="clear" w:pos="6237"/>
                <w:tab w:val="clear" w:pos="7371"/>
              </w:tabs>
              <w:spacing w:after="0"/>
              <w:ind w:firstLine="0"/>
              <w:jc w:val="center"/>
              <w:rPr>
                <w:rFonts w:ascii="Arial Narrow" w:hAnsi="Arial Narrow"/>
                <w:sz w:val="20"/>
              </w:rPr>
            </w:pPr>
            <w:r>
              <w:rPr>
                <w:rFonts w:ascii="Arial Narrow" w:hAnsi="Arial Narrow"/>
                <w:sz w:val="20"/>
              </w:rPr>
              <w:t>30</w:t>
            </w:r>
          </w:p>
        </w:tc>
      </w:tr>
    </w:tbl>
    <w:p w:rsidR="00C9781F" w:rsidRPr="00E97831" w:rsidRDefault="00C9781F" w:rsidP="00C9781F">
      <w:pPr>
        <w:pStyle w:val="texto"/>
        <w:tabs>
          <w:tab w:val="clear" w:pos="2835"/>
          <w:tab w:val="clear" w:pos="3969"/>
          <w:tab w:val="clear" w:pos="5103"/>
          <w:tab w:val="clear" w:pos="6237"/>
          <w:tab w:val="clear" w:pos="7371"/>
        </w:tabs>
        <w:spacing w:before="60" w:after="0"/>
        <w:ind w:firstLine="0"/>
        <w:jc w:val="left"/>
        <w:rPr>
          <w:rFonts w:ascii="Arial" w:hAnsi="Arial" w:cs="Arial"/>
          <w:sz w:val="16"/>
          <w:szCs w:val="16"/>
        </w:rPr>
      </w:pPr>
      <w:r w:rsidRPr="00E97831">
        <w:rPr>
          <w:rFonts w:ascii="Arial" w:hAnsi="Arial" w:cs="Arial"/>
          <w:sz w:val="16"/>
          <w:szCs w:val="16"/>
        </w:rPr>
        <w:t>*</w:t>
      </w:r>
      <w:r>
        <w:rPr>
          <w:rFonts w:ascii="Arial" w:hAnsi="Arial" w:cs="Arial"/>
          <w:sz w:val="16"/>
          <w:szCs w:val="16"/>
        </w:rPr>
        <w:t xml:space="preserve"> </w:t>
      </w:r>
      <w:r w:rsidRPr="00E97831">
        <w:rPr>
          <w:rFonts w:ascii="Arial" w:hAnsi="Arial" w:cs="Arial"/>
          <w:sz w:val="16"/>
          <w:szCs w:val="16"/>
        </w:rPr>
        <w:t>En estos casos el paciente abonará un máximo de 4,24 euros independientemente del precio del medicamento</w:t>
      </w:r>
      <w:r>
        <w:rPr>
          <w:rFonts w:ascii="Arial" w:hAnsi="Arial" w:cs="Arial"/>
          <w:sz w:val="16"/>
          <w:szCs w:val="16"/>
        </w:rPr>
        <w:t>.</w:t>
      </w:r>
    </w:p>
    <w:p w:rsidR="00C9781F" w:rsidRDefault="00C9781F" w:rsidP="00C9781F">
      <w:pPr>
        <w:pStyle w:val="texto"/>
        <w:tabs>
          <w:tab w:val="clear" w:pos="2835"/>
          <w:tab w:val="clear" w:pos="3969"/>
          <w:tab w:val="clear" w:pos="5103"/>
          <w:tab w:val="clear" w:pos="6237"/>
          <w:tab w:val="clear" w:pos="7371"/>
        </w:tabs>
        <w:spacing w:before="140" w:after="240"/>
        <w:rPr>
          <w:szCs w:val="26"/>
        </w:rPr>
      </w:pPr>
      <w:r>
        <w:rPr>
          <w:szCs w:val="26"/>
        </w:rPr>
        <w:t>El gasto del SNS-O relacionado con la prestación farmacéutica se registra en tres partidas presupuestarias. El siguiente cuadro recoge la evolución del gasto de estas partidas para el periodo 2013-2017</w:t>
      </w:r>
      <w:r>
        <w:rPr>
          <w:rStyle w:val="Refdenotaalpie"/>
          <w:szCs w:val="26"/>
        </w:rPr>
        <w:footnoteReference w:id="1"/>
      </w:r>
      <w:r>
        <w:rPr>
          <w:szCs w:val="26"/>
        </w:rPr>
        <w:t xml:space="preserve"> (en millones de euros):</w:t>
      </w:r>
    </w:p>
    <w:tbl>
      <w:tblPr>
        <w:tblStyle w:val="Tablaconcuadrcula"/>
        <w:tblW w:w="8785"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98"/>
        <w:gridCol w:w="848"/>
        <w:gridCol w:w="848"/>
        <w:gridCol w:w="848"/>
        <w:gridCol w:w="848"/>
        <w:gridCol w:w="848"/>
        <w:gridCol w:w="1223"/>
        <w:gridCol w:w="1224"/>
      </w:tblGrid>
      <w:tr w:rsidR="00C9781F" w:rsidRPr="00A50B5E" w:rsidTr="00B53A0A">
        <w:trPr>
          <w:trHeight w:val="198"/>
          <w:jc w:val="center"/>
        </w:trPr>
        <w:tc>
          <w:tcPr>
            <w:tcW w:w="2098" w:type="dxa"/>
            <w:tcBorders>
              <w:top w:val="single" w:sz="4" w:space="0" w:color="auto"/>
              <w:bottom w:val="single" w:sz="4" w:space="0" w:color="auto"/>
            </w:tcBorders>
            <w:shd w:val="clear" w:color="auto" w:fill="B8CCE4" w:themeFill="accent1" w:themeFillTint="66"/>
            <w:vAlign w:val="center"/>
          </w:tcPr>
          <w:p w:rsidR="00C9781F" w:rsidRPr="006C25AF" w:rsidRDefault="00C9781F" w:rsidP="00B53A0A">
            <w:pPr>
              <w:pStyle w:val="texto"/>
              <w:tabs>
                <w:tab w:val="clear" w:pos="2835"/>
                <w:tab w:val="clear" w:pos="3969"/>
                <w:tab w:val="clear" w:pos="5103"/>
                <w:tab w:val="clear" w:pos="6237"/>
                <w:tab w:val="clear" w:pos="7371"/>
              </w:tabs>
              <w:spacing w:after="0"/>
              <w:ind w:firstLine="0"/>
              <w:rPr>
                <w:rFonts w:ascii="Arial" w:hAnsi="Arial" w:cs="Arial"/>
                <w:sz w:val="17"/>
                <w:szCs w:val="17"/>
              </w:rPr>
            </w:pPr>
          </w:p>
        </w:tc>
        <w:tc>
          <w:tcPr>
            <w:tcW w:w="848" w:type="dxa"/>
            <w:tcBorders>
              <w:top w:val="single" w:sz="4" w:space="0" w:color="auto"/>
              <w:bottom w:val="single" w:sz="4" w:space="0" w:color="auto"/>
            </w:tcBorders>
            <w:shd w:val="clear" w:color="auto" w:fill="B8CCE4" w:themeFill="accent1" w:themeFillTint="66"/>
            <w:vAlign w:val="center"/>
          </w:tcPr>
          <w:p w:rsidR="00C9781F" w:rsidRPr="00A50B5E"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A50B5E">
              <w:rPr>
                <w:rFonts w:ascii="Arial" w:hAnsi="Arial" w:cs="Arial"/>
                <w:sz w:val="18"/>
                <w:szCs w:val="18"/>
              </w:rPr>
              <w:t>2013</w:t>
            </w:r>
          </w:p>
        </w:tc>
        <w:tc>
          <w:tcPr>
            <w:tcW w:w="848" w:type="dxa"/>
            <w:tcBorders>
              <w:top w:val="single" w:sz="4" w:space="0" w:color="auto"/>
              <w:bottom w:val="single" w:sz="4" w:space="0" w:color="auto"/>
            </w:tcBorders>
            <w:shd w:val="clear" w:color="auto" w:fill="B8CCE4" w:themeFill="accent1" w:themeFillTint="66"/>
            <w:vAlign w:val="center"/>
          </w:tcPr>
          <w:p w:rsidR="00C9781F" w:rsidRPr="00A50B5E"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A50B5E">
              <w:rPr>
                <w:rFonts w:ascii="Arial" w:hAnsi="Arial" w:cs="Arial"/>
                <w:sz w:val="18"/>
                <w:szCs w:val="18"/>
              </w:rPr>
              <w:t>2014</w:t>
            </w:r>
          </w:p>
        </w:tc>
        <w:tc>
          <w:tcPr>
            <w:tcW w:w="848" w:type="dxa"/>
            <w:tcBorders>
              <w:top w:val="single" w:sz="4" w:space="0" w:color="auto"/>
              <w:bottom w:val="single" w:sz="4" w:space="0" w:color="auto"/>
            </w:tcBorders>
            <w:shd w:val="clear" w:color="auto" w:fill="B8CCE4" w:themeFill="accent1" w:themeFillTint="66"/>
            <w:vAlign w:val="center"/>
          </w:tcPr>
          <w:p w:rsidR="00C9781F" w:rsidRPr="00A50B5E"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A50B5E">
              <w:rPr>
                <w:rFonts w:ascii="Arial" w:hAnsi="Arial" w:cs="Arial"/>
                <w:sz w:val="18"/>
                <w:szCs w:val="18"/>
              </w:rPr>
              <w:t>2015</w:t>
            </w:r>
          </w:p>
        </w:tc>
        <w:tc>
          <w:tcPr>
            <w:tcW w:w="848" w:type="dxa"/>
            <w:tcBorders>
              <w:top w:val="single" w:sz="4" w:space="0" w:color="auto"/>
              <w:bottom w:val="single" w:sz="4" w:space="0" w:color="auto"/>
            </w:tcBorders>
            <w:shd w:val="clear" w:color="auto" w:fill="B8CCE4" w:themeFill="accent1" w:themeFillTint="66"/>
            <w:vAlign w:val="center"/>
          </w:tcPr>
          <w:p w:rsidR="00C9781F" w:rsidRPr="00A50B5E"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A50B5E">
              <w:rPr>
                <w:rFonts w:ascii="Arial" w:hAnsi="Arial" w:cs="Arial"/>
                <w:sz w:val="18"/>
                <w:szCs w:val="18"/>
              </w:rPr>
              <w:t>2016</w:t>
            </w:r>
          </w:p>
        </w:tc>
        <w:tc>
          <w:tcPr>
            <w:tcW w:w="848" w:type="dxa"/>
            <w:tcBorders>
              <w:top w:val="single" w:sz="4" w:space="0" w:color="auto"/>
              <w:bottom w:val="single" w:sz="4" w:space="0" w:color="auto"/>
            </w:tcBorders>
            <w:shd w:val="clear" w:color="auto" w:fill="B8CCE4" w:themeFill="accent1" w:themeFillTint="66"/>
            <w:vAlign w:val="center"/>
          </w:tcPr>
          <w:p w:rsidR="00C9781F" w:rsidRPr="00A50B5E"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A50B5E">
              <w:rPr>
                <w:rFonts w:ascii="Arial" w:hAnsi="Arial" w:cs="Arial"/>
                <w:sz w:val="18"/>
                <w:szCs w:val="18"/>
              </w:rPr>
              <w:t>2017</w:t>
            </w:r>
          </w:p>
        </w:tc>
        <w:tc>
          <w:tcPr>
            <w:tcW w:w="1223" w:type="dxa"/>
            <w:tcBorders>
              <w:top w:val="single" w:sz="4" w:space="0" w:color="auto"/>
              <w:bottom w:val="single" w:sz="4" w:space="0" w:color="auto"/>
            </w:tcBorders>
            <w:shd w:val="clear" w:color="auto" w:fill="B8CCE4" w:themeFill="accent1" w:themeFillTint="66"/>
            <w:vAlign w:val="center"/>
          </w:tcPr>
          <w:p w:rsidR="00C9781F"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7"/>
                <w:szCs w:val="17"/>
              </w:rPr>
            </w:pPr>
            <w:r>
              <w:rPr>
                <w:rFonts w:ascii="Arial" w:hAnsi="Arial" w:cs="Arial"/>
                <w:sz w:val="17"/>
                <w:szCs w:val="17"/>
              </w:rPr>
              <w:t>% variación</w:t>
            </w:r>
          </w:p>
          <w:p w:rsidR="00C9781F" w:rsidRPr="00A50B5E"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7"/>
                <w:szCs w:val="17"/>
              </w:rPr>
            </w:pPr>
            <w:r w:rsidRPr="00A50B5E">
              <w:rPr>
                <w:rFonts w:ascii="Arial" w:hAnsi="Arial" w:cs="Arial"/>
                <w:sz w:val="17"/>
                <w:szCs w:val="17"/>
              </w:rPr>
              <w:t>2017/2013</w:t>
            </w:r>
          </w:p>
        </w:tc>
        <w:tc>
          <w:tcPr>
            <w:tcW w:w="1224" w:type="dxa"/>
            <w:tcBorders>
              <w:top w:val="single" w:sz="4" w:space="0" w:color="auto"/>
              <w:bottom w:val="single" w:sz="4" w:space="0" w:color="auto"/>
            </w:tcBorders>
            <w:shd w:val="clear" w:color="auto" w:fill="B8CCE4" w:themeFill="accent1" w:themeFillTint="66"/>
            <w:vAlign w:val="center"/>
          </w:tcPr>
          <w:p w:rsidR="00C9781F"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7"/>
                <w:szCs w:val="17"/>
              </w:rPr>
            </w:pPr>
            <w:r>
              <w:rPr>
                <w:rFonts w:ascii="Arial" w:hAnsi="Arial" w:cs="Arial"/>
                <w:sz w:val="17"/>
                <w:szCs w:val="17"/>
              </w:rPr>
              <w:t>% variación</w:t>
            </w:r>
          </w:p>
          <w:p w:rsidR="00C9781F" w:rsidRPr="00A50B5E"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7"/>
                <w:szCs w:val="17"/>
              </w:rPr>
            </w:pPr>
            <w:r w:rsidRPr="00A50B5E">
              <w:rPr>
                <w:rFonts w:ascii="Arial" w:hAnsi="Arial" w:cs="Arial"/>
                <w:sz w:val="17"/>
                <w:szCs w:val="17"/>
              </w:rPr>
              <w:t>2017/2016</w:t>
            </w:r>
          </w:p>
        </w:tc>
      </w:tr>
      <w:tr w:rsidR="00C9781F" w:rsidRPr="00DB20C5" w:rsidTr="00B53A0A">
        <w:trPr>
          <w:trHeight w:val="198"/>
          <w:jc w:val="center"/>
        </w:trPr>
        <w:tc>
          <w:tcPr>
            <w:tcW w:w="2098" w:type="dxa"/>
            <w:tcBorders>
              <w:top w:val="single" w:sz="4" w:space="0" w:color="auto"/>
              <w:bottom w:val="single" w:sz="2" w:space="0" w:color="auto"/>
            </w:tcBorders>
            <w:vAlign w:val="center"/>
          </w:tcPr>
          <w:p w:rsidR="00C9781F" w:rsidRPr="00380077" w:rsidRDefault="00B87D8A" w:rsidP="00B53A0A">
            <w:pPr>
              <w:pStyle w:val="texto"/>
              <w:tabs>
                <w:tab w:val="clear" w:pos="2835"/>
                <w:tab w:val="clear" w:pos="3969"/>
                <w:tab w:val="clear" w:pos="5103"/>
                <w:tab w:val="clear" w:pos="6237"/>
                <w:tab w:val="clear" w:pos="7371"/>
              </w:tabs>
              <w:spacing w:after="0"/>
              <w:ind w:firstLine="0"/>
              <w:rPr>
                <w:rFonts w:ascii="Arial Narrow" w:hAnsi="Arial Narrow"/>
                <w:sz w:val="18"/>
                <w:szCs w:val="18"/>
              </w:rPr>
            </w:pPr>
            <w:proofErr w:type="spellStart"/>
            <w:r>
              <w:rPr>
                <w:rFonts w:ascii="Arial Narrow" w:hAnsi="Arial Narrow"/>
                <w:sz w:val="18"/>
                <w:szCs w:val="18"/>
              </w:rPr>
              <w:t>Prestac</w:t>
            </w:r>
            <w:proofErr w:type="spellEnd"/>
            <w:r w:rsidR="00C9781F">
              <w:rPr>
                <w:rFonts w:ascii="Arial Narrow" w:hAnsi="Arial Narrow"/>
                <w:sz w:val="18"/>
                <w:szCs w:val="18"/>
              </w:rPr>
              <w:t>.</w:t>
            </w:r>
            <w:r w:rsidR="00C9781F" w:rsidRPr="00380077">
              <w:rPr>
                <w:rFonts w:ascii="Arial Narrow" w:hAnsi="Arial Narrow"/>
                <w:sz w:val="18"/>
                <w:szCs w:val="18"/>
              </w:rPr>
              <w:t xml:space="preserve"> farmacéuticas</w:t>
            </w:r>
          </w:p>
        </w:tc>
        <w:tc>
          <w:tcPr>
            <w:tcW w:w="848" w:type="dxa"/>
            <w:tcBorders>
              <w:top w:val="single" w:sz="4" w:space="0" w:color="auto"/>
              <w:bottom w:val="single" w:sz="2" w:space="0" w:color="auto"/>
            </w:tcBorders>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7E1D47">
              <w:rPr>
                <w:rFonts w:ascii="Arial Narrow" w:hAnsi="Arial Narrow"/>
                <w:sz w:val="20"/>
                <w:szCs w:val="20"/>
              </w:rPr>
              <w:t>124,90</w:t>
            </w:r>
          </w:p>
        </w:tc>
        <w:tc>
          <w:tcPr>
            <w:tcW w:w="848" w:type="dxa"/>
            <w:tcBorders>
              <w:top w:val="single" w:sz="4" w:space="0" w:color="auto"/>
              <w:bottom w:val="single" w:sz="2" w:space="0" w:color="auto"/>
            </w:tcBorders>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7E1D47">
              <w:rPr>
                <w:rFonts w:ascii="Arial Narrow" w:hAnsi="Arial Narrow"/>
                <w:sz w:val="20"/>
                <w:szCs w:val="20"/>
              </w:rPr>
              <w:t>130,56</w:t>
            </w:r>
          </w:p>
        </w:tc>
        <w:tc>
          <w:tcPr>
            <w:tcW w:w="848" w:type="dxa"/>
            <w:tcBorders>
              <w:top w:val="single" w:sz="4" w:space="0" w:color="auto"/>
              <w:bottom w:val="single" w:sz="2" w:space="0" w:color="auto"/>
            </w:tcBorders>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7E1D47">
              <w:rPr>
                <w:rFonts w:ascii="Arial Narrow" w:hAnsi="Arial Narrow"/>
                <w:sz w:val="20"/>
                <w:szCs w:val="20"/>
              </w:rPr>
              <w:t>133,89</w:t>
            </w:r>
          </w:p>
        </w:tc>
        <w:tc>
          <w:tcPr>
            <w:tcW w:w="848" w:type="dxa"/>
            <w:tcBorders>
              <w:top w:val="single" w:sz="4" w:space="0" w:color="auto"/>
              <w:bottom w:val="single" w:sz="2" w:space="0" w:color="auto"/>
            </w:tcBorders>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7E1D47">
              <w:rPr>
                <w:rFonts w:ascii="Arial Narrow" w:hAnsi="Arial Narrow"/>
                <w:sz w:val="20"/>
                <w:szCs w:val="20"/>
              </w:rPr>
              <w:t>138,87</w:t>
            </w:r>
          </w:p>
        </w:tc>
        <w:tc>
          <w:tcPr>
            <w:tcW w:w="848" w:type="dxa"/>
            <w:tcBorders>
              <w:top w:val="single" w:sz="4" w:space="0" w:color="auto"/>
              <w:bottom w:val="single" w:sz="2" w:space="0" w:color="auto"/>
            </w:tcBorders>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7E1D47">
              <w:rPr>
                <w:rFonts w:ascii="Arial Narrow" w:hAnsi="Arial Narrow"/>
                <w:sz w:val="20"/>
                <w:szCs w:val="20"/>
              </w:rPr>
              <w:t>138,59</w:t>
            </w:r>
          </w:p>
        </w:tc>
        <w:tc>
          <w:tcPr>
            <w:tcW w:w="1223" w:type="dxa"/>
            <w:tcBorders>
              <w:top w:val="single" w:sz="4" w:space="0" w:color="auto"/>
              <w:bottom w:val="single" w:sz="2" w:space="0" w:color="auto"/>
            </w:tcBorders>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7E1D47">
              <w:rPr>
                <w:rFonts w:ascii="Arial Narrow" w:hAnsi="Arial Narrow"/>
                <w:sz w:val="20"/>
                <w:szCs w:val="20"/>
              </w:rPr>
              <w:t>11</w:t>
            </w:r>
          </w:p>
        </w:tc>
        <w:tc>
          <w:tcPr>
            <w:tcW w:w="1224" w:type="dxa"/>
            <w:tcBorders>
              <w:top w:val="single" w:sz="4" w:space="0" w:color="auto"/>
              <w:bottom w:val="single" w:sz="2" w:space="0" w:color="auto"/>
            </w:tcBorders>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7E1D47">
              <w:rPr>
                <w:rFonts w:ascii="Arial Narrow" w:hAnsi="Arial Narrow"/>
                <w:sz w:val="20"/>
                <w:szCs w:val="20"/>
              </w:rPr>
              <w:t>-0,2</w:t>
            </w:r>
          </w:p>
        </w:tc>
      </w:tr>
      <w:tr w:rsidR="00C9781F" w:rsidRPr="00DB20C5" w:rsidTr="00B53A0A">
        <w:trPr>
          <w:trHeight w:val="198"/>
          <w:jc w:val="center"/>
        </w:trPr>
        <w:tc>
          <w:tcPr>
            <w:tcW w:w="2098" w:type="dxa"/>
            <w:tcBorders>
              <w:top w:val="single" w:sz="2" w:space="0" w:color="auto"/>
              <w:bottom w:val="single" w:sz="2" w:space="0" w:color="auto"/>
            </w:tcBorders>
            <w:vAlign w:val="center"/>
          </w:tcPr>
          <w:p w:rsidR="00C9781F" w:rsidRPr="00380077" w:rsidRDefault="00C9781F" w:rsidP="00B53A0A">
            <w:pPr>
              <w:pStyle w:val="texto"/>
              <w:tabs>
                <w:tab w:val="clear" w:pos="2835"/>
                <w:tab w:val="clear" w:pos="3969"/>
                <w:tab w:val="clear" w:pos="5103"/>
                <w:tab w:val="clear" w:pos="6237"/>
                <w:tab w:val="clear" w:pos="7371"/>
              </w:tabs>
              <w:spacing w:after="0"/>
              <w:ind w:firstLine="0"/>
              <w:rPr>
                <w:rFonts w:ascii="Arial Narrow" w:hAnsi="Arial Narrow"/>
                <w:sz w:val="18"/>
                <w:szCs w:val="18"/>
              </w:rPr>
            </w:pPr>
            <w:r w:rsidRPr="00380077">
              <w:rPr>
                <w:rFonts w:ascii="Arial Narrow" w:hAnsi="Arial Narrow"/>
                <w:sz w:val="18"/>
                <w:szCs w:val="18"/>
              </w:rPr>
              <w:t>Absorbentes</w:t>
            </w:r>
            <w:r>
              <w:rPr>
                <w:rFonts w:ascii="Arial Narrow" w:hAnsi="Arial Narrow"/>
                <w:sz w:val="18"/>
                <w:szCs w:val="18"/>
              </w:rPr>
              <w:t xml:space="preserve"> y</w:t>
            </w:r>
            <w:r w:rsidRPr="00380077">
              <w:rPr>
                <w:rFonts w:ascii="Arial Narrow" w:hAnsi="Arial Narrow"/>
                <w:sz w:val="18"/>
                <w:szCs w:val="18"/>
              </w:rPr>
              <w:t xml:space="preserve"> otros </w:t>
            </w:r>
            <w:proofErr w:type="spellStart"/>
            <w:r w:rsidRPr="00380077">
              <w:rPr>
                <w:rFonts w:ascii="Arial Narrow" w:hAnsi="Arial Narrow"/>
                <w:sz w:val="18"/>
                <w:szCs w:val="18"/>
              </w:rPr>
              <w:t>prod</w:t>
            </w:r>
            <w:proofErr w:type="spellEnd"/>
            <w:r w:rsidRPr="00380077">
              <w:rPr>
                <w:rFonts w:ascii="Arial Narrow" w:hAnsi="Arial Narrow"/>
                <w:sz w:val="18"/>
                <w:szCs w:val="18"/>
              </w:rPr>
              <w:t xml:space="preserve">. </w:t>
            </w:r>
          </w:p>
        </w:tc>
        <w:tc>
          <w:tcPr>
            <w:tcW w:w="848" w:type="dxa"/>
            <w:tcBorders>
              <w:top w:val="single" w:sz="2" w:space="0" w:color="auto"/>
              <w:bottom w:val="single" w:sz="2" w:space="0" w:color="auto"/>
            </w:tcBorders>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7E1D47">
              <w:rPr>
                <w:rFonts w:ascii="Arial Narrow" w:hAnsi="Arial Narrow"/>
                <w:sz w:val="20"/>
                <w:szCs w:val="20"/>
              </w:rPr>
              <w:t xml:space="preserve">7,51 </w:t>
            </w:r>
          </w:p>
        </w:tc>
        <w:tc>
          <w:tcPr>
            <w:tcW w:w="848" w:type="dxa"/>
            <w:tcBorders>
              <w:top w:val="single" w:sz="2" w:space="0" w:color="auto"/>
              <w:bottom w:val="single" w:sz="2" w:space="0" w:color="auto"/>
            </w:tcBorders>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7E1D47">
              <w:rPr>
                <w:rFonts w:ascii="Arial Narrow" w:hAnsi="Arial Narrow"/>
                <w:sz w:val="20"/>
                <w:szCs w:val="20"/>
              </w:rPr>
              <w:t xml:space="preserve">7,61 </w:t>
            </w:r>
          </w:p>
        </w:tc>
        <w:tc>
          <w:tcPr>
            <w:tcW w:w="848" w:type="dxa"/>
            <w:tcBorders>
              <w:top w:val="single" w:sz="2" w:space="0" w:color="auto"/>
              <w:bottom w:val="single" w:sz="2" w:space="0" w:color="auto"/>
            </w:tcBorders>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7E1D47">
              <w:rPr>
                <w:rFonts w:ascii="Arial Narrow" w:hAnsi="Arial Narrow"/>
                <w:sz w:val="20"/>
                <w:szCs w:val="20"/>
              </w:rPr>
              <w:t>6,66</w:t>
            </w:r>
          </w:p>
        </w:tc>
        <w:tc>
          <w:tcPr>
            <w:tcW w:w="848" w:type="dxa"/>
            <w:tcBorders>
              <w:top w:val="single" w:sz="2" w:space="0" w:color="auto"/>
              <w:bottom w:val="single" w:sz="2" w:space="0" w:color="auto"/>
            </w:tcBorders>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7E1D47">
              <w:rPr>
                <w:rFonts w:ascii="Arial Narrow" w:hAnsi="Arial Narrow"/>
                <w:sz w:val="20"/>
                <w:szCs w:val="20"/>
              </w:rPr>
              <w:t>7,42</w:t>
            </w:r>
          </w:p>
        </w:tc>
        <w:tc>
          <w:tcPr>
            <w:tcW w:w="848" w:type="dxa"/>
            <w:tcBorders>
              <w:top w:val="single" w:sz="2" w:space="0" w:color="auto"/>
              <w:bottom w:val="single" w:sz="2" w:space="0" w:color="auto"/>
            </w:tcBorders>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7E1D47">
              <w:rPr>
                <w:rFonts w:ascii="Arial Narrow" w:hAnsi="Arial Narrow"/>
                <w:sz w:val="20"/>
                <w:szCs w:val="20"/>
              </w:rPr>
              <w:t xml:space="preserve">7,75 </w:t>
            </w:r>
          </w:p>
        </w:tc>
        <w:tc>
          <w:tcPr>
            <w:tcW w:w="1223" w:type="dxa"/>
            <w:tcBorders>
              <w:top w:val="single" w:sz="2" w:space="0" w:color="auto"/>
              <w:bottom w:val="single" w:sz="2" w:space="0" w:color="auto"/>
            </w:tcBorders>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7E1D47">
              <w:rPr>
                <w:rFonts w:ascii="Arial Narrow" w:hAnsi="Arial Narrow"/>
                <w:sz w:val="20"/>
                <w:szCs w:val="20"/>
              </w:rPr>
              <w:t>3</w:t>
            </w:r>
          </w:p>
        </w:tc>
        <w:tc>
          <w:tcPr>
            <w:tcW w:w="1224" w:type="dxa"/>
            <w:tcBorders>
              <w:top w:val="single" w:sz="2" w:space="0" w:color="auto"/>
              <w:bottom w:val="single" w:sz="2" w:space="0" w:color="auto"/>
            </w:tcBorders>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7E1D47">
              <w:rPr>
                <w:rFonts w:ascii="Arial Narrow" w:hAnsi="Arial Narrow"/>
                <w:sz w:val="20"/>
                <w:szCs w:val="20"/>
              </w:rPr>
              <w:t>4</w:t>
            </w:r>
          </w:p>
        </w:tc>
      </w:tr>
      <w:tr w:rsidR="00C9781F" w:rsidRPr="00DB20C5" w:rsidTr="00B53A0A">
        <w:trPr>
          <w:trHeight w:val="198"/>
          <w:jc w:val="center"/>
        </w:trPr>
        <w:tc>
          <w:tcPr>
            <w:tcW w:w="2098" w:type="dxa"/>
            <w:tcBorders>
              <w:top w:val="single" w:sz="2" w:space="0" w:color="auto"/>
              <w:bottom w:val="single" w:sz="4" w:space="0" w:color="auto"/>
            </w:tcBorders>
            <w:vAlign w:val="center"/>
          </w:tcPr>
          <w:p w:rsidR="00C9781F" w:rsidRPr="00380077" w:rsidRDefault="00C9781F" w:rsidP="00B53A0A">
            <w:pPr>
              <w:pStyle w:val="texto"/>
              <w:tabs>
                <w:tab w:val="clear" w:pos="2835"/>
                <w:tab w:val="clear" w:pos="3969"/>
                <w:tab w:val="clear" w:pos="5103"/>
                <w:tab w:val="clear" w:pos="6237"/>
                <w:tab w:val="clear" w:pos="7371"/>
              </w:tabs>
              <w:spacing w:after="0"/>
              <w:ind w:firstLine="0"/>
              <w:rPr>
                <w:rFonts w:ascii="Arial Narrow" w:hAnsi="Arial Narrow"/>
                <w:sz w:val="18"/>
                <w:szCs w:val="18"/>
              </w:rPr>
            </w:pPr>
            <w:r w:rsidRPr="00380077">
              <w:rPr>
                <w:rFonts w:ascii="Arial Narrow" w:hAnsi="Arial Narrow"/>
                <w:sz w:val="18"/>
                <w:szCs w:val="18"/>
              </w:rPr>
              <w:t>Ayudas adherencia trat</w:t>
            </w:r>
            <w:r w:rsidRPr="00380077">
              <w:rPr>
                <w:rFonts w:ascii="Arial Narrow" w:hAnsi="Arial Narrow"/>
                <w:sz w:val="18"/>
                <w:szCs w:val="18"/>
              </w:rPr>
              <w:t>a</w:t>
            </w:r>
            <w:r w:rsidRPr="00380077">
              <w:rPr>
                <w:rFonts w:ascii="Arial Narrow" w:hAnsi="Arial Narrow"/>
                <w:sz w:val="18"/>
                <w:szCs w:val="18"/>
              </w:rPr>
              <w:t>m</w:t>
            </w:r>
            <w:r>
              <w:rPr>
                <w:rFonts w:ascii="Arial Narrow" w:hAnsi="Arial Narrow"/>
                <w:sz w:val="18"/>
                <w:szCs w:val="18"/>
              </w:rPr>
              <w:t>iento</w:t>
            </w:r>
            <w:r w:rsidRPr="00380077">
              <w:rPr>
                <w:rFonts w:ascii="Arial Narrow" w:hAnsi="Arial Narrow"/>
                <w:sz w:val="18"/>
                <w:szCs w:val="18"/>
              </w:rPr>
              <w:t xml:space="preserve">s médicos </w:t>
            </w:r>
          </w:p>
        </w:tc>
        <w:tc>
          <w:tcPr>
            <w:tcW w:w="848" w:type="dxa"/>
            <w:tcBorders>
              <w:top w:val="single" w:sz="2" w:space="0" w:color="auto"/>
              <w:bottom w:val="single" w:sz="4" w:space="0" w:color="auto"/>
            </w:tcBorders>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7E1D47">
              <w:rPr>
                <w:rFonts w:ascii="Arial Narrow" w:hAnsi="Arial Narrow"/>
                <w:sz w:val="20"/>
                <w:szCs w:val="20"/>
              </w:rPr>
              <w:t>*</w:t>
            </w:r>
          </w:p>
        </w:tc>
        <w:tc>
          <w:tcPr>
            <w:tcW w:w="848" w:type="dxa"/>
            <w:tcBorders>
              <w:top w:val="single" w:sz="2" w:space="0" w:color="auto"/>
              <w:bottom w:val="single" w:sz="4" w:space="0" w:color="auto"/>
            </w:tcBorders>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7E1D47">
              <w:rPr>
                <w:rFonts w:ascii="Arial Narrow" w:hAnsi="Arial Narrow"/>
                <w:sz w:val="20"/>
                <w:szCs w:val="20"/>
              </w:rPr>
              <w:t>*</w:t>
            </w:r>
          </w:p>
        </w:tc>
        <w:tc>
          <w:tcPr>
            <w:tcW w:w="848" w:type="dxa"/>
            <w:tcBorders>
              <w:top w:val="single" w:sz="2" w:space="0" w:color="auto"/>
              <w:bottom w:val="single" w:sz="4" w:space="0" w:color="auto"/>
            </w:tcBorders>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7E1D47">
              <w:rPr>
                <w:rFonts w:ascii="Arial Narrow" w:hAnsi="Arial Narrow"/>
                <w:sz w:val="20"/>
                <w:szCs w:val="20"/>
              </w:rPr>
              <w:t>*</w:t>
            </w:r>
          </w:p>
        </w:tc>
        <w:tc>
          <w:tcPr>
            <w:tcW w:w="848" w:type="dxa"/>
            <w:tcBorders>
              <w:top w:val="single" w:sz="2" w:space="0" w:color="auto"/>
              <w:bottom w:val="single" w:sz="4" w:space="0" w:color="auto"/>
            </w:tcBorders>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7E1D47">
              <w:rPr>
                <w:rFonts w:ascii="Arial Narrow" w:hAnsi="Arial Narrow"/>
                <w:sz w:val="20"/>
                <w:szCs w:val="20"/>
              </w:rPr>
              <w:t>*</w:t>
            </w:r>
          </w:p>
        </w:tc>
        <w:tc>
          <w:tcPr>
            <w:tcW w:w="848" w:type="dxa"/>
            <w:tcBorders>
              <w:top w:val="single" w:sz="2" w:space="0" w:color="auto"/>
              <w:bottom w:val="single" w:sz="4" w:space="0" w:color="auto"/>
            </w:tcBorders>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7E1D47">
              <w:rPr>
                <w:rFonts w:ascii="Arial Narrow" w:hAnsi="Arial Narrow"/>
                <w:sz w:val="20"/>
                <w:szCs w:val="20"/>
              </w:rPr>
              <w:t>0,02</w:t>
            </w:r>
          </w:p>
        </w:tc>
        <w:tc>
          <w:tcPr>
            <w:tcW w:w="1223" w:type="dxa"/>
            <w:tcBorders>
              <w:top w:val="single" w:sz="2" w:space="0" w:color="auto"/>
              <w:bottom w:val="single" w:sz="4" w:space="0" w:color="auto"/>
            </w:tcBorders>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7E1D47">
              <w:rPr>
                <w:rFonts w:ascii="Arial Narrow" w:hAnsi="Arial Narrow"/>
                <w:sz w:val="20"/>
                <w:szCs w:val="20"/>
              </w:rPr>
              <w:t>-</w:t>
            </w:r>
          </w:p>
        </w:tc>
        <w:tc>
          <w:tcPr>
            <w:tcW w:w="1224" w:type="dxa"/>
            <w:tcBorders>
              <w:top w:val="single" w:sz="2" w:space="0" w:color="auto"/>
              <w:bottom w:val="single" w:sz="4" w:space="0" w:color="auto"/>
            </w:tcBorders>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7E1D47">
              <w:rPr>
                <w:rFonts w:ascii="Arial Narrow" w:hAnsi="Arial Narrow"/>
                <w:sz w:val="20"/>
                <w:szCs w:val="20"/>
              </w:rPr>
              <w:t>-</w:t>
            </w:r>
          </w:p>
        </w:tc>
      </w:tr>
      <w:tr w:rsidR="00C9781F" w:rsidRPr="00DB20C5" w:rsidTr="00B53A0A">
        <w:trPr>
          <w:trHeight w:val="255"/>
          <w:jc w:val="center"/>
        </w:trPr>
        <w:tc>
          <w:tcPr>
            <w:tcW w:w="2098" w:type="dxa"/>
            <w:tcBorders>
              <w:top w:val="single" w:sz="4" w:space="0" w:color="auto"/>
              <w:bottom w:val="single" w:sz="4" w:space="0" w:color="auto"/>
            </w:tcBorders>
            <w:shd w:val="clear" w:color="auto" w:fill="B8CCE4" w:themeFill="accent1" w:themeFillTint="66"/>
            <w:vAlign w:val="center"/>
          </w:tcPr>
          <w:p w:rsidR="00C9781F" w:rsidRPr="00DB20C5" w:rsidRDefault="00C9781F" w:rsidP="00B53A0A">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DB20C5">
              <w:rPr>
                <w:rFonts w:ascii="Arial" w:hAnsi="Arial" w:cs="Arial"/>
                <w:sz w:val="18"/>
                <w:szCs w:val="18"/>
              </w:rPr>
              <w:t>Total</w:t>
            </w:r>
          </w:p>
        </w:tc>
        <w:tc>
          <w:tcPr>
            <w:tcW w:w="848" w:type="dxa"/>
            <w:tcBorders>
              <w:top w:val="single" w:sz="4" w:space="0" w:color="auto"/>
              <w:bottom w:val="single" w:sz="4" w:space="0" w:color="auto"/>
            </w:tcBorders>
            <w:shd w:val="clear" w:color="auto" w:fill="B8CCE4" w:themeFill="accent1" w:themeFillTint="66"/>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132,41</w:t>
            </w:r>
          </w:p>
        </w:tc>
        <w:tc>
          <w:tcPr>
            <w:tcW w:w="848" w:type="dxa"/>
            <w:tcBorders>
              <w:top w:val="single" w:sz="4" w:space="0" w:color="auto"/>
              <w:bottom w:val="single" w:sz="4" w:space="0" w:color="auto"/>
            </w:tcBorders>
            <w:shd w:val="clear" w:color="auto" w:fill="B8CCE4" w:themeFill="accent1" w:themeFillTint="66"/>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138,17</w:t>
            </w:r>
          </w:p>
        </w:tc>
        <w:tc>
          <w:tcPr>
            <w:tcW w:w="848" w:type="dxa"/>
            <w:tcBorders>
              <w:top w:val="single" w:sz="4" w:space="0" w:color="auto"/>
              <w:bottom w:val="single" w:sz="4" w:space="0" w:color="auto"/>
            </w:tcBorders>
            <w:shd w:val="clear" w:color="auto" w:fill="B8CCE4" w:themeFill="accent1" w:themeFillTint="66"/>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140,55</w:t>
            </w:r>
          </w:p>
        </w:tc>
        <w:tc>
          <w:tcPr>
            <w:tcW w:w="848" w:type="dxa"/>
            <w:tcBorders>
              <w:top w:val="single" w:sz="4" w:space="0" w:color="auto"/>
              <w:bottom w:val="single" w:sz="4" w:space="0" w:color="auto"/>
            </w:tcBorders>
            <w:shd w:val="clear" w:color="auto" w:fill="B8CCE4" w:themeFill="accent1" w:themeFillTint="66"/>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146,29</w:t>
            </w:r>
          </w:p>
        </w:tc>
        <w:tc>
          <w:tcPr>
            <w:tcW w:w="848" w:type="dxa"/>
            <w:tcBorders>
              <w:top w:val="single" w:sz="4" w:space="0" w:color="auto"/>
              <w:bottom w:val="single" w:sz="4" w:space="0" w:color="auto"/>
            </w:tcBorders>
            <w:shd w:val="clear" w:color="auto" w:fill="B8CCE4" w:themeFill="accent1" w:themeFillTint="66"/>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146,36</w:t>
            </w:r>
          </w:p>
        </w:tc>
        <w:tc>
          <w:tcPr>
            <w:tcW w:w="1223" w:type="dxa"/>
            <w:tcBorders>
              <w:top w:val="single" w:sz="4" w:space="0" w:color="auto"/>
              <w:bottom w:val="single" w:sz="4" w:space="0" w:color="auto"/>
            </w:tcBorders>
            <w:shd w:val="clear" w:color="auto" w:fill="B8CCE4" w:themeFill="accent1" w:themeFillTint="66"/>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contextualSpacing/>
              <w:jc w:val="right"/>
              <w:rPr>
                <w:rFonts w:ascii="Arial" w:hAnsi="Arial" w:cs="Arial"/>
                <w:sz w:val="18"/>
                <w:szCs w:val="18"/>
              </w:rPr>
            </w:pPr>
            <w:r w:rsidRPr="007E1D47">
              <w:rPr>
                <w:rFonts w:ascii="Arial" w:hAnsi="Arial" w:cs="Arial"/>
                <w:sz w:val="18"/>
                <w:szCs w:val="18"/>
              </w:rPr>
              <w:t>11</w:t>
            </w:r>
          </w:p>
        </w:tc>
        <w:tc>
          <w:tcPr>
            <w:tcW w:w="1224" w:type="dxa"/>
            <w:tcBorders>
              <w:top w:val="single" w:sz="4" w:space="0" w:color="auto"/>
              <w:bottom w:val="single" w:sz="4" w:space="0" w:color="auto"/>
            </w:tcBorders>
            <w:shd w:val="clear" w:color="auto" w:fill="B8CCE4" w:themeFill="accent1" w:themeFillTint="66"/>
            <w:vAlign w:val="center"/>
          </w:tcPr>
          <w:p w:rsidR="00C9781F" w:rsidRPr="007E1D47" w:rsidRDefault="00C9781F" w:rsidP="00B53A0A">
            <w:pPr>
              <w:pStyle w:val="texto"/>
              <w:tabs>
                <w:tab w:val="clear" w:pos="2835"/>
                <w:tab w:val="clear" w:pos="3969"/>
                <w:tab w:val="clear" w:pos="5103"/>
                <w:tab w:val="clear" w:pos="6237"/>
                <w:tab w:val="clear" w:pos="7371"/>
              </w:tabs>
              <w:spacing w:after="0"/>
              <w:ind w:firstLine="0"/>
              <w:contextualSpacing/>
              <w:jc w:val="right"/>
              <w:rPr>
                <w:rFonts w:ascii="Arial" w:hAnsi="Arial" w:cs="Arial"/>
                <w:sz w:val="18"/>
                <w:szCs w:val="18"/>
              </w:rPr>
            </w:pPr>
            <w:r w:rsidRPr="007E1D47">
              <w:rPr>
                <w:rFonts w:ascii="Arial" w:hAnsi="Arial" w:cs="Arial"/>
                <w:sz w:val="18"/>
                <w:szCs w:val="18"/>
              </w:rPr>
              <w:t>0,05</w:t>
            </w:r>
          </w:p>
        </w:tc>
      </w:tr>
    </w:tbl>
    <w:p w:rsidR="00C9781F" w:rsidRPr="00A47C76" w:rsidRDefault="00C9781F" w:rsidP="00C9781F">
      <w:pPr>
        <w:pStyle w:val="texto"/>
        <w:tabs>
          <w:tab w:val="clear" w:pos="2835"/>
          <w:tab w:val="clear" w:pos="3969"/>
          <w:tab w:val="clear" w:pos="5103"/>
          <w:tab w:val="clear" w:pos="6237"/>
          <w:tab w:val="clear" w:pos="7371"/>
        </w:tabs>
        <w:spacing w:before="60" w:after="0"/>
        <w:ind w:firstLine="0"/>
        <w:contextualSpacing/>
        <w:jc w:val="left"/>
        <w:rPr>
          <w:rFonts w:ascii="Arial" w:hAnsi="Arial" w:cs="Arial"/>
          <w:sz w:val="16"/>
          <w:szCs w:val="16"/>
        </w:rPr>
      </w:pPr>
      <w:r w:rsidRPr="00A47C76">
        <w:rPr>
          <w:rFonts w:ascii="Arial" w:hAnsi="Arial" w:cs="Arial"/>
          <w:sz w:val="16"/>
          <w:szCs w:val="16"/>
        </w:rPr>
        <w:t>*</w:t>
      </w:r>
      <w:r>
        <w:rPr>
          <w:rFonts w:ascii="Arial" w:hAnsi="Arial" w:cs="Arial"/>
          <w:sz w:val="16"/>
          <w:szCs w:val="16"/>
        </w:rPr>
        <w:t xml:space="preserve"> En estos</w:t>
      </w:r>
      <w:r w:rsidRPr="00A47C76">
        <w:rPr>
          <w:rFonts w:ascii="Arial" w:hAnsi="Arial" w:cs="Arial"/>
          <w:sz w:val="16"/>
          <w:szCs w:val="16"/>
        </w:rPr>
        <w:t xml:space="preserve"> año</w:t>
      </w:r>
      <w:r>
        <w:rPr>
          <w:rFonts w:ascii="Arial" w:hAnsi="Arial" w:cs="Arial"/>
          <w:sz w:val="16"/>
          <w:szCs w:val="16"/>
        </w:rPr>
        <w:t>s</w:t>
      </w:r>
      <w:r w:rsidRPr="00A47C76">
        <w:rPr>
          <w:rFonts w:ascii="Arial" w:hAnsi="Arial" w:cs="Arial"/>
          <w:sz w:val="16"/>
          <w:szCs w:val="16"/>
        </w:rPr>
        <w:t xml:space="preserve"> no existían estas ayudas</w:t>
      </w:r>
      <w:r>
        <w:rPr>
          <w:rFonts w:ascii="Arial" w:hAnsi="Arial" w:cs="Arial"/>
          <w:sz w:val="16"/>
          <w:szCs w:val="16"/>
        </w:rPr>
        <w:t>.</w:t>
      </w:r>
    </w:p>
    <w:p w:rsidR="00C9781F" w:rsidRDefault="00C9781F" w:rsidP="00C9781F">
      <w:pPr>
        <w:pStyle w:val="texto"/>
        <w:tabs>
          <w:tab w:val="clear" w:pos="2835"/>
          <w:tab w:val="clear" w:pos="3969"/>
          <w:tab w:val="clear" w:pos="5103"/>
          <w:tab w:val="clear" w:pos="6237"/>
          <w:tab w:val="clear" w:pos="7371"/>
        </w:tabs>
        <w:spacing w:before="240"/>
        <w:rPr>
          <w:szCs w:val="26"/>
        </w:rPr>
      </w:pPr>
      <w:r>
        <w:rPr>
          <w:szCs w:val="26"/>
        </w:rPr>
        <w:lastRenderedPageBreak/>
        <w:t>Del análisis del cuadro anterior destacamos los siguientes aspectos:</w:t>
      </w:r>
    </w:p>
    <w:p w:rsidR="00C9781F" w:rsidRPr="000E61FF" w:rsidRDefault="00C9781F" w:rsidP="002303D6">
      <w:pPr>
        <w:pStyle w:val="texto"/>
        <w:numPr>
          <w:ilvl w:val="0"/>
          <w:numId w:val="4"/>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0E61FF">
        <w:rPr>
          <w:rFonts w:cs="Arial"/>
        </w:rPr>
        <w:t>El gasto total en 2017 ascendió a 146,36 millones de euros con un incr</w:t>
      </w:r>
      <w:r w:rsidRPr="000E61FF">
        <w:rPr>
          <w:rFonts w:cs="Arial"/>
        </w:rPr>
        <w:t>e</w:t>
      </w:r>
      <w:r w:rsidRPr="000E61FF">
        <w:rPr>
          <w:rFonts w:cs="Arial"/>
        </w:rPr>
        <w:t xml:space="preserve">mento del 11 por ciento respecto a 2013, si bien se mantuvo prácticamente igual al de 2016. </w:t>
      </w:r>
    </w:p>
    <w:p w:rsidR="00C9781F" w:rsidRPr="000E61FF" w:rsidRDefault="00C9781F" w:rsidP="002303D6">
      <w:pPr>
        <w:pStyle w:val="texto"/>
        <w:numPr>
          <w:ilvl w:val="0"/>
          <w:numId w:val="4"/>
        </w:numPr>
        <w:tabs>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rsidRPr="000E61FF">
        <w:rPr>
          <w:rFonts w:cs="Arial"/>
        </w:rPr>
        <w:t xml:space="preserve">La partida presupuestaria “prestaciones farmacéuticas” supone el 95 por ciento del gasto total del periodo; </w:t>
      </w:r>
      <w:r>
        <w:rPr>
          <w:rFonts w:cs="Arial"/>
        </w:rPr>
        <w:t xml:space="preserve">el 96 por ciento de </w:t>
      </w:r>
      <w:r w:rsidRPr="000E61FF">
        <w:rPr>
          <w:rFonts w:cs="Arial"/>
        </w:rPr>
        <w:t xml:space="preserve">esta partida se </w:t>
      </w:r>
      <w:r>
        <w:rPr>
          <w:rFonts w:cs="Arial"/>
        </w:rPr>
        <w:t>correspo</w:t>
      </w:r>
      <w:r>
        <w:rPr>
          <w:rFonts w:cs="Arial"/>
        </w:rPr>
        <w:t>n</w:t>
      </w:r>
      <w:r>
        <w:rPr>
          <w:rFonts w:cs="Arial"/>
        </w:rPr>
        <w:t>de con el gasto de</w:t>
      </w:r>
      <w:r w:rsidRPr="000E61FF">
        <w:rPr>
          <w:rFonts w:cs="Arial"/>
        </w:rPr>
        <w:t xml:space="preserve"> las dispensaciones realizadas en oficinas de farmacia que </w:t>
      </w:r>
      <w:r>
        <w:rPr>
          <w:rFonts w:cs="Arial"/>
        </w:rPr>
        <w:t xml:space="preserve">el SNS-O </w:t>
      </w:r>
      <w:r w:rsidRPr="000E61FF">
        <w:rPr>
          <w:rFonts w:cs="Arial"/>
        </w:rPr>
        <w:t>abona al COFNA</w:t>
      </w:r>
      <w:r>
        <w:rPr>
          <w:rFonts w:cs="Arial"/>
        </w:rPr>
        <w:t>,</w:t>
      </w:r>
      <w:r w:rsidRPr="000E61FF">
        <w:rPr>
          <w:rFonts w:cs="Arial"/>
        </w:rPr>
        <w:t xml:space="preserve"> y posteriormente éste distribuye</w:t>
      </w:r>
      <w:r>
        <w:rPr>
          <w:rFonts w:cs="Arial"/>
        </w:rPr>
        <w:t xml:space="preserve"> a las mismas</w:t>
      </w:r>
      <w:r w:rsidRPr="000E61FF">
        <w:rPr>
          <w:rFonts w:cs="Arial"/>
        </w:rPr>
        <w:t>, tal y como se ve a continuación (en millones de euros):</w:t>
      </w:r>
    </w:p>
    <w:tbl>
      <w:tblPr>
        <w:tblStyle w:val="Tablaconcuadrcula"/>
        <w:tblW w:w="8702"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27"/>
        <w:gridCol w:w="803"/>
        <w:gridCol w:w="857"/>
        <w:gridCol w:w="857"/>
        <w:gridCol w:w="857"/>
        <w:gridCol w:w="803"/>
        <w:gridCol w:w="1249"/>
        <w:gridCol w:w="1249"/>
      </w:tblGrid>
      <w:tr w:rsidR="00C9781F" w:rsidRPr="00264C04" w:rsidTr="00B53A0A">
        <w:trPr>
          <w:trHeight w:val="198"/>
          <w:jc w:val="center"/>
        </w:trPr>
        <w:tc>
          <w:tcPr>
            <w:tcW w:w="2027" w:type="dxa"/>
            <w:tcBorders>
              <w:top w:val="single" w:sz="4" w:space="0" w:color="auto"/>
              <w:bottom w:val="single" w:sz="4" w:space="0" w:color="auto"/>
            </w:tcBorders>
            <w:shd w:val="clear" w:color="auto" w:fill="B8CCE4" w:themeFill="accent1" w:themeFillTint="66"/>
          </w:tcPr>
          <w:p w:rsidR="00C9781F" w:rsidRPr="00264C04" w:rsidRDefault="00C9781F" w:rsidP="00B53A0A">
            <w:pPr>
              <w:pStyle w:val="texto"/>
              <w:tabs>
                <w:tab w:val="clear" w:pos="2835"/>
                <w:tab w:val="clear" w:pos="3969"/>
                <w:tab w:val="clear" w:pos="5103"/>
                <w:tab w:val="clear" w:pos="6237"/>
                <w:tab w:val="clear" w:pos="7371"/>
              </w:tabs>
              <w:spacing w:after="0"/>
              <w:ind w:firstLine="0"/>
              <w:rPr>
                <w:rFonts w:ascii="Arial" w:hAnsi="Arial" w:cs="Arial"/>
                <w:sz w:val="18"/>
                <w:szCs w:val="18"/>
              </w:rPr>
            </w:pPr>
          </w:p>
        </w:tc>
        <w:tc>
          <w:tcPr>
            <w:tcW w:w="803" w:type="dxa"/>
            <w:tcBorders>
              <w:top w:val="single" w:sz="4" w:space="0" w:color="auto"/>
              <w:bottom w:val="single" w:sz="4" w:space="0" w:color="auto"/>
            </w:tcBorders>
            <w:shd w:val="clear" w:color="auto" w:fill="B8CCE4" w:themeFill="accent1" w:themeFillTint="66"/>
            <w:vAlign w:val="center"/>
          </w:tcPr>
          <w:p w:rsidR="00C9781F" w:rsidRPr="00264C04" w:rsidRDefault="0036517C"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2013</w:t>
            </w:r>
            <w:r w:rsidR="00C9781F">
              <w:rPr>
                <w:rFonts w:ascii="Arial" w:hAnsi="Arial" w:cs="Arial"/>
                <w:sz w:val="18"/>
                <w:szCs w:val="18"/>
              </w:rPr>
              <w:t xml:space="preserve"> </w:t>
            </w:r>
          </w:p>
        </w:tc>
        <w:tc>
          <w:tcPr>
            <w:tcW w:w="857" w:type="dxa"/>
            <w:tcBorders>
              <w:top w:val="single" w:sz="4" w:space="0" w:color="auto"/>
              <w:bottom w:val="single" w:sz="4" w:space="0" w:color="auto"/>
            </w:tcBorders>
            <w:shd w:val="clear" w:color="auto" w:fill="B8CCE4" w:themeFill="accent1" w:themeFillTint="66"/>
            <w:vAlign w:val="center"/>
          </w:tcPr>
          <w:p w:rsidR="00C9781F" w:rsidRPr="00264C04"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264C04">
              <w:rPr>
                <w:rFonts w:ascii="Arial" w:hAnsi="Arial" w:cs="Arial"/>
                <w:sz w:val="18"/>
                <w:szCs w:val="18"/>
              </w:rPr>
              <w:t>2014</w:t>
            </w:r>
          </w:p>
        </w:tc>
        <w:tc>
          <w:tcPr>
            <w:tcW w:w="857" w:type="dxa"/>
            <w:tcBorders>
              <w:top w:val="single" w:sz="4" w:space="0" w:color="auto"/>
              <w:bottom w:val="single" w:sz="4" w:space="0" w:color="auto"/>
            </w:tcBorders>
            <w:shd w:val="clear" w:color="auto" w:fill="B8CCE4" w:themeFill="accent1" w:themeFillTint="66"/>
            <w:vAlign w:val="center"/>
          </w:tcPr>
          <w:p w:rsidR="00C9781F" w:rsidRPr="00264C04"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264C04">
              <w:rPr>
                <w:rFonts w:ascii="Arial" w:hAnsi="Arial" w:cs="Arial"/>
                <w:sz w:val="18"/>
                <w:szCs w:val="18"/>
              </w:rPr>
              <w:t>2015</w:t>
            </w:r>
          </w:p>
        </w:tc>
        <w:tc>
          <w:tcPr>
            <w:tcW w:w="857" w:type="dxa"/>
            <w:tcBorders>
              <w:top w:val="single" w:sz="4" w:space="0" w:color="auto"/>
              <w:bottom w:val="single" w:sz="4" w:space="0" w:color="auto"/>
            </w:tcBorders>
            <w:shd w:val="clear" w:color="auto" w:fill="B8CCE4" w:themeFill="accent1" w:themeFillTint="66"/>
            <w:vAlign w:val="center"/>
          </w:tcPr>
          <w:p w:rsidR="00C9781F" w:rsidRPr="00264C04"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264C04">
              <w:rPr>
                <w:rFonts w:ascii="Arial" w:hAnsi="Arial" w:cs="Arial"/>
                <w:sz w:val="18"/>
                <w:szCs w:val="18"/>
              </w:rPr>
              <w:t>2016</w:t>
            </w:r>
          </w:p>
        </w:tc>
        <w:tc>
          <w:tcPr>
            <w:tcW w:w="803" w:type="dxa"/>
            <w:tcBorders>
              <w:top w:val="single" w:sz="4" w:space="0" w:color="auto"/>
              <w:bottom w:val="single" w:sz="4" w:space="0" w:color="auto"/>
            </w:tcBorders>
            <w:shd w:val="clear" w:color="auto" w:fill="B8CCE4" w:themeFill="accent1" w:themeFillTint="66"/>
            <w:vAlign w:val="center"/>
          </w:tcPr>
          <w:p w:rsidR="00C9781F" w:rsidRPr="00264C04"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264C04">
              <w:rPr>
                <w:rFonts w:ascii="Arial" w:hAnsi="Arial" w:cs="Arial"/>
                <w:sz w:val="18"/>
                <w:szCs w:val="18"/>
              </w:rPr>
              <w:t>2017</w:t>
            </w:r>
          </w:p>
        </w:tc>
        <w:tc>
          <w:tcPr>
            <w:tcW w:w="1249" w:type="dxa"/>
            <w:tcBorders>
              <w:top w:val="single" w:sz="4" w:space="0" w:color="auto"/>
              <w:bottom w:val="single" w:sz="4" w:space="0" w:color="auto"/>
            </w:tcBorders>
            <w:shd w:val="clear" w:color="auto" w:fill="B8CCE4" w:themeFill="accent1" w:themeFillTint="66"/>
            <w:vAlign w:val="center"/>
          </w:tcPr>
          <w:p w:rsidR="00C9781F" w:rsidRPr="00264C04"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 variación</w:t>
            </w:r>
            <w:r w:rsidRPr="00264C04">
              <w:rPr>
                <w:rFonts w:ascii="Arial" w:hAnsi="Arial" w:cs="Arial"/>
                <w:sz w:val="18"/>
                <w:szCs w:val="18"/>
              </w:rPr>
              <w:t xml:space="preserve"> 2017/2013</w:t>
            </w:r>
          </w:p>
        </w:tc>
        <w:tc>
          <w:tcPr>
            <w:tcW w:w="1249" w:type="dxa"/>
            <w:tcBorders>
              <w:top w:val="single" w:sz="4" w:space="0" w:color="auto"/>
              <w:bottom w:val="single" w:sz="4" w:space="0" w:color="auto"/>
            </w:tcBorders>
            <w:shd w:val="clear" w:color="auto" w:fill="B8CCE4" w:themeFill="accent1" w:themeFillTint="66"/>
            <w:vAlign w:val="center"/>
          </w:tcPr>
          <w:p w:rsidR="00C9781F" w:rsidRPr="00264C04"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 variación</w:t>
            </w:r>
            <w:r w:rsidRPr="00264C04">
              <w:rPr>
                <w:rFonts w:ascii="Arial" w:hAnsi="Arial" w:cs="Arial"/>
                <w:sz w:val="18"/>
                <w:szCs w:val="18"/>
              </w:rPr>
              <w:t xml:space="preserve"> 2017/2016</w:t>
            </w:r>
          </w:p>
        </w:tc>
      </w:tr>
      <w:tr w:rsidR="00C9781F" w:rsidRPr="00DB20C5" w:rsidTr="00B53A0A">
        <w:trPr>
          <w:trHeight w:val="255"/>
          <w:jc w:val="center"/>
        </w:trPr>
        <w:tc>
          <w:tcPr>
            <w:tcW w:w="2027" w:type="dxa"/>
            <w:tcBorders>
              <w:top w:val="single" w:sz="4" w:space="0" w:color="auto"/>
              <w:bottom w:val="single" w:sz="2" w:space="0" w:color="auto"/>
            </w:tcBorders>
            <w:shd w:val="clear" w:color="auto" w:fill="FFFFFF" w:themeFill="background1"/>
            <w:vAlign w:val="center"/>
          </w:tcPr>
          <w:p w:rsidR="00C9781F" w:rsidRPr="00DA5A70" w:rsidRDefault="00C9781F" w:rsidP="00B53A0A">
            <w:pPr>
              <w:pStyle w:val="texto"/>
              <w:tabs>
                <w:tab w:val="clear" w:pos="2835"/>
                <w:tab w:val="clear" w:pos="3969"/>
                <w:tab w:val="clear" w:pos="5103"/>
                <w:tab w:val="clear" w:pos="6237"/>
                <w:tab w:val="clear" w:pos="7371"/>
              </w:tabs>
              <w:spacing w:after="0"/>
              <w:ind w:firstLine="0"/>
              <w:jc w:val="left"/>
              <w:rPr>
                <w:rFonts w:ascii="Arial Narrow" w:hAnsi="Arial Narrow" w:cs="Arial"/>
                <w:sz w:val="18"/>
                <w:szCs w:val="18"/>
              </w:rPr>
            </w:pPr>
            <w:r w:rsidRPr="00DA5A70">
              <w:rPr>
                <w:rFonts w:ascii="Arial Narrow" w:hAnsi="Arial Narrow" w:cs="Arial"/>
                <w:sz w:val="18"/>
                <w:szCs w:val="18"/>
              </w:rPr>
              <w:t>COFNA</w:t>
            </w:r>
          </w:p>
        </w:tc>
        <w:tc>
          <w:tcPr>
            <w:tcW w:w="803" w:type="dxa"/>
            <w:tcBorders>
              <w:top w:val="single" w:sz="4" w:space="0" w:color="auto"/>
              <w:bottom w:val="single" w:sz="2" w:space="0" w:color="auto"/>
            </w:tcBorders>
            <w:shd w:val="clear" w:color="auto" w:fill="FFFFFF" w:themeFill="background1"/>
            <w:vAlign w:val="center"/>
          </w:tcPr>
          <w:p w:rsidR="00C9781F" w:rsidRPr="00DA5A70" w:rsidRDefault="00C9781F" w:rsidP="00B53A0A">
            <w:pPr>
              <w:pStyle w:val="texto"/>
              <w:tabs>
                <w:tab w:val="clear" w:pos="2835"/>
                <w:tab w:val="clear" w:pos="3969"/>
                <w:tab w:val="clear" w:pos="5103"/>
                <w:tab w:val="clear" w:pos="6237"/>
                <w:tab w:val="clear" w:pos="7371"/>
              </w:tabs>
              <w:spacing w:after="0"/>
              <w:ind w:firstLine="0"/>
              <w:contextualSpacing/>
              <w:jc w:val="right"/>
              <w:rPr>
                <w:rFonts w:ascii="Arial Narrow" w:hAnsi="Arial Narrow" w:cs="Arial"/>
                <w:sz w:val="18"/>
                <w:szCs w:val="18"/>
              </w:rPr>
            </w:pPr>
            <w:r w:rsidRPr="00DA5A70">
              <w:rPr>
                <w:rFonts w:ascii="Arial Narrow" w:hAnsi="Arial Narrow" w:cs="Arial"/>
                <w:sz w:val="18"/>
                <w:szCs w:val="18"/>
              </w:rPr>
              <w:t>120,07</w:t>
            </w:r>
          </w:p>
        </w:tc>
        <w:tc>
          <w:tcPr>
            <w:tcW w:w="857" w:type="dxa"/>
            <w:tcBorders>
              <w:top w:val="single" w:sz="4" w:space="0" w:color="auto"/>
              <w:bottom w:val="single" w:sz="2" w:space="0" w:color="auto"/>
            </w:tcBorders>
            <w:shd w:val="clear" w:color="auto" w:fill="FFFFFF" w:themeFill="background1"/>
            <w:vAlign w:val="center"/>
          </w:tcPr>
          <w:p w:rsidR="00C9781F" w:rsidRPr="00DA5A70" w:rsidRDefault="00C9781F" w:rsidP="00B53A0A">
            <w:pPr>
              <w:pStyle w:val="texto"/>
              <w:tabs>
                <w:tab w:val="clear" w:pos="2835"/>
                <w:tab w:val="clear" w:pos="3969"/>
                <w:tab w:val="clear" w:pos="5103"/>
                <w:tab w:val="clear" w:pos="6237"/>
                <w:tab w:val="clear" w:pos="7371"/>
              </w:tabs>
              <w:spacing w:after="0"/>
              <w:ind w:firstLine="0"/>
              <w:contextualSpacing/>
              <w:jc w:val="right"/>
              <w:rPr>
                <w:rFonts w:ascii="Arial Narrow" w:hAnsi="Arial Narrow" w:cs="Arial"/>
                <w:sz w:val="18"/>
                <w:szCs w:val="18"/>
              </w:rPr>
            </w:pPr>
            <w:r w:rsidRPr="00DA5A70">
              <w:rPr>
                <w:rFonts w:ascii="Arial Narrow" w:hAnsi="Arial Narrow" w:cs="Arial"/>
                <w:sz w:val="18"/>
                <w:szCs w:val="18"/>
              </w:rPr>
              <w:t>124,77</w:t>
            </w:r>
          </w:p>
        </w:tc>
        <w:tc>
          <w:tcPr>
            <w:tcW w:w="857" w:type="dxa"/>
            <w:tcBorders>
              <w:top w:val="single" w:sz="4" w:space="0" w:color="auto"/>
              <w:bottom w:val="single" w:sz="2" w:space="0" w:color="auto"/>
            </w:tcBorders>
            <w:shd w:val="clear" w:color="auto" w:fill="FFFFFF" w:themeFill="background1"/>
            <w:vAlign w:val="center"/>
          </w:tcPr>
          <w:p w:rsidR="00C9781F" w:rsidRPr="00DA5A70" w:rsidRDefault="00C9781F" w:rsidP="00B53A0A">
            <w:pPr>
              <w:pStyle w:val="texto"/>
              <w:tabs>
                <w:tab w:val="clear" w:pos="2835"/>
                <w:tab w:val="clear" w:pos="3969"/>
                <w:tab w:val="clear" w:pos="5103"/>
                <w:tab w:val="clear" w:pos="6237"/>
                <w:tab w:val="clear" w:pos="7371"/>
              </w:tabs>
              <w:spacing w:after="0"/>
              <w:ind w:firstLine="0"/>
              <w:contextualSpacing/>
              <w:jc w:val="right"/>
              <w:rPr>
                <w:rFonts w:ascii="Arial Narrow" w:hAnsi="Arial Narrow" w:cs="Arial"/>
                <w:sz w:val="18"/>
                <w:szCs w:val="18"/>
              </w:rPr>
            </w:pPr>
            <w:r w:rsidRPr="00DA5A70">
              <w:rPr>
                <w:rFonts w:ascii="Arial Narrow" w:hAnsi="Arial Narrow" w:cs="Arial"/>
                <w:sz w:val="18"/>
                <w:szCs w:val="18"/>
              </w:rPr>
              <w:t>128,09</w:t>
            </w:r>
          </w:p>
        </w:tc>
        <w:tc>
          <w:tcPr>
            <w:tcW w:w="857" w:type="dxa"/>
            <w:tcBorders>
              <w:top w:val="single" w:sz="4" w:space="0" w:color="auto"/>
              <w:bottom w:val="single" w:sz="2" w:space="0" w:color="auto"/>
            </w:tcBorders>
            <w:shd w:val="clear" w:color="auto" w:fill="FFFFFF" w:themeFill="background1"/>
            <w:vAlign w:val="center"/>
          </w:tcPr>
          <w:p w:rsidR="00C9781F" w:rsidRPr="00DA5A70" w:rsidRDefault="00C9781F" w:rsidP="00B53A0A">
            <w:pPr>
              <w:pStyle w:val="texto"/>
              <w:tabs>
                <w:tab w:val="clear" w:pos="2835"/>
                <w:tab w:val="clear" w:pos="3969"/>
                <w:tab w:val="clear" w:pos="5103"/>
                <w:tab w:val="clear" w:pos="6237"/>
                <w:tab w:val="clear" w:pos="7371"/>
              </w:tabs>
              <w:spacing w:after="0"/>
              <w:ind w:firstLine="0"/>
              <w:contextualSpacing/>
              <w:jc w:val="right"/>
              <w:rPr>
                <w:rFonts w:ascii="Arial Narrow" w:hAnsi="Arial Narrow" w:cs="Arial"/>
                <w:sz w:val="18"/>
                <w:szCs w:val="18"/>
              </w:rPr>
            </w:pPr>
            <w:r w:rsidRPr="00DA5A70">
              <w:rPr>
                <w:rFonts w:ascii="Arial Narrow" w:hAnsi="Arial Narrow" w:cs="Arial"/>
                <w:sz w:val="18"/>
                <w:szCs w:val="18"/>
              </w:rPr>
              <w:t>133,50</w:t>
            </w:r>
          </w:p>
        </w:tc>
        <w:tc>
          <w:tcPr>
            <w:tcW w:w="803" w:type="dxa"/>
            <w:tcBorders>
              <w:top w:val="single" w:sz="4" w:space="0" w:color="auto"/>
              <w:bottom w:val="single" w:sz="2" w:space="0" w:color="auto"/>
            </w:tcBorders>
            <w:shd w:val="clear" w:color="auto" w:fill="FFFFFF" w:themeFill="background1"/>
            <w:vAlign w:val="center"/>
          </w:tcPr>
          <w:p w:rsidR="00C9781F" w:rsidRPr="00DA5A70" w:rsidRDefault="00C9781F" w:rsidP="00B53A0A">
            <w:pPr>
              <w:pStyle w:val="texto"/>
              <w:tabs>
                <w:tab w:val="clear" w:pos="2835"/>
                <w:tab w:val="clear" w:pos="3969"/>
                <w:tab w:val="clear" w:pos="5103"/>
                <w:tab w:val="clear" w:pos="6237"/>
                <w:tab w:val="clear" w:pos="7371"/>
              </w:tabs>
              <w:spacing w:after="0"/>
              <w:ind w:firstLine="0"/>
              <w:contextualSpacing/>
              <w:jc w:val="right"/>
              <w:rPr>
                <w:rFonts w:ascii="Arial Narrow" w:hAnsi="Arial Narrow" w:cs="Arial"/>
                <w:sz w:val="18"/>
                <w:szCs w:val="18"/>
              </w:rPr>
            </w:pPr>
            <w:r w:rsidRPr="00DA5A70">
              <w:rPr>
                <w:rFonts w:ascii="Arial Narrow" w:hAnsi="Arial Narrow" w:cs="Arial"/>
                <w:sz w:val="18"/>
                <w:szCs w:val="18"/>
              </w:rPr>
              <w:t>132,34</w:t>
            </w:r>
          </w:p>
        </w:tc>
        <w:tc>
          <w:tcPr>
            <w:tcW w:w="1249" w:type="dxa"/>
            <w:tcBorders>
              <w:top w:val="single" w:sz="4" w:space="0" w:color="auto"/>
              <w:bottom w:val="single" w:sz="2" w:space="0" w:color="auto"/>
            </w:tcBorders>
            <w:shd w:val="clear" w:color="auto" w:fill="FFFFFF" w:themeFill="background1"/>
            <w:vAlign w:val="center"/>
          </w:tcPr>
          <w:p w:rsidR="00C9781F" w:rsidRPr="00DA5A70" w:rsidRDefault="00C9781F" w:rsidP="00B53A0A">
            <w:pPr>
              <w:pStyle w:val="texto"/>
              <w:tabs>
                <w:tab w:val="clear" w:pos="2835"/>
                <w:tab w:val="clear" w:pos="3969"/>
                <w:tab w:val="clear" w:pos="5103"/>
                <w:tab w:val="clear" w:pos="6237"/>
                <w:tab w:val="clear" w:pos="7371"/>
              </w:tabs>
              <w:spacing w:after="0"/>
              <w:ind w:firstLine="0"/>
              <w:contextualSpacing/>
              <w:jc w:val="right"/>
              <w:rPr>
                <w:rFonts w:ascii="Arial Narrow" w:hAnsi="Arial Narrow" w:cs="Arial"/>
                <w:sz w:val="18"/>
                <w:szCs w:val="18"/>
              </w:rPr>
            </w:pPr>
            <w:r w:rsidRPr="00DA5A70">
              <w:rPr>
                <w:rFonts w:ascii="Arial Narrow" w:hAnsi="Arial Narrow" w:cs="Arial"/>
                <w:sz w:val="18"/>
                <w:szCs w:val="18"/>
              </w:rPr>
              <w:t>10</w:t>
            </w:r>
          </w:p>
        </w:tc>
        <w:tc>
          <w:tcPr>
            <w:tcW w:w="1249" w:type="dxa"/>
            <w:tcBorders>
              <w:top w:val="single" w:sz="4" w:space="0" w:color="auto"/>
              <w:bottom w:val="single" w:sz="2" w:space="0" w:color="auto"/>
            </w:tcBorders>
            <w:shd w:val="clear" w:color="auto" w:fill="FFFFFF" w:themeFill="background1"/>
            <w:vAlign w:val="center"/>
          </w:tcPr>
          <w:p w:rsidR="00C9781F" w:rsidRPr="00DA5A70" w:rsidRDefault="00C9781F" w:rsidP="00B53A0A">
            <w:pPr>
              <w:pStyle w:val="texto"/>
              <w:tabs>
                <w:tab w:val="clear" w:pos="2835"/>
                <w:tab w:val="clear" w:pos="3969"/>
                <w:tab w:val="clear" w:pos="5103"/>
                <w:tab w:val="clear" w:pos="6237"/>
                <w:tab w:val="clear" w:pos="7371"/>
              </w:tabs>
              <w:spacing w:after="0"/>
              <w:ind w:firstLine="0"/>
              <w:contextualSpacing/>
              <w:jc w:val="right"/>
              <w:rPr>
                <w:rFonts w:ascii="Arial Narrow" w:hAnsi="Arial Narrow" w:cs="Arial"/>
                <w:sz w:val="18"/>
                <w:szCs w:val="18"/>
              </w:rPr>
            </w:pPr>
            <w:r w:rsidRPr="00DA5A70">
              <w:rPr>
                <w:rFonts w:ascii="Arial Narrow" w:hAnsi="Arial Narrow" w:cs="Arial"/>
                <w:sz w:val="18"/>
                <w:szCs w:val="18"/>
              </w:rPr>
              <w:t>-1</w:t>
            </w:r>
          </w:p>
        </w:tc>
      </w:tr>
      <w:tr w:rsidR="00C9781F" w:rsidRPr="00DB20C5" w:rsidTr="00B53A0A">
        <w:trPr>
          <w:trHeight w:val="198"/>
          <w:jc w:val="center"/>
        </w:trPr>
        <w:tc>
          <w:tcPr>
            <w:tcW w:w="2027" w:type="dxa"/>
            <w:tcBorders>
              <w:top w:val="single" w:sz="2" w:space="0" w:color="auto"/>
              <w:bottom w:val="single" w:sz="4" w:space="0" w:color="auto"/>
            </w:tcBorders>
            <w:shd w:val="clear" w:color="auto" w:fill="FFFFFF" w:themeFill="background1"/>
            <w:vAlign w:val="center"/>
          </w:tcPr>
          <w:p w:rsidR="00C9781F" w:rsidRPr="00DA5A70" w:rsidRDefault="00C9781F" w:rsidP="00B53A0A">
            <w:pPr>
              <w:pStyle w:val="texto"/>
              <w:tabs>
                <w:tab w:val="clear" w:pos="2835"/>
                <w:tab w:val="clear" w:pos="3969"/>
                <w:tab w:val="clear" w:pos="5103"/>
                <w:tab w:val="clear" w:pos="6237"/>
                <w:tab w:val="clear" w:pos="7371"/>
              </w:tabs>
              <w:spacing w:after="0"/>
              <w:ind w:firstLine="0"/>
              <w:jc w:val="left"/>
              <w:rPr>
                <w:rFonts w:ascii="Arial Narrow" w:hAnsi="Arial Narrow" w:cs="Arial"/>
                <w:sz w:val="18"/>
                <w:szCs w:val="18"/>
              </w:rPr>
            </w:pPr>
            <w:r w:rsidRPr="00DA5A70">
              <w:rPr>
                <w:rFonts w:ascii="Arial Narrow" w:hAnsi="Arial Narrow" w:cs="Arial"/>
                <w:sz w:val="18"/>
                <w:szCs w:val="18"/>
              </w:rPr>
              <w:t>% s/ partida prestaciones farmacéuticas</w:t>
            </w:r>
          </w:p>
        </w:tc>
        <w:tc>
          <w:tcPr>
            <w:tcW w:w="803" w:type="dxa"/>
            <w:tcBorders>
              <w:top w:val="single" w:sz="2" w:space="0" w:color="auto"/>
              <w:bottom w:val="single" w:sz="4" w:space="0" w:color="auto"/>
            </w:tcBorders>
            <w:shd w:val="clear" w:color="auto" w:fill="FFFFFF" w:themeFill="background1"/>
            <w:vAlign w:val="center"/>
          </w:tcPr>
          <w:p w:rsidR="00C9781F" w:rsidRPr="00DA5A70" w:rsidRDefault="00C9781F" w:rsidP="00B53A0A">
            <w:pPr>
              <w:pStyle w:val="texto"/>
              <w:tabs>
                <w:tab w:val="clear" w:pos="2835"/>
                <w:tab w:val="clear" w:pos="3969"/>
                <w:tab w:val="clear" w:pos="5103"/>
                <w:tab w:val="clear" w:pos="6237"/>
                <w:tab w:val="clear" w:pos="7371"/>
              </w:tabs>
              <w:spacing w:after="0"/>
              <w:ind w:firstLine="0"/>
              <w:contextualSpacing/>
              <w:jc w:val="right"/>
              <w:rPr>
                <w:rFonts w:ascii="Arial Narrow" w:hAnsi="Arial Narrow" w:cs="Arial"/>
                <w:sz w:val="18"/>
                <w:szCs w:val="18"/>
              </w:rPr>
            </w:pPr>
            <w:r w:rsidRPr="00DA5A70">
              <w:rPr>
                <w:rFonts w:ascii="Arial Narrow" w:hAnsi="Arial Narrow" w:cs="Arial"/>
                <w:sz w:val="18"/>
                <w:szCs w:val="18"/>
              </w:rPr>
              <w:t>96</w:t>
            </w:r>
          </w:p>
        </w:tc>
        <w:tc>
          <w:tcPr>
            <w:tcW w:w="857" w:type="dxa"/>
            <w:tcBorders>
              <w:top w:val="single" w:sz="2" w:space="0" w:color="auto"/>
              <w:bottom w:val="single" w:sz="4" w:space="0" w:color="auto"/>
            </w:tcBorders>
            <w:shd w:val="clear" w:color="auto" w:fill="FFFFFF" w:themeFill="background1"/>
            <w:vAlign w:val="center"/>
          </w:tcPr>
          <w:p w:rsidR="00C9781F" w:rsidRPr="00DA5A70" w:rsidRDefault="00C9781F" w:rsidP="00B53A0A">
            <w:pPr>
              <w:pStyle w:val="texto"/>
              <w:tabs>
                <w:tab w:val="clear" w:pos="2835"/>
                <w:tab w:val="clear" w:pos="3969"/>
                <w:tab w:val="clear" w:pos="5103"/>
                <w:tab w:val="clear" w:pos="6237"/>
                <w:tab w:val="clear" w:pos="7371"/>
              </w:tabs>
              <w:spacing w:after="0"/>
              <w:ind w:firstLine="0"/>
              <w:contextualSpacing/>
              <w:jc w:val="right"/>
              <w:rPr>
                <w:rFonts w:ascii="Arial Narrow" w:hAnsi="Arial Narrow" w:cs="Arial"/>
                <w:sz w:val="18"/>
                <w:szCs w:val="18"/>
              </w:rPr>
            </w:pPr>
            <w:r w:rsidRPr="00DA5A70">
              <w:rPr>
                <w:rFonts w:ascii="Arial Narrow" w:hAnsi="Arial Narrow" w:cs="Arial"/>
                <w:sz w:val="18"/>
                <w:szCs w:val="18"/>
              </w:rPr>
              <w:t>96</w:t>
            </w:r>
          </w:p>
        </w:tc>
        <w:tc>
          <w:tcPr>
            <w:tcW w:w="857" w:type="dxa"/>
            <w:tcBorders>
              <w:top w:val="single" w:sz="2" w:space="0" w:color="auto"/>
              <w:bottom w:val="single" w:sz="4" w:space="0" w:color="auto"/>
            </w:tcBorders>
            <w:shd w:val="clear" w:color="auto" w:fill="FFFFFF" w:themeFill="background1"/>
            <w:vAlign w:val="center"/>
          </w:tcPr>
          <w:p w:rsidR="00C9781F" w:rsidRPr="00DA5A70" w:rsidRDefault="00C9781F" w:rsidP="00B53A0A">
            <w:pPr>
              <w:pStyle w:val="texto"/>
              <w:tabs>
                <w:tab w:val="clear" w:pos="2835"/>
                <w:tab w:val="clear" w:pos="3969"/>
                <w:tab w:val="clear" w:pos="5103"/>
                <w:tab w:val="clear" w:pos="6237"/>
                <w:tab w:val="clear" w:pos="7371"/>
              </w:tabs>
              <w:spacing w:after="0"/>
              <w:ind w:firstLine="0"/>
              <w:contextualSpacing/>
              <w:jc w:val="right"/>
              <w:rPr>
                <w:rFonts w:ascii="Arial Narrow" w:hAnsi="Arial Narrow" w:cs="Arial"/>
                <w:sz w:val="18"/>
                <w:szCs w:val="18"/>
              </w:rPr>
            </w:pPr>
            <w:r w:rsidRPr="00DA5A70">
              <w:rPr>
                <w:rFonts w:ascii="Arial Narrow" w:hAnsi="Arial Narrow" w:cs="Arial"/>
                <w:sz w:val="18"/>
                <w:szCs w:val="18"/>
              </w:rPr>
              <w:t>96</w:t>
            </w:r>
          </w:p>
        </w:tc>
        <w:tc>
          <w:tcPr>
            <w:tcW w:w="857" w:type="dxa"/>
            <w:tcBorders>
              <w:top w:val="single" w:sz="2" w:space="0" w:color="auto"/>
              <w:bottom w:val="single" w:sz="4" w:space="0" w:color="auto"/>
            </w:tcBorders>
            <w:shd w:val="clear" w:color="auto" w:fill="FFFFFF" w:themeFill="background1"/>
            <w:vAlign w:val="center"/>
          </w:tcPr>
          <w:p w:rsidR="00C9781F" w:rsidRPr="00DA5A70" w:rsidRDefault="00C9781F" w:rsidP="00B53A0A">
            <w:pPr>
              <w:pStyle w:val="texto"/>
              <w:tabs>
                <w:tab w:val="clear" w:pos="2835"/>
                <w:tab w:val="clear" w:pos="3969"/>
                <w:tab w:val="clear" w:pos="5103"/>
                <w:tab w:val="clear" w:pos="6237"/>
                <w:tab w:val="clear" w:pos="7371"/>
              </w:tabs>
              <w:spacing w:after="0"/>
              <w:ind w:firstLine="0"/>
              <w:contextualSpacing/>
              <w:jc w:val="right"/>
              <w:rPr>
                <w:rFonts w:ascii="Arial Narrow" w:hAnsi="Arial Narrow" w:cs="Arial"/>
                <w:sz w:val="18"/>
                <w:szCs w:val="18"/>
              </w:rPr>
            </w:pPr>
            <w:r w:rsidRPr="00DA5A70">
              <w:rPr>
                <w:rFonts w:ascii="Arial Narrow" w:hAnsi="Arial Narrow" w:cs="Arial"/>
                <w:sz w:val="18"/>
                <w:szCs w:val="18"/>
              </w:rPr>
              <w:t>96</w:t>
            </w:r>
          </w:p>
        </w:tc>
        <w:tc>
          <w:tcPr>
            <w:tcW w:w="803" w:type="dxa"/>
            <w:tcBorders>
              <w:top w:val="single" w:sz="2" w:space="0" w:color="auto"/>
              <w:bottom w:val="single" w:sz="4" w:space="0" w:color="auto"/>
            </w:tcBorders>
            <w:shd w:val="clear" w:color="auto" w:fill="FFFFFF" w:themeFill="background1"/>
            <w:vAlign w:val="center"/>
          </w:tcPr>
          <w:p w:rsidR="00C9781F" w:rsidRPr="00DA5A70" w:rsidRDefault="00C9781F" w:rsidP="00B53A0A">
            <w:pPr>
              <w:pStyle w:val="texto"/>
              <w:tabs>
                <w:tab w:val="clear" w:pos="2835"/>
                <w:tab w:val="clear" w:pos="3969"/>
                <w:tab w:val="clear" w:pos="5103"/>
                <w:tab w:val="clear" w:pos="6237"/>
                <w:tab w:val="clear" w:pos="7371"/>
              </w:tabs>
              <w:spacing w:after="0"/>
              <w:ind w:firstLine="0"/>
              <w:contextualSpacing/>
              <w:jc w:val="right"/>
              <w:rPr>
                <w:rFonts w:ascii="Arial Narrow" w:hAnsi="Arial Narrow" w:cs="Arial"/>
                <w:sz w:val="18"/>
                <w:szCs w:val="18"/>
              </w:rPr>
            </w:pPr>
            <w:r w:rsidRPr="00DA5A70">
              <w:rPr>
                <w:rFonts w:ascii="Arial Narrow" w:hAnsi="Arial Narrow" w:cs="Arial"/>
                <w:sz w:val="18"/>
                <w:szCs w:val="18"/>
              </w:rPr>
              <w:t>95</w:t>
            </w:r>
          </w:p>
        </w:tc>
        <w:tc>
          <w:tcPr>
            <w:tcW w:w="1249" w:type="dxa"/>
            <w:tcBorders>
              <w:top w:val="single" w:sz="2" w:space="0" w:color="auto"/>
              <w:bottom w:val="single" w:sz="4" w:space="0" w:color="auto"/>
            </w:tcBorders>
            <w:shd w:val="clear" w:color="auto" w:fill="FFFFFF" w:themeFill="background1"/>
            <w:vAlign w:val="center"/>
          </w:tcPr>
          <w:p w:rsidR="00C9781F" w:rsidRPr="00DA5A70" w:rsidRDefault="00C9781F" w:rsidP="00B53A0A">
            <w:pPr>
              <w:pStyle w:val="texto"/>
              <w:tabs>
                <w:tab w:val="clear" w:pos="2835"/>
                <w:tab w:val="clear" w:pos="3969"/>
                <w:tab w:val="clear" w:pos="5103"/>
                <w:tab w:val="clear" w:pos="6237"/>
                <w:tab w:val="clear" w:pos="7371"/>
              </w:tabs>
              <w:spacing w:after="0"/>
              <w:ind w:firstLine="0"/>
              <w:contextualSpacing/>
              <w:jc w:val="right"/>
              <w:rPr>
                <w:rFonts w:ascii="Arial Narrow" w:hAnsi="Arial Narrow" w:cs="Arial"/>
                <w:sz w:val="18"/>
                <w:szCs w:val="18"/>
              </w:rPr>
            </w:pPr>
            <w:r w:rsidRPr="00DA5A70">
              <w:rPr>
                <w:rFonts w:ascii="Arial Narrow" w:hAnsi="Arial Narrow" w:cs="Arial"/>
                <w:sz w:val="18"/>
                <w:szCs w:val="18"/>
              </w:rPr>
              <w:t>-</w:t>
            </w:r>
          </w:p>
        </w:tc>
        <w:tc>
          <w:tcPr>
            <w:tcW w:w="1249" w:type="dxa"/>
            <w:tcBorders>
              <w:top w:val="single" w:sz="2" w:space="0" w:color="auto"/>
              <w:bottom w:val="single" w:sz="4" w:space="0" w:color="auto"/>
            </w:tcBorders>
            <w:shd w:val="clear" w:color="auto" w:fill="FFFFFF" w:themeFill="background1"/>
            <w:vAlign w:val="center"/>
          </w:tcPr>
          <w:p w:rsidR="00C9781F" w:rsidRPr="00DA5A70" w:rsidRDefault="00C9781F" w:rsidP="00B53A0A">
            <w:pPr>
              <w:pStyle w:val="texto"/>
              <w:tabs>
                <w:tab w:val="clear" w:pos="2835"/>
                <w:tab w:val="clear" w:pos="3969"/>
                <w:tab w:val="clear" w:pos="5103"/>
                <w:tab w:val="clear" w:pos="6237"/>
                <w:tab w:val="clear" w:pos="7371"/>
              </w:tabs>
              <w:spacing w:after="0"/>
              <w:ind w:firstLine="0"/>
              <w:contextualSpacing/>
              <w:jc w:val="right"/>
              <w:rPr>
                <w:rFonts w:ascii="Arial Narrow" w:hAnsi="Arial Narrow" w:cs="Arial"/>
                <w:sz w:val="18"/>
                <w:szCs w:val="18"/>
              </w:rPr>
            </w:pPr>
            <w:r w:rsidRPr="00DA5A70">
              <w:rPr>
                <w:rFonts w:ascii="Arial Narrow" w:hAnsi="Arial Narrow" w:cs="Arial"/>
                <w:sz w:val="18"/>
                <w:szCs w:val="18"/>
              </w:rPr>
              <w:t>-</w:t>
            </w:r>
          </w:p>
        </w:tc>
      </w:tr>
    </w:tbl>
    <w:p w:rsidR="00C9781F" w:rsidRDefault="00C9781F" w:rsidP="00C9781F">
      <w:pPr>
        <w:pStyle w:val="texto"/>
        <w:tabs>
          <w:tab w:val="clear" w:pos="2835"/>
          <w:tab w:val="clear" w:pos="3969"/>
          <w:tab w:val="clear" w:pos="5103"/>
          <w:tab w:val="clear" w:pos="6237"/>
          <w:tab w:val="clear" w:pos="7371"/>
        </w:tabs>
        <w:spacing w:before="240"/>
        <w:rPr>
          <w:szCs w:val="26"/>
        </w:rPr>
      </w:pPr>
      <w:r>
        <w:rPr>
          <w:szCs w:val="26"/>
        </w:rPr>
        <w:t>En 2017 el gasto de este concepto alcanzó los 132,34 millones de euros, cifra que supera en un diez por ciento a la del ejercicio 2013, si bien disminuye un uno por ciento respecto a 2016.</w:t>
      </w:r>
    </w:p>
    <w:p w:rsidR="00C9781F" w:rsidRDefault="00C9781F" w:rsidP="00C9781F">
      <w:pPr>
        <w:pStyle w:val="texto"/>
        <w:tabs>
          <w:tab w:val="clear" w:pos="2835"/>
          <w:tab w:val="clear" w:pos="3969"/>
          <w:tab w:val="clear" w:pos="5103"/>
          <w:tab w:val="clear" w:pos="6237"/>
          <w:tab w:val="clear" w:pos="7371"/>
        </w:tabs>
        <w:spacing w:before="120"/>
        <w:rPr>
          <w:szCs w:val="26"/>
        </w:rPr>
      </w:pPr>
      <w:r>
        <w:rPr>
          <w:szCs w:val="26"/>
        </w:rPr>
        <w:t xml:space="preserve">El cuatro por ciento </w:t>
      </w:r>
      <w:proofErr w:type="gramStart"/>
      <w:r>
        <w:rPr>
          <w:szCs w:val="26"/>
        </w:rPr>
        <w:t>restante</w:t>
      </w:r>
      <w:proofErr w:type="gramEnd"/>
      <w:r>
        <w:rPr>
          <w:szCs w:val="26"/>
        </w:rPr>
        <w:t xml:space="preserve"> del gasto de esta partida se corresponde con el reintegro del copago a los ciudadanos que tengan derecho a ello, y con la di</w:t>
      </w:r>
      <w:r>
        <w:rPr>
          <w:szCs w:val="26"/>
        </w:rPr>
        <w:t>s</w:t>
      </w:r>
      <w:r>
        <w:rPr>
          <w:szCs w:val="26"/>
        </w:rPr>
        <w:t>pensación de medicamentos en residencias de personas mayores.</w:t>
      </w:r>
    </w:p>
    <w:p w:rsidR="00C9781F" w:rsidRPr="00DA5A70" w:rsidRDefault="00C9781F" w:rsidP="002303D6">
      <w:pPr>
        <w:pStyle w:val="texto"/>
        <w:numPr>
          <w:ilvl w:val="0"/>
          <w:numId w:val="4"/>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DA5A70">
        <w:rPr>
          <w:rFonts w:cs="Arial"/>
        </w:rPr>
        <w:t>El 73 por ciento del gasto de la partida “absorbentes y otros productos s</w:t>
      </w:r>
      <w:r w:rsidRPr="00DA5A70">
        <w:rPr>
          <w:rFonts w:cs="Arial"/>
        </w:rPr>
        <w:t>a</w:t>
      </w:r>
      <w:r w:rsidRPr="00DA5A70">
        <w:rPr>
          <w:rFonts w:cs="Arial"/>
        </w:rPr>
        <w:t xml:space="preserve">nitarios” en el periodo 2015-2017 se corresponde con dispensaciones realizadas por farmacias de estos productos que </w:t>
      </w:r>
      <w:r>
        <w:rPr>
          <w:rFonts w:cs="Arial"/>
        </w:rPr>
        <w:t>el SNS-O abona al</w:t>
      </w:r>
      <w:r w:rsidRPr="00DA5A70">
        <w:rPr>
          <w:rFonts w:cs="Arial"/>
        </w:rPr>
        <w:t xml:space="preserve"> COFNA</w:t>
      </w:r>
      <w:r>
        <w:rPr>
          <w:rFonts w:cs="Arial"/>
        </w:rPr>
        <w:t xml:space="preserve"> y este redi</w:t>
      </w:r>
      <w:r>
        <w:rPr>
          <w:rFonts w:cs="Arial"/>
        </w:rPr>
        <w:t>s</w:t>
      </w:r>
      <w:r>
        <w:rPr>
          <w:rFonts w:cs="Arial"/>
        </w:rPr>
        <w:t>tribuye posteriormente (</w:t>
      </w:r>
      <w:r w:rsidRPr="00DA5A70">
        <w:rPr>
          <w:rFonts w:cs="Arial"/>
        </w:rPr>
        <w:t>en 2013 y 2014 estos productos se adquirían a una e</w:t>
      </w:r>
      <w:r w:rsidRPr="00DA5A70">
        <w:rPr>
          <w:rFonts w:cs="Arial"/>
        </w:rPr>
        <w:t>m</w:t>
      </w:r>
      <w:r w:rsidRPr="00DA5A70">
        <w:rPr>
          <w:rFonts w:cs="Arial"/>
        </w:rPr>
        <w:t xml:space="preserve">presa </w:t>
      </w:r>
      <w:r>
        <w:rPr>
          <w:rFonts w:cs="Arial"/>
        </w:rPr>
        <w:t>previa formalización de un contrato)</w:t>
      </w:r>
      <w:r w:rsidRPr="00DA5A70">
        <w:rPr>
          <w:rFonts w:cs="Arial"/>
        </w:rPr>
        <w:t>. En 2017, este gasto fue de 6,41 m</w:t>
      </w:r>
      <w:r w:rsidRPr="00DA5A70">
        <w:rPr>
          <w:rFonts w:cs="Arial"/>
        </w:rPr>
        <w:t>i</w:t>
      </w:r>
      <w:r w:rsidRPr="00DA5A70">
        <w:rPr>
          <w:rFonts w:cs="Arial"/>
        </w:rPr>
        <w:t>llones de euros, habiéndose incrementado un nueve y un seis por ciento respe</w:t>
      </w:r>
      <w:r w:rsidRPr="00DA5A70">
        <w:rPr>
          <w:rFonts w:cs="Arial"/>
        </w:rPr>
        <w:t>c</w:t>
      </w:r>
      <w:r w:rsidRPr="00DA5A70">
        <w:rPr>
          <w:rFonts w:cs="Arial"/>
        </w:rPr>
        <w:t xml:space="preserve">to a 2013 y 2016. </w:t>
      </w:r>
    </w:p>
    <w:p w:rsidR="00C9781F" w:rsidRPr="00DA5A70" w:rsidRDefault="00C9781F" w:rsidP="002303D6">
      <w:pPr>
        <w:pStyle w:val="texto"/>
        <w:numPr>
          <w:ilvl w:val="0"/>
          <w:numId w:val="4"/>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DA5A70">
        <w:rPr>
          <w:rFonts w:cs="Arial"/>
        </w:rPr>
        <w:t>La partida “ayudas adherencia tratamientos médicos” se refiere a unas ayudas</w:t>
      </w:r>
      <w:r>
        <w:rPr>
          <w:rFonts w:cs="Arial"/>
        </w:rPr>
        <w:t>, que se deben solicitar expresamente, y</w:t>
      </w:r>
      <w:r w:rsidRPr="00DA5A70">
        <w:rPr>
          <w:rFonts w:cs="Arial"/>
        </w:rPr>
        <w:t xml:space="preserve"> se comenzaron a otorgar en 2017 con el fin de reintegrar el copago de determinados medicamentos a alg</w:t>
      </w:r>
      <w:r w:rsidRPr="00DA5A70">
        <w:rPr>
          <w:rFonts w:cs="Arial"/>
        </w:rPr>
        <w:t>u</w:t>
      </w:r>
      <w:r w:rsidRPr="00DA5A70">
        <w:rPr>
          <w:rFonts w:cs="Arial"/>
        </w:rPr>
        <w:t xml:space="preserve">nos colectivos. </w:t>
      </w:r>
    </w:p>
    <w:p w:rsidR="00C9781F" w:rsidRPr="00DA5A70" w:rsidRDefault="00C9781F" w:rsidP="00C9781F">
      <w:pPr>
        <w:pStyle w:val="texto"/>
      </w:pPr>
      <w:r w:rsidRPr="00DA5A70">
        <w:t>Aunque exista esta diferenciación entre partidas presupuestarias, todos los fondos públicos que recibe el COFNA, y posteriormente distribuye a las ofic</w:t>
      </w:r>
      <w:r w:rsidRPr="00DA5A70">
        <w:t>i</w:t>
      </w:r>
      <w:r w:rsidRPr="00DA5A70">
        <w:t>nas de farmacia, están incluidos dentro del procedimiento de gestión de la rec</w:t>
      </w:r>
      <w:r w:rsidRPr="00DA5A70">
        <w:t>e</w:t>
      </w:r>
      <w:r w:rsidRPr="00DA5A70">
        <w:t>ta electrónica, y residualmente de la receta en papel como indicamos en el ep</w:t>
      </w:r>
      <w:r w:rsidRPr="00DA5A70">
        <w:t>í</w:t>
      </w:r>
      <w:r w:rsidRPr="00DA5A70">
        <w:t xml:space="preserve">grafe II.3. </w:t>
      </w:r>
      <w:proofErr w:type="gramStart"/>
      <w:r w:rsidRPr="00DA5A70">
        <w:t>de</w:t>
      </w:r>
      <w:proofErr w:type="gramEnd"/>
      <w:r w:rsidRPr="00DA5A70">
        <w:t xml:space="preserve"> este informe; al constituir este procedimiento el alcance de nue</w:t>
      </w:r>
      <w:r w:rsidRPr="00DA5A70">
        <w:t>s</w:t>
      </w:r>
      <w:r w:rsidRPr="00DA5A70">
        <w:t>tro trabajo, de aquí en adelante, cuando nos refiramos a la prestación farmacé</w:t>
      </w:r>
      <w:r w:rsidRPr="00DA5A70">
        <w:t>u</w:t>
      </w:r>
      <w:r w:rsidRPr="00DA5A70">
        <w:t xml:space="preserve">tica estaremos considerando el gasto </w:t>
      </w:r>
      <w:r>
        <w:t>que el SNS-O abona al COFNA</w:t>
      </w:r>
      <w:r w:rsidRPr="00DA5A70">
        <w:t>.</w:t>
      </w:r>
      <w:r w:rsidRPr="00DA5A70">
        <w:br w:type="page"/>
      </w:r>
    </w:p>
    <w:p w:rsidR="00C9781F" w:rsidRPr="00A47C76" w:rsidRDefault="00C9781F" w:rsidP="00C9781F">
      <w:pPr>
        <w:pStyle w:val="texto"/>
        <w:tabs>
          <w:tab w:val="clear" w:pos="2835"/>
          <w:tab w:val="clear" w:pos="3969"/>
          <w:tab w:val="clear" w:pos="5103"/>
          <w:tab w:val="clear" w:pos="6237"/>
          <w:tab w:val="clear" w:pos="7371"/>
        </w:tabs>
        <w:spacing w:before="240" w:after="240"/>
        <w:ind w:firstLine="0"/>
        <w:rPr>
          <w:rFonts w:ascii="Arial" w:hAnsi="Arial" w:cs="Arial"/>
          <w:i/>
          <w:szCs w:val="26"/>
        </w:rPr>
      </w:pPr>
      <w:r>
        <w:rPr>
          <w:rFonts w:ascii="Arial" w:hAnsi="Arial" w:cs="Arial"/>
          <w:i/>
          <w:szCs w:val="26"/>
        </w:rPr>
        <w:lastRenderedPageBreak/>
        <w:t>Actividad relacionada con la prestación farmacéutica</w:t>
      </w:r>
    </w:p>
    <w:p w:rsidR="00C9781F" w:rsidRDefault="00C9781F" w:rsidP="00C9781F">
      <w:pPr>
        <w:pStyle w:val="texto"/>
        <w:tabs>
          <w:tab w:val="clear" w:pos="2835"/>
          <w:tab w:val="clear" w:pos="3969"/>
          <w:tab w:val="clear" w:pos="5103"/>
          <w:tab w:val="clear" w:pos="6237"/>
          <w:tab w:val="clear" w:pos="7371"/>
        </w:tabs>
        <w:spacing w:before="120" w:after="240"/>
        <w:rPr>
          <w:szCs w:val="26"/>
        </w:rPr>
      </w:pPr>
      <w:r>
        <w:rPr>
          <w:szCs w:val="26"/>
        </w:rPr>
        <w:t xml:space="preserve">Los principales datos referidos a las recetas </w:t>
      </w:r>
      <w:r w:rsidR="0036517C">
        <w:rPr>
          <w:szCs w:val="26"/>
        </w:rPr>
        <w:t xml:space="preserve">dispensadas </w:t>
      </w:r>
      <w:r>
        <w:rPr>
          <w:szCs w:val="26"/>
        </w:rPr>
        <w:t>en el periodo anal</w:t>
      </w:r>
      <w:r>
        <w:rPr>
          <w:szCs w:val="26"/>
        </w:rPr>
        <w:t>i</w:t>
      </w:r>
      <w:r>
        <w:rPr>
          <w:szCs w:val="26"/>
        </w:rPr>
        <w:t>zado, según las memorias del SNS-O, son los siguientes:</w:t>
      </w:r>
    </w:p>
    <w:tbl>
      <w:tblPr>
        <w:tblStyle w:val="Tablaconcuadrcula"/>
        <w:tblW w:w="9865"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756"/>
        <w:gridCol w:w="1097"/>
        <w:gridCol w:w="1102"/>
        <w:gridCol w:w="1123"/>
        <w:gridCol w:w="1123"/>
        <w:gridCol w:w="1097"/>
        <w:gridCol w:w="1283"/>
        <w:gridCol w:w="1284"/>
      </w:tblGrid>
      <w:tr w:rsidR="00C9781F" w:rsidRPr="008948F6" w:rsidTr="00B53A0A">
        <w:trPr>
          <w:trHeight w:val="198"/>
          <w:jc w:val="center"/>
        </w:trPr>
        <w:tc>
          <w:tcPr>
            <w:tcW w:w="1756" w:type="dxa"/>
            <w:tcBorders>
              <w:bottom w:val="single" w:sz="4" w:space="0" w:color="auto"/>
            </w:tcBorders>
            <w:shd w:val="clear" w:color="auto" w:fill="B8CCE4" w:themeFill="accent1" w:themeFillTint="66"/>
            <w:vAlign w:val="center"/>
          </w:tcPr>
          <w:p w:rsidR="00C9781F" w:rsidRPr="008948F6" w:rsidRDefault="00C9781F" w:rsidP="00B53A0A">
            <w:pPr>
              <w:pStyle w:val="texto"/>
              <w:tabs>
                <w:tab w:val="clear" w:pos="2835"/>
                <w:tab w:val="clear" w:pos="3969"/>
                <w:tab w:val="clear" w:pos="5103"/>
                <w:tab w:val="clear" w:pos="6237"/>
                <w:tab w:val="clear" w:pos="7371"/>
              </w:tabs>
              <w:spacing w:after="0"/>
              <w:ind w:right="-108" w:firstLine="0"/>
              <w:rPr>
                <w:rFonts w:ascii="Arial" w:hAnsi="Arial" w:cs="Arial"/>
                <w:sz w:val="18"/>
                <w:szCs w:val="18"/>
              </w:rPr>
            </w:pPr>
          </w:p>
        </w:tc>
        <w:tc>
          <w:tcPr>
            <w:tcW w:w="1097" w:type="dxa"/>
            <w:tcBorders>
              <w:bottom w:val="single" w:sz="4" w:space="0" w:color="auto"/>
            </w:tcBorders>
            <w:shd w:val="clear" w:color="auto" w:fill="B8CCE4" w:themeFill="accent1" w:themeFillTint="66"/>
            <w:vAlign w:val="center"/>
          </w:tcPr>
          <w:p w:rsidR="00C9781F" w:rsidRPr="008948F6"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8948F6">
              <w:rPr>
                <w:rFonts w:ascii="Arial" w:hAnsi="Arial" w:cs="Arial"/>
                <w:sz w:val="18"/>
                <w:szCs w:val="18"/>
              </w:rPr>
              <w:t>2013</w:t>
            </w:r>
          </w:p>
        </w:tc>
        <w:tc>
          <w:tcPr>
            <w:tcW w:w="1102" w:type="dxa"/>
            <w:tcBorders>
              <w:bottom w:val="single" w:sz="4" w:space="0" w:color="auto"/>
            </w:tcBorders>
            <w:shd w:val="clear" w:color="auto" w:fill="B8CCE4" w:themeFill="accent1" w:themeFillTint="66"/>
            <w:vAlign w:val="center"/>
          </w:tcPr>
          <w:p w:rsidR="00C9781F" w:rsidRPr="008948F6"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8948F6">
              <w:rPr>
                <w:rFonts w:ascii="Arial" w:hAnsi="Arial" w:cs="Arial"/>
                <w:sz w:val="18"/>
                <w:szCs w:val="18"/>
              </w:rPr>
              <w:t>2014</w:t>
            </w:r>
          </w:p>
        </w:tc>
        <w:tc>
          <w:tcPr>
            <w:tcW w:w="1123" w:type="dxa"/>
            <w:tcBorders>
              <w:bottom w:val="single" w:sz="4" w:space="0" w:color="auto"/>
            </w:tcBorders>
            <w:shd w:val="clear" w:color="auto" w:fill="B8CCE4" w:themeFill="accent1" w:themeFillTint="66"/>
            <w:vAlign w:val="center"/>
          </w:tcPr>
          <w:p w:rsidR="00C9781F" w:rsidRPr="008948F6"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8948F6">
              <w:rPr>
                <w:rFonts w:ascii="Arial" w:hAnsi="Arial" w:cs="Arial"/>
                <w:sz w:val="18"/>
                <w:szCs w:val="18"/>
              </w:rPr>
              <w:t>2015</w:t>
            </w:r>
          </w:p>
        </w:tc>
        <w:tc>
          <w:tcPr>
            <w:tcW w:w="1123" w:type="dxa"/>
            <w:tcBorders>
              <w:bottom w:val="single" w:sz="4" w:space="0" w:color="auto"/>
            </w:tcBorders>
            <w:shd w:val="clear" w:color="auto" w:fill="B8CCE4" w:themeFill="accent1" w:themeFillTint="66"/>
            <w:vAlign w:val="center"/>
          </w:tcPr>
          <w:p w:rsidR="00C9781F" w:rsidRPr="008948F6"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8948F6">
              <w:rPr>
                <w:rFonts w:ascii="Arial" w:hAnsi="Arial" w:cs="Arial"/>
                <w:sz w:val="18"/>
                <w:szCs w:val="18"/>
              </w:rPr>
              <w:t>2016</w:t>
            </w:r>
          </w:p>
        </w:tc>
        <w:tc>
          <w:tcPr>
            <w:tcW w:w="1097" w:type="dxa"/>
            <w:tcBorders>
              <w:bottom w:val="single" w:sz="4" w:space="0" w:color="auto"/>
            </w:tcBorders>
            <w:shd w:val="clear" w:color="auto" w:fill="B8CCE4" w:themeFill="accent1" w:themeFillTint="66"/>
            <w:vAlign w:val="center"/>
          </w:tcPr>
          <w:p w:rsidR="00C9781F" w:rsidRPr="008948F6"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8948F6">
              <w:rPr>
                <w:rFonts w:ascii="Arial" w:hAnsi="Arial" w:cs="Arial"/>
                <w:sz w:val="18"/>
                <w:szCs w:val="18"/>
              </w:rPr>
              <w:t>2017</w:t>
            </w:r>
          </w:p>
        </w:tc>
        <w:tc>
          <w:tcPr>
            <w:tcW w:w="1283" w:type="dxa"/>
            <w:tcBorders>
              <w:bottom w:val="single" w:sz="4" w:space="0" w:color="auto"/>
            </w:tcBorders>
            <w:shd w:val="clear" w:color="auto" w:fill="B8CCE4" w:themeFill="accent1" w:themeFillTint="66"/>
            <w:vAlign w:val="center"/>
          </w:tcPr>
          <w:p w:rsidR="00C9781F" w:rsidRDefault="00C9781F" w:rsidP="00B53A0A">
            <w:pPr>
              <w:pStyle w:val="texto"/>
              <w:tabs>
                <w:tab w:val="clear" w:pos="2835"/>
                <w:tab w:val="clear" w:pos="3969"/>
                <w:tab w:val="clear" w:pos="5103"/>
                <w:tab w:val="clear" w:pos="6237"/>
                <w:tab w:val="clear" w:pos="7371"/>
              </w:tabs>
              <w:spacing w:after="0"/>
              <w:ind w:left="-98" w:right="-9" w:firstLine="0"/>
              <w:jc w:val="right"/>
              <w:rPr>
                <w:rFonts w:ascii="Arial" w:hAnsi="Arial" w:cs="Arial"/>
                <w:sz w:val="18"/>
                <w:szCs w:val="18"/>
              </w:rPr>
            </w:pPr>
            <w:r>
              <w:rPr>
                <w:rFonts w:ascii="Arial" w:hAnsi="Arial" w:cs="Arial"/>
                <w:sz w:val="18"/>
                <w:szCs w:val="18"/>
              </w:rPr>
              <w:t>% variación</w:t>
            </w:r>
          </w:p>
          <w:p w:rsidR="00C9781F" w:rsidRPr="008948F6" w:rsidRDefault="00C9781F" w:rsidP="00B53A0A">
            <w:pPr>
              <w:pStyle w:val="texto"/>
              <w:tabs>
                <w:tab w:val="clear" w:pos="2835"/>
                <w:tab w:val="clear" w:pos="3969"/>
                <w:tab w:val="clear" w:pos="5103"/>
                <w:tab w:val="clear" w:pos="6237"/>
                <w:tab w:val="clear" w:pos="7371"/>
              </w:tabs>
              <w:spacing w:after="0"/>
              <w:ind w:left="-98" w:right="-9" w:firstLine="0"/>
              <w:jc w:val="right"/>
              <w:rPr>
                <w:rFonts w:ascii="Arial" w:hAnsi="Arial" w:cs="Arial"/>
                <w:sz w:val="18"/>
                <w:szCs w:val="18"/>
              </w:rPr>
            </w:pPr>
            <w:r w:rsidRPr="008948F6">
              <w:rPr>
                <w:rFonts w:ascii="Arial" w:hAnsi="Arial" w:cs="Arial"/>
                <w:sz w:val="18"/>
                <w:szCs w:val="18"/>
              </w:rPr>
              <w:t>2017/201</w:t>
            </w:r>
            <w:r>
              <w:rPr>
                <w:rFonts w:ascii="Arial" w:hAnsi="Arial" w:cs="Arial"/>
                <w:sz w:val="18"/>
                <w:szCs w:val="18"/>
              </w:rPr>
              <w:t>3</w:t>
            </w:r>
          </w:p>
        </w:tc>
        <w:tc>
          <w:tcPr>
            <w:tcW w:w="1284" w:type="dxa"/>
            <w:tcBorders>
              <w:bottom w:val="single" w:sz="4" w:space="0" w:color="auto"/>
            </w:tcBorders>
            <w:shd w:val="clear" w:color="auto" w:fill="B8CCE4" w:themeFill="accent1" w:themeFillTint="66"/>
            <w:vAlign w:val="center"/>
          </w:tcPr>
          <w:p w:rsidR="00C9781F" w:rsidRDefault="00C9781F" w:rsidP="00B53A0A">
            <w:pPr>
              <w:pStyle w:val="texto"/>
              <w:tabs>
                <w:tab w:val="clear" w:pos="2835"/>
                <w:tab w:val="clear" w:pos="3969"/>
                <w:tab w:val="clear" w:pos="5103"/>
                <w:tab w:val="clear" w:pos="6237"/>
                <w:tab w:val="clear" w:pos="7371"/>
              </w:tabs>
              <w:spacing w:after="0"/>
              <w:ind w:left="-98" w:right="-9" w:firstLine="0"/>
              <w:jc w:val="right"/>
              <w:rPr>
                <w:rFonts w:ascii="Arial" w:hAnsi="Arial" w:cs="Arial"/>
                <w:sz w:val="18"/>
                <w:szCs w:val="18"/>
              </w:rPr>
            </w:pPr>
            <w:r>
              <w:rPr>
                <w:rFonts w:ascii="Arial" w:hAnsi="Arial" w:cs="Arial"/>
                <w:sz w:val="18"/>
                <w:szCs w:val="18"/>
              </w:rPr>
              <w:t>% variación.</w:t>
            </w:r>
          </w:p>
          <w:p w:rsidR="00C9781F" w:rsidRPr="008948F6" w:rsidRDefault="00C9781F" w:rsidP="00B53A0A">
            <w:pPr>
              <w:pStyle w:val="texto"/>
              <w:tabs>
                <w:tab w:val="clear" w:pos="2835"/>
                <w:tab w:val="clear" w:pos="3969"/>
                <w:tab w:val="clear" w:pos="5103"/>
                <w:tab w:val="clear" w:pos="6237"/>
                <w:tab w:val="clear" w:pos="7371"/>
              </w:tabs>
              <w:spacing w:after="0"/>
              <w:ind w:left="-98" w:right="-9" w:firstLine="0"/>
              <w:jc w:val="right"/>
              <w:rPr>
                <w:rFonts w:ascii="Arial" w:hAnsi="Arial" w:cs="Arial"/>
                <w:sz w:val="18"/>
                <w:szCs w:val="18"/>
              </w:rPr>
            </w:pPr>
            <w:r w:rsidRPr="008948F6">
              <w:rPr>
                <w:rFonts w:ascii="Arial" w:hAnsi="Arial" w:cs="Arial"/>
                <w:sz w:val="18"/>
                <w:szCs w:val="18"/>
              </w:rPr>
              <w:t>2017/2016</w:t>
            </w:r>
          </w:p>
        </w:tc>
      </w:tr>
      <w:tr w:rsidR="00C9781F" w:rsidRPr="008948F6" w:rsidTr="00B53A0A">
        <w:trPr>
          <w:trHeight w:val="198"/>
          <w:jc w:val="center"/>
        </w:trPr>
        <w:tc>
          <w:tcPr>
            <w:tcW w:w="1756" w:type="dxa"/>
            <w:tcBorders>
              <w:bottom w:val="single" w:sz="2" w:space="0" w:color="auto"/>
            </w:tcBorders>
            <w:vAlign w:val="center"/>
          </w:tcPr>
          <w:p w:rsidR="00C9781F" w:rsidRPr="008948F6" w:rsidRDefault="00C9781F" w:rsidP="00B53A0A">
            <w:pPr>
              <w:pStyle w:val="texto"/>
              <w:tabs>
                <w:tab w:val="clear" w:pos="2835"/>
                <w:tab w:val="clear" w:pos="3969"/>
                <w:tab w:val="clear" w:pos="5103"/>
                <w:tab w:val="clear" w:pos="6237"/>
                <w:tab w:val="clear" w:pos="7371"/>
              </w:tabs>
              <w:spacing w:after="0"/>
              <w:ind w:right="-108" w:firstLine="0"/>
              <w:jc w:val="left"/>
              <w:rPr>
                <w:rFonts w:ascii="Arial Narrow" w:hAnsi="Arial Narrow"/>
                <w:sz w:val="20"/>
              </w:rPr>
            </w:pPr>
            <w:r w:rsidRPr="008948F6">
              <w:rPr>
                <w:rFonts w:ascii="Arial Narrow" w:hAnsi="Arial Narrow"/>
                <w:sz w:val="20"/>
              </w:rPr>
              <w:t>Nº recetas</w:t>
            </w:r>
          </w:p>
        </w:tc>
        <w:tc>
          <w:tcPr>
            <w:tcW w:w="1097" w:type="dxa"/>
            <w:tcBorders>
              <w:bottom w:val="single" w:sz="2" w:space="0" w:color="auto"/>
            </w:tcBorders>
            <w:vAlign w:val="center"/>
          </w:tcPr>
          <w:p w:rsidR="00C9781F" w:rsidRPr="009B369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9B3693">
              <w:rPr>
                <w:rFonts w:ascii="Arial Narrow" w:hAnsi="Arial Narrow"/>
                <w:sz w:val="20"/>
              </w:rPr>
              <w:t>10.007.488</w:t>
            </w:r>
          </w:p>
        </w:tc>
        <w:tc>
          <w:tcPr>
            <w:tcW w:w="1102" w:type="dxa"/>
            <w:tcBorders>
              <w:bottom w:val="single" w:sz="2" w:space="0" w:color="auto"/>
            </w:tcBorders>
            <w:vAlign w:val="center"/>
          </w:tcPr>
          <w:p w:rsidR="00C9781F" w:rsidRPr="009B369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9B3693">
              <w:rPr>
                <w:rFonts w:ascii="Arial Narrow" w:hAnsi="Arial Narrow"/>
                <w:sz w:val="20"/>
              </w:rPr>
              <w:t>9.971.559</w:t>
            </w:r>
          </w:p>
        </w:tc>
        <w:tc>
          <w:tcPr>
            <w:tcW w:w="1123" w:type="dxa"/>
            <w:tcBorders>
              <w:bottom w:val="single" w:sz="2" w:space="0" w:color="auto"/>
            </w:tcBorders>
            <w:vAlign w:val="center"/>
          </w:tcPr>
          <w:p w:rsidR="00C9781F" w:rsidRPr="009B369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9B3693">
              <w:rPr>
                <w:rFonts w:ascii="Arial Narrow" w:hAnsi="Arial Narrow"/>
                <w:sz w:val="20"/>
              </w:rPr>
              <w:t>10.219.993</w:t>
            </w:r>
          </w:p>
        </w:tc>
        <w:tc>
          <w:tcPr>
            <w:tcW w:w="1123" w:type="dxa"/>
            <w:tcBorders>
              <w:bottom w:val="single" w:sz="2" w:space="0" w:color="auto"/>
            </w:tcBorders>
            <w:vAlign w:val="center"/>
          </w:tcPr>
          <w:p w:rsidR="00C9781F" w:rsidRPr="009B369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9B3693">
              <w:rPr>
                <w:rFonts w:ascii="Arial Narrow" w:hAnsi="Arial Narrow"/>
                <w:sz w:val="20"/>
              </w:rPr>
              <w:t>10.478.671</w:t>
            </w:r>
          </w:p>
        </w:tc>
        <w:tc>
          <w:tcPr>
            <w:tcW w:w="1097" w:type="dxa"/>
            <w:tcBorders>
              <w:bottom w:val="single" w:sz="2" w:space="0" w:color="auto"/>
            </w:tcBorders>
            <w:vAlign w:val="center"/>
          </w:tcPr>
          <w:p w:rsidR="00C9781F" w:rsidRPr="009B369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9B3693">
              <w:rPr>
                <w:rFonts w:ascii="Arial Narrow" w:hAnsi="Arial Narrow"/>
                <w:sz w:val="20"/>
              </w:rPr>
              <w:t>10.247.228</w:t>
            </w:r>
          </w:p>
        </w:tc>
        <w:tc>
          <w:tcPr>
            <w:tcW w:w="1283" w:type="dxa"/>
            <w:tcBorders>
              <w:bottom w:val="single" w:sz="2" w:space="0" w:color="auto"/>
            </w:tcBorders>
            <w:vAlign w:val="center"/>
          </w:tcPr>
          <w:p w:rsidR="00C9781F" w:rsidRPr="009B3693" w:rsidRDefault="00C9781F" w:rsidP="00B53A0A">
            <w:pPr>
              <w:pStyle w:val="texto"/>
              <w:tabs>
                <w:tab w:val="clear" w:pos="2835"/>
                <w:tab w:val="clear" w:pos="3969"/>
                <w:tab w:val="clear" w:pos="5103"/>
                <w:tab w:val="clear" w:pos="6237"/>
                <w:tab w:val="clear" w:pos="7371"/>
              </w:tabs>
              <w:spacing w:after="0"/>
              <w:ind w:left="-98" w:right="-9" w:firstLine="0"/>
              <w:jc w:val="right"/>
              <w:rPr>
                <w:rFonts w:ascii="Arial Narrow" w:hAnsi="Arial Narrow"/>
                <w:sz w:val="20"/>
              </w:rPr>
            </w:pPr>
            <w:r w:rsidRPr="009B3693">
              <w:rPr>
                <w:rFonts w:ascii="Arial Narrow" w:hAnsi="Arial Narrow"/>
                <w:sz w:val="20"/>
              </w:rPr>
              <w:t>2</w:t>
            </w:r>
          </w:p>
        </w:tc>
        <w:tc>
          <w:tcPr>
            <w:tcW w:w="1284" w:type="dxa"/>
            <w:tcBorders>
              <w:bottom w:val="single" w:sz="2" w:space="0" w:color="auto"/>
            </w:tcBorders>
            <w:vAlign w:val="center"/>
          </w:tcPr>
          <w:p w:rsidR="00C9781F" w:rsidRPr="009B3693" w:rsidRDefault="00C9781F" w:rsidP="00B53A0A">
            <w:pPr>
              <w:pStyle w:val="texto"/>
              <w:tabs>
                <w:tab w:val="clear" w:pos="2835"/>
                <w:tab w:val="clear" w:pos="3969"/>
                <w:tab w:val="clear" w:pos="5103"/>
                <w:tab w:val="clear" w:pos="6237"/>
                <w:tab w:val="clear" w:pos="7371"/>
              </w:tabs>
              <w:spacing w:after="0"/>
              <w:ind w:left="-98" w:right="-9" w:firstLine="0"/>
              <w:jc w:val="right"/>
              <w:rPr>
                <w:rFonts w:ascii="Arial Narrow" w:hAnsi="Arial Narrow"/>
                <w:sz w:val="20"/>
              </w:rPr>
            </w:pPr>
            <w:r>
              <w:rPr>
                <w:rFonts w:ascii="Arial Narrow" w:hAnsi="Arial Narrow"/>
                <w:sz w:val="20"/>
              </w:rPr>
              <w:t>-</w:t>
            </w:r>
            <w:r w:rsidRPr="009B3693">
              <w:rPr>
                <w:rFonts w:ascii="Arial Narrow" w:hAnsi="Arial Narrow"/>
                <w:sz w:val="20"/>
              </w:rPr>
              <w:t>2</w:t>
            </w:r>
          </w:p>
        </w:tc>
      </w:tr>
      <w:tr w:rsidR="00C9781F" w:rsidRPr="008948F6" w:rsidTr="00B53A0A">
        <w:trPr>
          <w:trHeight w:val="198"/>
          <w:jc w:val="center"/>
        </w:trPr>
        <w:tc>
          <w:tcPr>
            <w:tcW w:w="1756" w:type="dxa"/>
            <w:tcBorders>
              <w:top w:val="single" w:sz="2" w:space="0" w:color="auto"/>
            </w:tcBorders>
            <w:vAlign w:val="center"/>
          </w:tcPr>
          <w:p w:rsidR="00C9781F" w:rsidRPr="008948F6" w:rsidRDefault="00C9781F" w:rsidP="00B53A0A">
            <w:pPr>
              <w:pStyle w:val="texto"/>
              <w:tabs>
                <w:tab w:val="clear" w:pos="2835"/>
                <w:tab w:val="clear" w:pos="3969"/>
                <w:tab w:val="clear" w:pos="5103"/>
                <w:tab w:val="clear" w:pos="6237"/>
                <w:tab w:val="clear" w:pos="7371"/>
              </w:tabs>
              <w:spacing w:after="0"/>
              <w:ind w:right="-108" w:firstLine="0"/>
              <w:jc w:val="left"/>
              <w:rPr>
                <w:rFonts w:ascii="Arial Narrow" w:hAnsi="Arial Narrow"/>
                <w:sz w:val="20"/>
              </w:rPr>
            </w:pPr>
            <w:r>
              <w:rPr>
                <w:rFonts w:ascii="Arial Narrow" w:hAnsi="Arial Narrow"/>
                <w:sz w:val="20"/>
              </w:rPr>
              <w:t>Gasto</w:t>
            </w:r>
            <w:r w:rsidRPr="008948F6">
              <w:rPr>
                <w:rFonts w:ascii="Arial Narrow" w:hAnsi="Arial Narrow"/>
                <w:sz w:val="20"/>
              </w:rPr>
              <w:t xml:space="preserve"> medio receta</w:t>
            </w:r>
          </w:p>
        </w:tc>
        <w:tc>
          <w:tcPr>
            <w:tcW w:w="1097" w:type="dxa"/>
            <w:tcBorders>
              <w:top w:val="single" w:sz="2" w:space="0" w:color="auto"/>
            </w:tcBorders>
            <w:vAlign w:val="center"/>
          </w:tcPr>
          <w:p w:rsidR="00C9781F" w:rsidRPr="009B369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9B3693">
              <w:rPr>
                <w:rFonts w:ascii="Arial Narrow" w:hAnsi="Arial Narrow"/>
                <w:sz w:val="20"/>
              </w:rPr>
              <w:t>12,98</w:t>
            </w:r>
          </w:p>
        </w:tc>
        <w:tc>
          <w:tcPr>
            <w:tcW w:w="1102" w:type="dxa"/>
            <w:tcBorders>
              <w:top w:val="single" w:sz="2" w:space="0" w:color="auto"/>
            </w:tcBorders>
            <w:vAlign w:val="center"/>
          </w:tcPr>
          <w:p w:rsidR="00C9781F" w:rsidRPr="009B369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9B3693">
              <w:rPr>
                <w:rFonts w:ascii="Arial Narrow" w:hAnsi="Arial Narrow"/>
                <w:sz w:val="20"/>
              </w:rPr>
              <w:t>13,54</w:t>
            </w:r>
          </w:p>
        </w:tc>
        <w:tc>
          <w:tcPr>
            <w:tcW w:w="1123" w:type="dxa"/>
            <w:tcBorders>
              <w:top w:val="single" w:sz="2" w:space="0" w:color="auto"/>
            </w:tcBorders>
            <w:vAlign w:val="center"/>
          </w:tcPr>
          <w:p w:rsidR="00C9781F" w:rsidRPr="009B369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9B3693">
              <w:rPr>
                <w:rFonts w:ascii="Arial Narrow" w:hAnsi="Arial Narrow"/>
                <w:sz w:val="20"/>
              </w:rPr>
              <w:t>13,70</w:t>
            </w:r>
          </w:p>
        </w:tc>
        <w:tc>
          <w:tcPr>
            <w:tcW w:w="1123" w:type="dxa"/>
            <w:tcBorders>
              <w:top w:val="single" w:sz="2" w:space="0" w:color="auto"/>
            </w:tcBorders>
            <w:vAlign w:val="center"/>
          </w:tcPr>
          <w:p w:rsidR="00C9781F" w:rsidRPr="009B369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9B3693">
              <w:rPr>
                <w:rFonts w:ascii="Arial Narrow" w:hAnsi="Arial Narrow"/>
                <w:sz w:val="20"/>
              </w:rPr>
              <w:t>13,84</w:t>
            </w:r>
          </w:p>
        </w:tc>
        <w:tc>
          <w:tcPr>
            <w:tcW w:w="1097" w:type="dxa"/>
            <w:tcBorders>
              <w:top w:val="single" w:sz="2" w:space="0" w:color="auto"/>
            </w:tcBorders>
            <w:vAlign w:val="center"/>
          </w:tcPr>
          <w:p w:rsidR="00C9781F" w:rsidRPr="009B369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9B3693">
              <w:rPr>
                <w:rFonts w:ascii="Arial Narrow" w:hAnsi="Arial Narrow"/>
                <w:sz w:val="20"/>
              </w:rPr>
              <w:t>14,08</w:t>
            </w:r>
          </w:p>
        </w:tc>
        <w:tc>
          <w:tcPr>
            <w:tcW w:w="1283" w:type="dxa"/>
            <w:tcBorders>
              <w:top w:val="single" w:sz="2" w:space="0" w:color="auto"/>
            </w:tcBorders>
            <w:vAlign w:val="center"/>
          </w:tcPr>
          <w:p w:rsidR="00C9781F" w:rsidRPr="009B3693" w:rsidRDefault="00C9781F" w:rsidP="00B53A0A">
            <w:pPr>
              <w:pStyle w:val="texto"/>
              <w:tabs>
                <w:tab w:val="clear" w:pos="2835"/>
                <w:tab w:val="clear" w:pos="3969"/>
                <w:tab w:val="clear" w:pos="5103"/>
                <w:tab w:val="clear" w:pos="6237"/>
                <w:tab w:val="clear" w:pos="7371"/>
              </w:tabs>
              <w:spacing w:after="0"/>
              <w:ind w:left="-98" w:right="-9" w:firstLine="0"/>
              <w:jc w:val="right"/>
              <w:rPr>
                <w:rFonts w:ascii="Arial Narrow" w:hAnsi="Arial Narrow"/>
                <w:sz w:val="20"/>
              </w:rPr>
            </w:pPr>
            <w:r>
              <w:rPr>
                <w:rFonts w:ascii="Arial Narrow" w:hAnsi="Arial Narrow"/>
                <w:sz w:val="20"/>
              </w:rPr>
              <w:t>8</w:t>
            </w:r>
          </w:p>
        </w:tc>
        <w:tc>
          <w:tcPr>
            <w:tcW w:w="1284" w:type="dxa"/>
            <w:tcBorders>
              <w:top w:val="single" w:sz="2" w:space="0" w:color="auto"/>
            </w:tcBorders>
            <w:vAlign w:val="center"/>
          </w:tcPr>
          <w:p w:rsidR="00C9781F" w:rsidRPr="009B3693" w:rsidRDefault="00C9781F" w:rsidP="00B53A0A">
            <w:pPr>
              <w:pStyle w:val="texto"/>
              <w:tabs>
                <w:tab w:val="clear" w:pos="2835"/>
                <w:tab w:val="clear" w:pos="3969"/>
                <w:tab w:val="clear" w:pos="5103"/>
                <w:tab w:val="clear" w:pos="6237"/>
                <w:tab w:val="clear" w:pos="7371"/>
              </w:tabs>
              <w:spacing w:after="0"/>
              <w:ind w:left="-98" w:right="-9" w:firstLine="0"/>
              <w:jc w:val="right"/>
              <w:rPr>
                <w:rFonts w:ascii="Arial Narrow" w:hAnsi="Arial Narrow"/>
                <w:sz w:val="20"/>
              </w:rPr>
            </w:pPr>
            <w:r>
              <w:rPr>
                <w:rFonts w:ascii="Arial Narrow" w:hAnsi="Arial Narrow"/>
                <w:sz w:val="20"/>
              </w:rPr>
              <w:t>2</w:t>
            </w:r>
          </w:p>
        </w:tc>
      </w:tr>
    </w:tbl>
    <w:p w:rsidR="00C9781F" w:rsidRDefault="00C9781F" w:rsidP="00C9781F">
      <w:pPr>
        <w:pStyle w:val="texto"/>
        <w:tabs>
          <w:tab w:val="clear" w:pos="2835"/>
          <w:tab w:val="clear" w:pos="3969"/>
          <w:tab w:val="clear" w:pos="5103"/>
          <w:tab w:val="clear" w:pos="6237"/>
          <w:tab w:val="clear" w:pos="7371"/>
        </w:tabs>
        <w:spacing w:before="240" w:after="120"/>
        <w:rPr>
          <w:szCs w:val="26"/>
        </w:rPr>
      </w:pPr>
      <w:r>
        <w:rPr>
          <w:szCs w:val="26"/>
        </w:rPr>
        <w:t>Como se observa, el número de recetas en 2017 alcanzó los 10,25 millones y se incrementó respecto a 2013 un dos por ciento, pero disminuyó un dos por ciento si comparamos la cifra con la de 2016.</w:t>
      </w:r>
    </w:p>
    <w:p w:rsidR="00C9781F" w:rsidRDefault="00C9781F" w:rsidP="00C9781F">
      <w:pPr>
        <w:pStyle w:val="texto"/>
        <w:tabs>
          <w:tab w:val="clear" w:pos="2835"/>
          <w:tab w:val="clear" w:pos="3969"/>
          <w:tab w:val="clear" w:pos="5103"/>
          <w:tab w:val="clear" w:pos="6237"/>
          <w:tab w:val="clear" w:pos="7371"/>
        </w:tabs>
        <w:spacing w:before="120" w:after="240"/>
        <w:rPr>
          <w:szCs w:val="26"/>
        </w:rPr>
      </w:pPr>
      <w:r>
        <w:rPr>
          <w:szCs w:val="26"/>
        </w:rPr>
        <w:t>En cuanto al gasto medio por receta, en 2017 es de 14,08 euros y es el más alto del periodo analizado, habiendo aumentado un ocho y un dos por ciento respecto a 2013 y 2016.</w:t>
      </w:r>
    </w:p>
    <w:p w:rsidR="00C9781F" w:rsidRDefault="00C9781F" w:rsidP="00C9781F">
      <w:pPr>
        <w:pStyle w:val="atitulo2"/>
        <w:spacing w:after="120"/>
      </w:pPr>
      <w:bookmarkStart w:id="8" w:name="_Toc3461802"/>
      <w:bookmarkStart w:id="9" w:name="_Toc4671421"/>
      <w:bookmarkStart w:id="10" w:name="_Toc534015417"/>
      <w:r>
        <w:t>II</w:t>
      </w:r>
      <w:r w:rsidRPr="00C13999">
        <w:t>.</w:t>
      </w:r>
      <w:r>
        <w:t>2.</w:t>
      </w:r>
      <w:r w:rsidRPr="00C13999">
        <w:t xml:space="preserve"> </w:t>
      </w:r>
      <w:r>
        <w:t>Estructura organizativa</w:t>
      </w:r>
      <w:bookmarkEnd w:id="8"/>
      <w:bookmarkEnd w:id="9"/>
      <w:r>
        <w:t xml:space="preserve"> </w:t>
      </w:r>
      <w:bookmarkEnd w:id="10"/>
    </w:p>
    <w:p w:rsidR="00C9781F" w:rsidRDefault="00C9781F" w:rsidP="00C9781F">
      <w:pPr>
        <w:pStyle w:val="texto"/>
        <w:tabs>
          <w:tab w:val="clear" w:pos="2835"/>
          <w:tab w:val="clear" w:pos="3969"/>
          <w:tab w:val="clear" w:pos="5103"/>
          <w:tab w:val="clear" w:pos="6237"/>
          <w:tab w:val="clear" w:pos="7371"/>
        </w:tabs>
        <w:spacing w:before="120"/>
        <w:rPr>
          <w:szCs w:val="26"/>
        </w:rPr>
      </w:pPr>
      <w:r>
        <w:rPr>
          <w:szCs w:val="26"/>
        </w:rPr>
        <w:t>El Servicio de Gestión de la Prestación Farmacéutica de la Subdirección de Farmacia del SNS-O es el encargado de gestionar el gasto correspondiente a la prestación farmacéutica.</w:t>
      </w:r>
    </w:p>
    <w:p w:rsidR="00C9781F" w:rsidRDefault="00C9781F" w:rsidP="00C9781F">
      <w:pPr>
        <w:pStyle w:val="texto"/>
        <w:tabs>
          <w:tab w:val="clear" w:pos="2835"/>
          <w:tab w:val="clear" w:pos="3969"/>
          <w:tab w:val="clear" w:pos="5103"/>
          <w:tab w:val="clear" w:pos="6237"/>
          <w:tab w:val="clear" w:pos="7371"/>
        </w:tabs>
        <w:spacing w:before="120"/>
        <w:rPr>
          <w:szCs w:val="26"/>
        </w:rPr>
      </w:pPr>
      <w:r>
        <w:rPr>
          <w:szCs w:val="26"/>
        </w:rPr>
        <w:t>Además de este servicio, los principales participantes en el proceso de ge</w:t>
      </w:r>
      <w:r>
        <w:rPr>
          <w:szCs w:val="26"/>
        </w:rPr>
        <w:t>s</w:t>
      </w:r>
      <w:r>
        <w:rPr>
          <w:szCs w:val="26"/>
        </w:rPr>
        <w:t>tión son los siguientes: 2.487 facultativos pertenecientes a atención primaria y especializada (dato aportado en la Memoria del SNS-O de 2017), el Servicio de Gestión de Prestaciones y Conciertos, la Sección de la Tarjeta Individual San</w:t>
      </w:r>
      <w:r>
        <w:rPr>
          <w:szCs w:val="26"/>
        </w:rPr>
        <w:t>i</w:t>
      </w:r>
      <w:r>
        <w:rPr>
          <w:szCs w:val="26"/>
        </w:rPr>
        <w:t xml:space="preserve">taria, la Unidad de Gestión Administrativa de la Subdirección de Farmacia, el Servicio de Sistemas de Información del Área Sanitaria de la DGITIP, </w:t>
      </w:r>
      <w:r w:rsidR="0036517C">
        <w:rPr>
          <w:szCs w:val="26"/>
        </w:rPr>
        <w:t>604 of</w:t>
      </w:r>
      <w:r w:rsidR="0036517C">
        <w:rPr>
          <w:szCs w:val="26"/>
        </w:rPr>
        <w:t>i</w:t>
      </w:r>
      <w:r w:rsidR="0036517C">
        <w:rPr>
          <w:szCs w:val="26"/>
        </w:rPr>
        <w:t xml:space="preserve">cinas de farmacia, </w:t>
      </w:r>
      <w:r>
        <w:rPr>
          <w:szCs w:val="26"/>
        </w:rPr>
        <w:t xml:space="preserve">el COFNA, y una empresa externa contratada por </w:t>
      </w:r>
      <w:r w:rsidR="0036517C">
        <w:rPr>
          <w:szCs w:val="26"/>
        </w:rPr>
        <w:t>este col</w:t>
      </w:r>
      <w:r w:rsidR="0036517C">
        <w:rPr>
          <w:szCs w:val="26"/>
        </w:rPr>
        <w:t>e</w:t>
      </w:r>
      <w:r w:rsidR="0036517C">
        <w:rPr>
          <w:szCs w:val="26"/>
        </w:rPr>
        <w:t>gio</w:t>
      </w:r>
      <w:r>
        <w:rPr>
          <w:szCs w:val="26"/>
        </w:rPr>
        <w:t xml:space="preserve">. </w:t>
      </w:r>
    </w:p>
    <w:p w:rsidR="00C9781F" w:rsidRDefault="00C9781F" w:rsidP="00C9781F">
      <w:pPr>
        <w:pStyle w:val="atitulo2"/>
        <w:spacing w:before="240" w:after="120"/>
      </w:pPr>
      <w:bookmarkStart w:id="11" w:name="_Toc534015418"/>
      <w:bookmarkStart w:id="12" w:name="_Toc3461803"/>
      <w:bookmarkStart w:id="13" w:name="_Toc4671422"/>
      <w:r>
        <w:t>II.3.</w:t>
      </w:r>
      <w:r w:rsidRPr="00C13999">
        <w:t xml:space="preserve"> </w:t>
      </w:r>
      <w:r>
        <w:t>Implantación de la receta electrónica</w:t>
      </w:r>
      <w:bookmarkEnd w:id="11"/>
      <w:bookmarkEnd w:id="12"/>
      <w:bookmarkEnd w:id="13"/>
    </w:p>
    <w:p w:rsidR="00C9781F" w:rsidRPr="008B2DB5" w:rsidRDefault="00C9781F" w:rsidP="00C9781F">
      <w:pPr>
        <w:pStyle w:val="texto"/>
        <w:tabs>
          <w:tab w:val="clear" w:pos="2835"/>
          <w:tab w:val="clear" w:pos="3969"/>
          <w:tab w:val="clear" w:pos="5103"/>
          <w:tab w:val="clear" w:pos="6237"/>
          <w:tab w:val="clear" w:pos="7371"/>
        </w:tabs>
        <w:spacing w:before="120"/>
        <w:rPr>
          <w:szCs w:val="26"/>
        </w:rPr>
      </w:pPr>
      <w:r w:rsidRPr="008B2DB5">
        <w:rPr>
          <w:szCs w:val="26"/>
        </w:rPr>
        <w:t>El proceso de implantación de la receta electrónica en el SNS-O se inició en 2010 con un proyecto piloto en</w:t>
      </w:r>
      <w:r>
        <w:rPr>
          <w:szCs w:val="26"/>
        </w:rPr>
        <w:t xml:space="preserve"> el área de Atención Primaria de</w:t>
      </w:r>
      <w:r w:rsidRPr="008B2DB5">
        <w:rPr>
          <w:szCs w:val="26"/>
        </w:rPr>
        <w:t xml:space="preserve"> la zona</w:t>
      </w:r>
      <w:r>
        <w:rPr>
          <w:szCs w:val="26"/>
        </w:rPr>
        <w:t xml:space="preserve"> básica de salud de </w:t>
      </w:r>
      <w:proofErr w:type="spellStart"/>
      <w:r>
        <w:rPr>
          <w:szCs w:val="26"/>
        </w:rPr>
        <w:t>Mendillorri</w:t>
      </w:r>
      <w:proofErr w:type="spellEnd"/>
      <w:r w:rsidRPr="008B2DB5">
        <w:rPr>
          <w:szCs w:val="26"/>
        </w:rPr>
        <w:t xml:space="preserve">. </w:t>
      </w:r>
    </w:p>
    <w:p w:rsidR="00C9781F" w:rsidRPr="008B2DB5" w:rsidRDefault="00C9781F" w:rsidP="00C9781F">
      <w:pPr>
        <w:pStyle w:val="texto"/>
        <w:tabs>
          <w:tab w:val="clear" w:pos="2835"/>
          <w:tab w:val="clear" w:pos="3969"/>
          <w:tab w:val="clear" w:pos="5103"/>
          <w:tab w:val="clear" w:pos="6237"/>
          <w:tab w:val="clear" w:pos="7371"/>
        </w:tabs>
        <w:spacing w:before="120"/>
        <w:rPr>
          <w:szCs w:val="26"/>
        </w:rPr>
      </w:pPr>
      <w:r w:rsidRPr="008B2DB5">
        <w:rPr>
          <w:szCs w:val="26"/>
        </w:rPr>
        <w:t xml:space="preserve">Tras incorporar las mejoras oportunas al proyecto anterior, el despliegue en todo Atención Primaria se inició en enero de 2012, si bien </w:t>
      </w:r>
      <w:r>
        <w:rPr>
          <w:szCs w:val="26"/>
        </w:rPr>
        <w:t>la incorporación de modificaciones normativas en el copago de los ciudadanos hizo ralentizar su implantación</w:t>
      </w:r>
      <w:r w:rsidRPr="008B2DB5">
        <w:rPr>
          <w:szCs w:val="26"/>
        </w:rPr>
        <w:t>.</w:t>
      </w:r>
    </w:p>
    <w:p w:rsidR="00C9781F" w:rsidRPr="008B2DB5" w:rsidRDefault="00C9781F" w:rsidP="00C9781F">
      <w:pPr>
        <w:pStyle w:val="texto"/>
        <w:tabs>
          <w:tab w:val="clear" w:pos="2835"/>
          <w:tab w:val="clear" w:pos="3969"/>
          <w:tab w:val="clear" w:pos="5103"/>
          <w:tab w:val="clear" w:pos="6237"/>
          <w:tab w:val="clear" w:pos="7371"/>
        </w:tabs>
        <w:spacing w:before="120"/>
        <w:rPr>
          <w:szCs w:val="26"/>
        </w:rPr>
      </w:pPr>
      <w:r w:rsidRPr="008B2DB5">
        <w:rPr>
          <w:szCs w:val="26"/>
        </w:rPr>
        <w:t xml:space="preserve">En 2013 se prosiguió con </w:t>
      </w:r>
      <w:r>
        <w:rPr>
          <w:szCs w:val="26"/>
        </w:rPr>
        <w:t xml:space="preserve">la </w:t>
      </w:r>
      <w:r w:rsidRPr="008B2DB5">
        <w:rPr>
          <w:szCs w:val="26"/>
        </w:rPr>
        <w:t>implantación en Atención Primaria</w:t>
      </w:r>
      <w:r w:rsidR="001A1B96">
        <w:rPr>
          <w:szCs w:val="26"/>
        </w:rPr>
        <w:t>. En</w:t>
      </w:r>
      <w:r w:rsidRPr="008B2DB5">
        <w:rPr>
          <w:szCs w:val="26"/>
        </w:rPr>
        <w:t xml:space="preserve"> 2014 se estableció la obligación de prescribir a todos los pacientes de este ámbito san</w:t>
      </w:r>
      <w:r w:rsidRPr="008B2DB5">
        <w:rPr>
          <w:szCs w:val="26"/>
        </w:rPr>
        <w:t>i</w:t>
      </w:r>
      <w:r w:rsidRPr="008B2DB5">
        <w:rPr>
          <w:szCs w:val="26"/>
        </w:rPr>
        <w:t>tario a través de la receta electrónica.</w:t>
      </w:r>
    </w:p>
    <w:p w:rsidR="00C9781F" w:rsidRPr="008B2DB5" w:rsidRDefault="00C9781F" w:rsidP="00C9781F">
      <w:pPr>
        <w:pStyle w:val="texto"/>
        <w:tabs>
          <w:tab w:val="clear" w:pos="2835"/>
          <w:tab w:val="clear" w:pos="3969"/>
          <w:tab w:val="clear" w:pos="5103"/>
          <w:tab w:val="clear" w:pos="6237"/>
          <w:tab w:val="clear" w:pos="7371"/>
        </w:tabs>
        <w:spacing w:before="120"/>
        <w:rPr>
          <w:szCs w:val="26"/>
        </w:rPr>
      </w:pPr>
      <w:r w:rsidRPr="008B2DB5">
        <w:rPr>
          <w:szCs w:val="26"/>
        </w:rPr>
        <w:lastRenderedPageBreak/>
        <w:t>Entre los meses finales de 2015 y los de inicio de 2016 se comenzó el de</w:t>
      </w:r>
      <w:r w:rsidRPr="008B2DB5">
        <w:rPr>
          <w:szCs w:val="26"/>
        </w:rPr>
        <w:t>s</w:t>
      </w:r>
      <w:r w:rsidRPr="008B2DB5">
        <w:rPr>
          <w:szCs w:val="26"/>
        </w:rPr>
        <w:t xml:space="preserve">pliegue en Atención Especializada, proceso que se completó en un año. </w:t>
      </w:r>
    </w:p>
    <w:p w:rsidR="00C9781F" w:rsidRPr="008B2DB5" w:rsidRDefault="00C9781F" w:rsidP="00C9781F">
      <w:pPr>
        <w:pStyle w:val="texto"/>
        <w:tabs>
          <w:tab w:val="clear" w:pos="2835"/>
          <w:tab w:val="clear" w:pos="3969"/>
          <w:tab w:val="clear" w:pos="5103"/>
          <w:tab w:val="clear" w:pos="6237"/>
          <w:tab w:val="clear" w:pos="7371"/>
        </w:tabs>
        <w:spacing w:before="120"/>
        <w:rPr>
          <w:szCs w:val="26"/>
        </w:rPr>
      </w:pPr>
      <w:r w:rsidRPr="008B2DB5">
        <w:rPr>
          <w:szCs w:val="26"/>
        </w:rPr>
        <w:t>Por otro lado, a finales de 2015</w:t>
      </w:r>
      <w:r>
        <w:rPr>
          <w:szCs w:val="26"/>
        </w:rPr>
        <w:t>,</w:t>
      </w:r>
      <w:r w:rsidRPr="008B2DB5">
        <w:rPr>
          <w:szCs w:val="26"/>
        </w:rPr>
        <w:t xml:space="preserve"> también se comenzó el proyecto de inte</w:t>
      </w:r>
      <w:r w:rsidRPr="008B2DB5">
        <w:rPr>
          <w:szCs w:val="26"/>
        </w:rPr>
        <w:t>r</w:t>
      </w:r>
      <w:r w:rsidRPr="008B2DB5">
        <w:rPr>
          <w:szCs w:val="26"/>
        </w:rPr>
        <w:t>operabilidad de las recetas electrónicas para permitir que los pacientes pudieran recoger sus medicamentos o productos en cualquier comunidad autónoma del Estado</w:t>
      </w:r>
      <w:r w:rsidR="001A1B96">
        <w:rPr>
          <w:szCs w:val="26"/>
        </w:rPr>
        <w:t>,</w:t>
      </w:r>
      <w:r w:rsidRPr="008B2DB5">
        <w:rPr>
          <w:szCs w:val="26"/>
        </w:rPr>
        <w:t xml:space="preserve"> independientemente de donde se los hubieran prescrito. Este proceso </w:t>
      </w:r>
      <w:r>
        <w:rPr>
          <w:szCs w:val="26"/>
        </w:rPr>
        <w:t>ya ha culminado</w:t>
      </w:r>
      <w:r w:rsidRPr="008B2DB5">
        <w:rPr>
          <w:szCs w:val="26"/>
        </w:rPr>
        <w:t xml:space="preserve"> en todas las comunidades autónomas</w:t>
      </w:r>
      <w:r>
        <w:rPr>
          <w:szCs w:val="26"/>
        </w:rPr>
        <w:t>.</w:t>
      </w:r>
      <w:r w:rsidRPr="008B2DB5">
        <w:rPr>
          <w:szCs w:val="26"/>
        </w:rPr>
        <w:t xml:space="preserve"> </w:t>
      </w:r>
    </w:p>
    <w:p w:rsidR="00C9781F" w:rsidRPr="008B2DB5" w:rsidRDefault="00C9781F" w:rsidP="00C9781F">
      <w:pPr>
        <w:pStyle w:val="texto"/>
        <w:tabs>
          <w:tab w:val="clear" w:pos="2835"/>
          <w:tab w:val="clear" w:pos="3969"/>
          <w:tab w:val="clear" w:pos="5103"/>
          <w:tab w:val="clear" w:pos="6237"/>
          <w:tab w:val="clear" w:pos="7371"/>
        </w:tabs>
        <w:spacing w:before="120"/>
        <w:rPr>
          <w:szCs w:val="26"/>
        </w:rPr>
      </w:pPr>
      <w:r w:rsidRPr="008B2DB5">
        <w:rPr>
          <w:szCs w:val="26"/>
        </w:rPr>
        <w:t xml:space="preserve">Durante </w:t>
      </w:r>
      <w:r>
        <w:rPr>
          <w:szCs w:val="26"/>
        </w:rPr>
        <w:t>el</w:t>
      </w:r>
      <w:r w:rsidRPr="008B2DB5">
        <w:rPr>
          <w:szCs w:val="26"/>
        </w:rPr>
        <w:t xml:space="preserve"> periodo</w:t>
      </w:r>
      <w:r>
        <w:rPr>
          <w:szCs w:val="26"/>
        </w:rPr>
        <w:t xml:space="preserve"> 2012-2015</w:t>
      </w:r>
      <w:r w:rsidRPr="008B2DB5">
        <w:rPr>
          <w:szCs w:val="26"/>
        </w:rPr>
        <w:t>, la facturación de los medicamentos y produ</w:t>
      </w:r>
      <w:r w:rsidRPr="008B2DB5">
        <w:rPr>
          <w:szCs w:val="26"/>
        </w:rPr>
        <w:t>c</w:t>
      </w:r>
      <w:r w:rsidRPr="008B2DB5">
        <w:rPr>
          <w:szCs w:val="26"/>
        </w:rPr>
        <w:t>tos dispensados</w:t>
      </w:r>
      <w:r>
        <w:rPr>
          <w:szCs w:val="26"/>
        </w:rPr>
        <w:t xml:space="preserve"> en oficinas de farmacia</w:t>
      </w:r>
      <w:r w:rsidRPr="008B2DB5">
        <w:rPr>
          <w:szCs w:val="26"/>
        </w:rPr>
        <w:t xml:space="preserve"> </w:t>
      </w:r>
      <w:r>
        <w:rPr>
          <w:szCs w:val="26"/>
        </w:rPr>
        <w:t xml:space="preserve">no </w:t>
      </w:r>
      <w:r w:rsidRPr="008B2DB5">
        <w:rPr>
          <w:szCs w:val="26"/>
        </w:rPr>
        <w:t xml:space="preserve">se realizaba </w:t>
      </w:r>
      <w:r>
        <w:rPr>
          <w:szCs w:val="26"/>
        </w:rPr>
        <w:t>electrónicamente</w:t>
      </w:r>
      <w:r w:rsidRPr="008B2DB5">
        <w:rPr>
          <w:szCs w:val="26"/>
        </w:rPr>
        <w:t xml:space="preserve">. En marzo de 2015 se inició un proyecto piloto en 12 farmacias para implantar un sistema que permitiera </w:t>
      </w:r>
      <w:r>
        <w:rPr>
          <w:szCs w:val="26"/>
        </w:rPr>
        <w:t>facturar</w:t>
      </w:r>
      <w:r w:rsidRPr="008B2DB5">
        <w:rPr>
          <w:szCs w:val="26"/>
        </w:rPr>
        <w:t xml:space="preserve"> de forma electrónica. Este proyecto finalizó en septiembre de 2017, siendo es</w:t>
      </w:r>
      <w:r>
        <w:rPr>
          <w:szCs w:val="26"/>
        </w:rPr>
        <w:t>te el</w:t>
      </w:r>
      <w:r w:rsidRPr="008B2DB5">
        <w:rPr>
          <w:szCs w:val="26"/>
        </w:rPr>
        <w:t xml:space="preserve"> mes en el que se </w:t>
      </w:r>
      <w:r>
        <w:rPr>
          <w:szCs w:val="26"/>
        </w:rPr>
        <w:t>llevó a cabo</w:t>
      </w:r>
      <w:r w:rsidRPr="008B2DB5">
        <w:rPr>
          <w:szCs w:val="26"/>
        </w:rPr>
        <w:t xml:space="preserve"> la facturación</w:t>
      </w:r>
      <w:r>
        <w:rPr>
          <w:szCs w:val="26"/>
        </w:rPr>
        <w:t xml:space="preserve"> de forma</w:t>
      </w:r>
      <w:r w:rsidRPr="008B2DB5">
        <w:rPr>
          <w:szCs w:val="26"/>
        </w:rPr>
        <w:t xml:space="preserve"> electrónica por primera vez.</w:t>
      </w:r>
    </w:p>
    <w:p w:rsidR="00C9781F" w:rsidRDefault="00C9781F" w:rsidP="00C9781F">
      <w:pPr>
        <w:pStyle w:val="texto"/>
        <w:tabs>
          <w:tab w:val="clear" w:pos="2835"/>
          <w:tab w:val="clear" w:pos="3969"/>
          <w:tab w:val="clear" w:pos="5103"/>
          <w:tab w:val="clear" w:pos="6237"/>
          <w:tab w:val="clear" w:pos="7371"/>
        </w:tabs>
        <w:spacing w:before="120" w:after="240"/>
        <w:rPr>
          <w:szCs w:val="26"/>
        </w:rPr>
      </w:pPr>
      <w:r>
        <w:rPr>
          <w:szCs w:val="26"/>
        </w:rPr>
        <w:t>Por otro lado</w:t>
      </w:r>
      <w:r w:rsidRPr="008B2DB5">
        <w:rPr>
          <w:szCs w:val="26"/>
        </w:rPr>
        <w:t>, en determinadas ocasiones</w:t>
      </w:r>
      <w:r>
        <w:rPr>
          <w:szCs w:val="26"/>
        </w:rPr>
        <w:t xml:space="preserve"> detalladas</w:t>
      </w:r>
      <w:r w:rsidRPr="008B2DB5">
        <w:rPr>
          <w:szCs w:val="26"/>
        </w:rPr>
        <w:t xml:space="preserve"> en los siguientes epígr</w:t>
      </w:r>
      <w:r w:rsidRPr="008B2DB5">
        <w:rPr>
          <w:szCs w:val="26"/>
        </w:rPr>
        <w:t>a</w:t>
      </w:r>
      <w:r w:rsidRPr="008B2DB5">
        <w:rPr>
          <w:szCs w:val="26"/>
        </w:rPr>
        <w:t xml:space="preserve">fes, y de forma prácticamente residual, se siguen prescribiendo medicamentos </w:t>
      </w:r>
      <w:r>
        <w:rPr>
          <w:szCs w:val="26"/>
        </w:rPr>
        <w:t xml:space="preserve">y productos en recetas en papel. Este </w:t>
      </w:r>
      <w:r w:rsidRPr="001A1B96">
        <w:rPr>
          <w:i/>
          <w:szCs w:val="26"/>
        </w:rPr>
        <w:t>modus operandi</w:t>
      </w:r>
      <w:r>
        <w:rPr>
          <w:szCs w:val="26"/>
        </w:rPr>
        <w:t xml:space="preserve"> está desapareciendo</w:t>
      </w:r>
      <w:r w:rsidR="001A1B96">
        <w:rPr>
          <w:szCs w:val="26"/>
        </w:rPr>
        <w:t>,</w:t>
      </w:r>
      <w:r>
        <w:rPr>
          <w:szCs w:val="26"/>
        </w:rPr>
        <w:t xml:space="preserve"> tal y como se muestra en la evolución de los siguientes datos:</w:t>
      </w:r>
    </w:p>
    <w:tbl>
      <w:tblPr>
        <w:tblW w:w="8632" w:type="dxa"/>
        <w:jc w:val="center"/>
        <w:tblInd w:w="-1738" w:type="dxa"/>
        <w:tblCellMar>
          <w:left w:w="70" w:type="dxa"/>
          <w:right w:w="70" w:type="dxa"/>
        </w:tblCellMar>
        <w:tblLook w:val="04A0" w:firstRow="1" w:lastRow="0" w:firstColumn="1" w:lastColumn="0" w:noHBand="0" w:noVBand="1"/>
      </w:tblPr>
      <w:tblGrid>
        <w:gridCol w:w="3143"/>
        <w:gridCol w:w="946"/>
        <w:gridCol w:w="1201"/>
        <w:gridCol w:w="1153"/>
        <w:gridCol w:w="1134"/>
        <w:gridCol w:w="1055"/>
      </w:tblGrid>
      <w:tr w:rsidR="00C9781F" w:rsidRPr="00EC3E0E" w:rsidTr="00B53A0A">
        <w:trPr>
          <w:trHeight w:val="198"/>
          <w:jc w:val="center"/>
        </w:trPr>
        <w:tc>
          <w:tcPr>
            <w:tcW w:w="3143" w:type="dxa"/>
            <w:tcBorders>
              <w:top w:val="single" w:sz="2" w:space="0" w:color="auto"/>
              <w:left w:val="nil"/>
              <w:bottom w:val="single" w:sz="4" w:space="0" w:color="auto"/>
              <w:right w:val="nil"/>
            </w:tcBorders>
            <w:shd w:val="clear" w:color="auto" w:fill="B8CCE4" w:themeFill="accent1" w:themeFillTint="66"/>
            <w:vAlign w:val="center"/>
          </w:tcPr>
          <w:p w:rsidR="00C9781F" w:rsidRPr="00EC3E0E" w:rsidRDefault="00C9781F" w:rsidP="00B53A0A">
            <w:pPr>
              <w:spacing w:after="0"/>
              <w:ind w:firstLine="0"/>
              <w:jc w:val="left"/>
              <w:rPr>
                <w:rFonts w:ascii="Arial" w:hAnsi="Arial" w:cs="Arial"/>
                <w:color w:val="000000"/>
                <w:sz w:val="16"/>
                <w:szCs w:val="16"/>
                <w:lang w:val="es-ES" w:eastAsia="es-ES"/>
              </w:rPr>
            </w:pPr>
          </w:p>
        </w:tc>
        <w:tc>
          <w:tcPr>
            <w:tcW w:w="946" w:type="dxa"/>
            <w:tcBorders>
              <w:top w:val="single" w:sz="2" w:space="0" w:color="auto"/>
              <w:left w:val="nil"/>
              <w:bottom w:val="single" w:sz="4" w:space="0" w:color="auto"/>
              <w:right w:val="nil"/>
            </w:tcBorders>
            <w:shd w:val="clear" w:color="auto" w:fill="B8CCE4" w:themeFill="accent1" w:themeFillTint="66"/>
            <w:noWrap/>
            <w:vAlign w:val="center"/>
          </w:tcPr>
          <w:p w:rsidR="00C9781F" w:rsidRPr="00EC3E0E" w:rsidRDefault="00C9781F" w:rsidP="00B53A0A">
            <w:pPr>
              <w:spacing w:after="0"/>
              <w:ind w:left="-62" w:right="-47"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2013</w:t>
            </w:r>
          </w:p>
        </w:tc>
        <w:tc>
          <w:tcPr>
            <w:tcW w:w="1201" w:type="dxa"/>
            <w:tcBorders>
              <w:top w:val="single" w:sz="2" w:space="0" w:color="auto"/>
              <w:left w:val="single" w:sz="2" w:space="0" w:color="auto"/>
              <w:bottom w:val="single" w:sz="4" w:space="0" w:color="auto"/>
              <w:right w:val="nil"/>
            </w:tcBorders>
            <w:shd w:val="clear" w:color="auto" w:fill="B8CCE4" w:themeFill="accent1" w:themeFillTint="66"/>
            <w:noWrap/>
            <w:vAlign w:val="center"/>
          </w:tcPr>
          <w:p w:rsidR="00C9781F" w:rsidRPr="00EC3E0E" w:rsidRDefault="00C9781F" w:rsidP="00B53A0A">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2014</w:t>
            </w:r>
          </w:p>
        </w:tc>
        <w:tc>
          <w:tcPr>
            <w:tcW w:w="1153" w:type="dxa"/>
            <w:tcBorders>
              <w:top w:val="single" w:sz="2" w:space="0" w:color="auto"/>
              <w:left w:val="single" w:sz="2" w:space="0" w:color="auto"/>
              <w:bottom w:val="single" w:sz="4" w:space="0" w:color="auto"/>
              <w:right w:val="nil"/>
            </w:tcBorders>
            <w:shd w:val="clear" w:color="auto" w:fill="B8CCE4" w:themeFill="accent1" w:themeFillTint="66"/>
            <w:noWrap/>
            <w:vAlign w:val="center"/>
          </w:tcPr>
          <w:p w:rsidR="00C9781F" w:rsidRPr="00EC3E0E" w:rsidRDefault="00C9781F" w:rsidP="00B53A0A">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2015</w:t>
            </w:r>
          </w:p>
        </w:tc>
        <w:tc>
          <w:tcPr>
            <w:tcW w:w="1134" w:type="dxa"/>
            <w:tcBorders>
              <w:top w:val="single" w:sz="2" w:space="0" w:color="auto"/>
              <w:left w:val="single" w:sz="2" w:space="0" w:color="auto"/>
              <w:bottom w:val="single" w:sz="4" w:space="0" w:color="auto"/>
              <w:right w:val="nil"/>
            </w:tcBorders>
            <w:shd w:val="clear" w:color="auto" w:fill="B8CCE4" w:themeFill="accent1" w:themeFillTint="66"/>
            <w:noWrap/>
            <w:vAlign w:val="center"/>
          </w:tcPr>
          <w:p w:rsidR="00C9781F" w:rsidRPr="00EC3E0E" w:rsidRDefault="00C9781F" w:rsidP="00B53A0A">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2016</w:t>
            </w:r>
          </w:p>
        </w:tc>
        <w:tc>
          <w:tcPr>
            <w:tcW w:w="1055" w:type="dxa"/>
            <w:tcBorders>
              <w:top w:val="single" w:sz="2" w:space="0" w:color="auto"/>
              <w:left w:val="single" w:sz="2" w:space="0" w:color="auto"/>
              <w:bottom w:val="single" w:sz="4" w:space="0" w:color="auto"/>
              <w:right w:val="nil"/>
            </w:tcBorders>
            <w:shd w:val="clear" w:color="auto" w:fill="B8CCE4" w:themeFill="accent1" w:themeFillTint="66"/>
            <w:noWrap/>
            <w:vAlign w:val="center"/>
          </w:tcPr>
          <w:p w:rsidR="00C9781F" w:rsidRPr="00EC3E0E" w:rsidRDefault="00C9781F" w:rsidP="00B53A0A">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2017</w:t>
            </w:r>
          </w:p>
        </w:tc>
      </w:tr>
      <w:tr w:rsidR="00C9781F" w:rsidRPr="00EC3E0E" w:rsidTr="00B53A0A">
        <w:trPr>
          <w:trHeight w:val="198"/>
          <w:jc w:val="center"/>
        </w:trPr>
        <w:tc>
          <w:tcPr>
            <w:tcW w:w="3143" w:type="dxa"/>
            <w:tcBorders>
              <w:top w:val="single" w:sz="2" w:space="0" w:color="auto"/>
              <w:left w:val="nil"/>
              <w:bottom w:val="single" w:sz="4" w:space="0" w:color="auto"/>
              <w:right w:val="nil"/>
            </w:tcBorders>
            <w:shd w:val="clear" w:color="auto" w:fill="B8CCE4" w:themeFill="accent1" w:themeFillTint="66"/>
            <w:vAlign w:val="center"/>
            <w:hideMark/>
          </w:tcPr>
          <w:p w:rsidR="00C9781F" w:rsidRPr="00EC3E0E" w:rsidRDefault="00C9781F" w:rsidP="00B53A0A">
            <w:pPr>
              <w:spacing w:after="0"/>
              <w:ind w:firstLine="0"/>
              <w:jc w:val="left"/>
              <w:rPr>
                <w:rFonts w:ascii="Arial" w:hAnsi="Arial" w:cs="Arial"/>
                <w:color w:val="000000"/>
                <w:sz w:val="16"/>
                <w:szCs w:val="16"/>
                <w:lang w:val="es-ES" w:eastAsia="es-ES"/>
              </w:rPr>
            </w:pPr>
          </w:p>
        </w:tc>
        <w:tc>
          <w:tcPr>
            <w:tcW w:w="946" w:type="dxa"/>
            <w:tcBorders>
              <w:top w:val="single" w:sz="2" w:space="0" w:color="auto"/>
              <w:left w:val="nil"/>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left="-62" w:right="-47" w:firstLine="0"/>
              <w:jc w:val="right"/>
              <w:rPr>
                <w:rFonts w:ascii="Arial" w:hAnsi="Arial" w:cs="Arial"/>
                <w:color w:val="000000"/>
                <w:sz w:val="16"/>
                <w:szCs w:val="16"/>
                <w:lang w:val="es-ES" w:eastAsia="es-ES"/>
              </w:rPr>
            </w:pPr>
            <w:r w:rsidRPr="00EC3E0E">
              <w:rPr>
                <w:rFonts w:ascii="Arial" w:hAnsi="Arial" w:cs="Arial"/>
                <w:color w:val="000000"/>
                <w:sz w:val="16"/>
                <w:szCs w:val="16"/>
                <w:lang w:val="es-ES" w:eastAsia="es-ES"/>
              </w:rPr>
              <w:t>Nº recetas</w:t>
            </w:r>
          </w:p>
        </w:tc>
        <w:tc>
          <w:tcPr>
            <w:tcW w:w="1201" w:type="dxa"/>
            <w:tcBorders>
              <w:top w:val="single" w:sz="2"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lang w:val="es-ES" w:eastAsia="es-ES"/>
              </w:rPr>
            </w:pPr>
            <w:r w:rsidRPr="00EC3E0E">
              <w:rPr>
                <w:rFonts w:ascii="Arial" w:hAnsi="Arial" w:cs="Arial"/>
                <w:color w:val="000000"/>
                <w:sz w:val="16"/>
                <w:szCs w:val="16"/>
                <w:lang w:val="es-ES" w:eastAsia="es-ES"/>
              </w:rPr>
              <w:t>Nº recetas</w:t>
            </w:r>
          </w:p>
        </w:tc>
        <w:tc>
          <w:tcPr>
            <w:tcW w:w="1153" w:type="dxa"/>
            <w:tcBorders>
              <w:top w:val="single" w:sz="2"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lang w:val="es-ES" w:eastAsia="es-ES"/>
              </w:rPr>
            </w:pPr>
            <w:r w:rsidRPr="00EC3E0E">
              <w:rPr>
                <w:rFonts w:ascii="Arial" w:hAnsi="Arial" w:cs="Arial"/>
                <w:color w:val="000000"/>
                <w:sz w:val="16"/>
                <w:szCs w:val="16"/>
                <w:lang w:val="es-ES" w:eastAsia="es-ES"/>
              </w:rPr>
              <w:t>Nº recetas</w:t>
            </w:r>
          </w:p>
        </w:tc>
        <w:tc>
          <w:tcPr>
            <w:tcW w:w="1134" w:type="dxa"/>
            <w:tcBorders>
              <w:top w:val="single" w:sz="2"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lang w:val="es-ES" w:eastAsia="es-ES"/>
              </w:rPr>
            </w:pPr>
            <w:r w:rsidRPr="00EC3E0E">
              <w:rPr>
                <w:rFonts w:ascii="Arial" w:hAnsi="Arial" w:cs="Arial"/>
                <w:color w:val="000000"/>
                <w:sz w:val="16"/>
                <w:szCs w:val="16"/>
                <w:lang w:val="es-ES" w:eastAsia="es-ES"/>
              </w:rPr>
              <w:t>Nº recetas</w:t>
            </w:r>
          </w:p>
        </w:tc>
        <w:tc>
          <w:tcPr>
            <w:tcW w:w="1055" w:type="dxa"/>
            <w:tcBorders>
              <w:top w:val="single" w:sz="2"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lang w:val="es-ES" w:eastAsia="es-ES"/>
              </w:rPr>
            </w:pPr>
            <w:r w:rsidRPr="00EC3E0E">
              <w:rPr>
                <w:rFonts w:ascii="Arial" w:hAnsi="Arial" w:cs="Arial"/>
                <w:color w:val="000000"/>
                <w:sz w:val="16"/>
                <w:szCs w:val="16"/>
                <w:lang w:val="es-ES" w:eastAsia="es-ES"/>
              </w:rPr>
              <w:t>Nº recetas</w:t>
            </w:r>
          </w:p>
        </w:tc>
      </w:tr>
      <w:tr w:rsidR="00C9781F" w:rsidRPr="00EC3E0E" w:rsidTr="00B53A0A">
        <w:trPr>
          <w:trHeight w:val="198"/>
          <w:jc w:val="center"/>
        </w:trPr>
        <w:tc>
          <w:tcPr>
            <w:tcW w:w="3143" w:type="dxa"/>
            <w:tcBorders>
              <w:top w:val="single" w:sz="4" w:space="0" w:color="auto"/>
              <w:left w:val="nil"/>
              <w:bottom w:val="single" w:sz="2" w:space="0" w:color="auto"/>
              <w:right w:val="nil"/>
            </w:tcBorders>
            <w:shd w:val="clear" w:color="auto" w:fill="auto"/>
            <w:noWrap/>
            <w:vAlign w:val="center"/>
            <w:hideMark/>
          </w:tcPr>
          <w:p w:rsidR="00C9781F" w:rsidRPr="00EC3E0E" w:rsidRDefault="00C9781F" w:rsidP="00B53A0A">
            <w:pPr>
              <w:spacing w:after="0"/>
              <w:ind w:firstLine="0"/>
              <w:jc w:val="left"/>
              <w:rPr>
                <w:rFonts w:ascii="Arial Narrow" w:hAnsi="Arial Narrow"/>
                <w:color w:val="000000"/>
                <w:sz w:val="18"/>
                <w:szCs w:val="18"/>
                <w:lang w:val="es-ES" w:eastAsia="es-ES"/>
              </w:rPr>
            </w:pPr>
            <w:r w:rsidRPr="00EC3E0E">
              <w:rPr>
                <w:rFonts w:ascii="Arial Narrow" w:hAnsi="Arial Narrow"/>
                <w:color w:val="000000"/>
                <w:sz w:val="18"/>
                <w:szCs w:val="18"/>
                <w:lang w:val="es-ES" w:eastAsia="es-ES"/>
              </w:rPr>
              <w:t>Receta electrónica</w:t>
            </w:r>
          </w:p>
        </w:tc>
        <w:tc>
          <w:tcPr>
            <w:tcW w:w="946" w:type="dxa"/>
            <w:tcBorders>
              <w:top w:val="single" w:sz="4" w:space="0" w:color="auto"/>
              <w:left w:val="nil"/>
              <w:bottom w:val="single" w:sz="2" w:space="0" w:color="auto"/>
              <w:right w:val="nil"/>
            </w:tcBorders>
            <w:shd w:val="clear" w:color="auto" w:fill="auto"/>
            <w:noWrap/>
            <w:vAlign w:val="center"/>
            <w:hideMark/>
          </w:tcPr>
          <w:p w:rsidR="00C9781F" w:rsidRPr="00EC3E0E" w:rsidRDefault="00C9781F" w:rsidP="00B53A0A">
            <w:pPr>
              <w:spacing w:after="0"/>
              <w:ind w:left="-62" w:right="-47" w:firstLine="0"/>
              <w:jc w:val="right"/>
              <w:rPr>
                <w:rFonts w:ascii="Arial Narrow" w:hAnsi="Arial Narrow"/>
                <w:color w:val="000000"/>
                <w:sz w:val="18"/>
                <w:szCs w:val="18"/>
                <w:lang w:val="es-ES" w:eastAsia="es-ES"/>
              </w:rPr>
            </w:pPr>
            <w:r w:rsidRPr="00EC3E0E">
              <w:rPr>
                <w:rFonts w:ascii="Arial Narrow" w:hAnsi="Arial Narrow"/>
                <w:color w:val="000000"/>
                <w:sz w:val="18"/>
                <w:szCs w:val="18"/>
                <w:lang w:val="es-ES" w:eastAsia="es-ES"/>
              </w:rPr>
              <w:t>6.126.041</w:t>
            </w:r>
          </w:p>
        </w:tc>
        <w:tc>
          <w:tcPr>
            <w:tcW w:w="1201" w:type="dxa"/>
            <w:tcBorders>
              <w:top w:val="single" w:sz="4" w:space="0" w:color="auto"/>
              <w:left w:val="single" w:sz="2" w:space="0" w:color="auto"/>
              <w:bottom w:val="single" w:sz="2"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lang w:val="es-ES" w:eastAsia="es-ES"/>
              </w:rPr>
            </w:pPr>
            <w:r w:rsidRPr="00EC3E0E">
              <w:rPr>
                <w:rFonts w:ascii="Arial Narrow" w:hAnsi="Arial Narrow"/>
                <w:color w:val="000000"/>
                <w:sz w:val="18"/>
                <w:szCs w:val="18"/>
                <w:lang w:val="es-ES" w:eastAsia="es-ES"/>
              </w:rPr>
              <w:t>8.738.066</w:t>
            </w:r>
          </w:p>
        </w:tc>
        <w:tc>
          <w:tcPr>
            <w:tcW w:w="1153" w:type="dxa"/>
            <w:tcBorders>
              <w:top w:val="single" w:sz="4" w:space="0" w:color="auto"/>
              <w:left w:val="single" w:sz="2" w:space="0" w:color="auto"/>
              <w:bottom w:val="single" w:sz="2"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lang w:val="es-ES" w:eastAsia="es-ES"/>
              </w:rPr>
            </w:pPr>
            <w:r w:rsidRPr="00EC3E0E">
              <w:rPr>
                <w:rFonts w:ascii="Arial Narrow" w:hAnsi="Arial Narrow"/>
                <w:color w:val="000000"/>
                <w:sz w:val="18"/>
                <w:szCs w:val="18"/>
                <w:lang w:val="es-ES" w:eastAsia="es-ES"/>
              </w:rPr>
              <w:t>9.191.978</w:t>
            </w:r>
          </w:p>
        </w:tc>
        <w:tc>
          <w:tcPr>
            <w:tcW w:w="1134" w:type="dxa"/>
            <w:tcBorders>
              <w:top w:val="single" w:sz="4" w:space="0" w:color="auto"/>
              <w:left w:val="single" w:sz="2" w:space="0" w:color="auto"/>
              <w:bottom w:val="single" w:sz="2"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lang w:val="es-ES" w:eastAsia="es-ES"/>
              </w:rPr>
            </w:pPr>
            <w:r w:rsidRPr="00EC3E0E">
              <w:rPr>
                <w:rFonts w:ascii="Arial Narrow" w:hAnsi="Arial Narrow"/>
                <w:color w:val="000000"/>
                <w:sz w:val="18"/>
                <w:szCs w:val="18"/>
                <w:lang w:val="es-ES" w:eastAsia="es-ES"/>
              </w:rPr>
              <w:t>9.716.793</w:t>
            </w:r>
          </w:p>
        </w:tc>
        <w:tc>
          <w:tcPr>
            <w:tcW w:w="1055" w:type="dxa"/>
            <w:tcBorders>
              <w:top w:val="single" w:sz="4" w:space="0" w:color="auto"/>
              <w:left w:val="single" w:sz="2" w:space="0" w:color="auto"/>
              <w:bottom w:val="single" w:sz="2"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lang w:val="es-ES" w:eastAsia="es-ES"/>
              </w:rPr>
            </w:pPr>
            <w:r w:rsidRPr="00EC3E0E">
              <w:rPr>
                <w:rFonts w:ascii="Arial Narrow" w:hAnsi="Arial Narrow"/>
                <w:color w:val="000000"/>
                <w:sz w:val="18"/>
                <w:szCs w:val="18"/>
                <w:lang w:val="es-ES" w:eastAsia="es-ES"/>
              </w:rPr>
              <w:t>9.935.345</w:t>
            </w:r>
          </w:p>
        </w:tc>
      </w:tr>
      <w:tr w:rsidR="00C9781F" w:rsidRPr="00EC3E0E" w:rsidTr="00B53A0A">
        <w:trPr>
          <w:trHeight w:val="198"/>
          <w:jc w:val="center"/>
        </w:trPr>
        <w:tc>
          <w:tcPr>
            <w:tcW w:w="3143" w:type="dxa"/>
            <w:tcBorders>
              <w:top w:val="single" w:sz="2" w:space="0" w:color="auto"/>
              <w:left w:val="nil"/>
              <w:bottom w:val="single" w:sz="4" w:space="0" w:color="auto"/>
              <w:right w:val="nil"/>
            </w:tcBorders>
            <w:shd w:val="clear" w:color="auto" w:fill="auto"/>
            <w:noWrap/>
            <w:vAlign w:val="center"/>
            <w:hideMark/>
          </w:tcPr>
          <w:p w:rsidR="00C9781F" w:rsidRPr="00EC3E0E" w:rsidRDefault="00C9781F" w:rsidP="00B53A0A">
            <w:pPr>
              <w:spacing w:after="0"/>
              <w:ind w:firstLine="0"/>
              <w:jc w:val="left"/>
              <w:rPr>
                <w:rFonts w:ascii="Arial Narrow" w:hAnsi="Arial Narrow"/>
                <w:color w:val="000000"/>
                <w:sz w:val="18"/>
                <w:szCs w:val="18"/>
                <w:lang w:val="es-ES" w:eastAsia="es-ES"/>
              </w:rPr>
            </w:pPr>
            <w:r w:rsidRPr="00EC3E0E">
              <w:rPr>
                <w:rFonts w:ascii="Arial Narrow" w:hAnsi="Arial Narrow"/>
                <w:color w:val="000000"/>
                <w:sz w:val="18"/>
                <w:szCs w:val="18"/>
                <w:lang w:val="es-ES" w:eastAsia="es-ES"/>
              </w:rPr>
              <w:t>Receta en papel</w:t>
            </w:r>
          </w:p>
        </w:tc>
        <w:tc>
          <w:tcPr>
            <w:tcW w:w="946" w:type="dxa"/>
            <w:tcBorders>
              <w:top w:val="single" w:sz="2" w:space="0" w:color="auto"/>
              <w:left w:val="nil"/>
              <w:bottom w:val="single" w:sz="4" w:space="0" w:color="auto"/>
              <w:right w:val="nil"/>
            </w:tcBorders>
            <w:shd w:val="clear" w:color="auto" w:fill="auto"/>
            <w:noWrap/>
            <w:vAlign w:val="center"/>
            <w:hideMark/>
          </w:tcPr>
          <w:p w:rsidR="00C9781F" w:rsidRPr="00EC3E0E" w:rsidRDefault="00C9781F" w:rsidP="00B53A0A">
            <w:pPr>
              <w:spacing w:after="0"/>
              <w:ind w:left="-62" w:right="-47" w:firstLine="0"/>
              <w:jc w:val="right"/>
              <w:rPr>
                <w:rFonts w:ascii="Arial Narrow" w:hAnsi="Arial Narrow"/>
                <w:color w:val="000000"/>
                <w:sz w:val="18"/>
                <w:szCs w:val="18"/>
                <w:lang w:val="es-ES" w:eastAsia="es-ES"/>
              </w:rPr>
            </w:pPr>
            <w:r w:rsidRPr="00EC3E0E">
              <w:rPr>
                <w:rFonts w:ascii="Arial Narrow" w:hAnsi="Arial Narrow"/>
                <w:color w:val="000000"/>
                <w:sz w:val="18"/>
                <w:szCs w:val="18"/>
                <w:lang w:val="es-ES" w:eastAsia="es-ES"/>
              </w:rPr>
              <w:t>3.881.447</w:t>
            </w:r>
          </w:p>
        </w:tc>
        <w:tc>
          <w:tcPr>
            <w:tcW w:w="1201" w:type="dxa"/>
            <w:tcBorders>
              <w:top w:val="single" w:sz="2" w:space="0" w:color="auto"/>
              <w:left w:val="single" w:sz="2" w:space="0" w:color="auto"/>
              <w:bottom w:val="single" w:sz="4"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lang w:val="es-ES" w:eastAsia="es-ES"/>
              </w:rPr>
            </w:pPr>
            <w:r w:rsidRPr="00EC3E0E">
              <w:rPr>
                <w:rFonts w:ascii="Arial Narrow" w:hAnsi="Arial Narrow"/>
                <w:color w:val="000000"/>
                <w:sz w:val="18"/>
                <w:szCs w:val="18"/>
                <w:lang w:val="es-ES" w:eastAsia="es-ES"/>
              </w:rPr>
              <w:t>1.233.493</w:t>
            </w:r>
          </w:p>
        </w:tc>
        <w:tc>
          <w:tcPr>
            <w:tcW w:w="1153" w:type="dxa"/>
            <w:tcBorders>
              <w:top w:val="single" w:sz="2" w:space="0" w:color="auto"/>
              <w:left w:val="single" w:sz="2" w:space="0" w:color="auto"/>
              <w:bottom w:val="single" w:sz="4"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lang w:val="es-ES" w:eastAsia="es-ES"/>
              </w:rPr>
            </w:pPr>
            <w:r w:rsidRPr="00EC3E0E">
              <w:rPr>
                <w:rFonts w:ascii="Arial Narrow" w:hAnsi="Arial Narrow"/>
                <w:color w:val="000000"/>
                <w:sz w:val="18"/>
                <w:szCs w:val="18"/>
                <w:lang w:val="es-ES" w:eastAsia="es-ES"/>
              </w:rPr>
              <w:t>1.028.015</w:t>
            </w:r>
          </w:p>
        </w:tc>
        <w:tc>
          <w:tcPr>
            <w:tcW w:w="1134" w:type="dxa"/>
            <w:tcBorders>
              <w:top w:val="single" w:sz="2" w:space="0" w:color="auto"/>
              <w:left w:val="single" w:sz="2" w:space="0" w:color="auto"/>
              <w:bottom w:val="single" w:sz="4"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lang w:val="es-ES" w:eastAsia="es-ES"/>
              </w:rPr>
            </w:pPr>
            <w:r w:rsidRPr="00EC3E0E">
              <w:rPr>
                <w:rFonts w:ascii="Arial Narrow" w:hAnsi="Arial Narrow"/>
                <w:color w:val="000000"/>
                <w:sz w:val="18"/>
                <w:szCs w:val="18"/>
                <w:lang w:val="es-ES" w:eastAsia="es-ES"/>
              </w:rPr>
              <w:t>761.878</w:t>
            </w:r>
          </w:p>
        </w:tc>
        <w:tc>
          <w:tcPr>
            <w:tcW w:w="1055" w:type="dxa"/>
            <w:tcBorders>
              <w:top w:val="single" w:sz="2" w:space="0" w:color="auto"/>
              <w:left w:val="single" w:sz="2" w:space="0" w:color="auto"/>
              <w:bottom w:val="single" w:sz="4"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lang w:val="es-ES" w:eastAsia="es-ES"/>
              </w:rPr>
            </w:pPr>
            <w:r w:rsidRPr="00EC3E0E">
              <w:rPr>
                <w:rFonts w:ascii="Arial Narrow" w:hAnsi="Arial Narrow"/>
                <w:color w:val="000000"/>
                <w:sz w:val="18"/>
                <w:szCs w:val="18"/>
                <w:lang w:val="es-ES" w:eastAsia="es-ES"/>
              </w:rPr>
              <w:t>311.883</w:t>
            </w:r>
          </w:p>
        </w:tc>
      </w:tr>
      <w:tr w:rsidR="00C9781F" w:rsidRPr="00EC3E0E" w:rsidTr="00B53A0A">
        <w:trPr>
          <w:trHeight w:val="255"/>
          <w:jc w:val="center"/>
        </w:trPr>
        <w:tc>
          <w:tcPr>
            <w:tcW w:w="3143" w:type="dxa"/>
            <w:tcBorders>
              <w:top w:val="single" w:sz="4" w:space="0" w:color="auto"/>
              <w:left w:val="nil"/>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left"/>
              <w:rPr>
                <w:rFonts w:ascii="Arial" w:hAnsi="Arial" w:cs="Arial"/>
                <w:color w:val="000000"/>
                <w:sz w:val="16"/>
                <w:szCs w:val="16"/>
                <w:lang w:val="es-ES" w:eastAsia="es-ES"/>
              </w:rPr>
            </w:pPr>
            <w:r w:rsidRPr="00EC3E0E">
              <w:rPr>
                <w:rFonts w:ascii="Arial" w:hAnsi="Arial" w:cs="Arial"/>
                <w:color w:val="000000"/>
                <w:sz w:val="16"/>
                <w:szCs w:val="16"/>
                <w:lang w:val="es-ES" w:eastAsia="es-ES"/>
              </w:rPr>
              <w:t>Total recetas</w:t>
            </w:r>
          </w:p>
        </w:tc>
        <w:tc>
          <w:tcPr>
            <w:tcW w:w="946" w:type="dxa"/>
            <w:tcBorders>
              <w:top w:val="single" w:sz="4" w:space="0" w:color="auto"/>
              <w:left w:val="nil"/>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left="-62" w:right="-47" w:firstLine="0"/>
              <w:jc w:val="right"/>
              <w:rPr>
                <w:rFonts w:ascii="Arial" w:hAnsi="Arial" w:cs="Arial"/>
                <w:color w:val="000000"/>
                <w:sz w:val="16"/>
                <w:szCs w:val="16"/>
                <w:lang w:val="es-ES" w:eastAsia="es-ES"/>
              </w:rPr>
            </w:pPr>
            <w:r w:rsidRPr="00EC3E0E">
              <w:rPr>
                <w:rFonts w:ascii="Arial" w:hAnsi="Arial" w:cs="Arial"/>
                <w:color w:val="000000"/>
                <w:sz w:val="16"/>
                <w:szCs w:val="16"/>
                <w:lang w:val="es-ES" w:eastAsia="es-ES"/>
              </w:rPr>
              <w:t>10.007.488</w:t>
            </w:r>
          </w:p>
        </w:tc>
        <w:tc>
          <w:tcPr>
            <w:tcW w:w="1201" w:type="dxa"/>
            <w:tcBorders>
              <w:top w:val="single" w:sz="4"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lang w:val="es-ES" w:eastAsia="es-ES"/>
              </w:rPr>
            </w:pPr>
            <w:r w:rsidRPr="00EC3E0E">
              <w:rPr>
                <w:rFonts w:ascii="Arial" w:hAnsi="Arial" w:cs="Arial"/>
                <w:color w:val="000000"/>
                <w:sz w:val="16"/>
                <w:szCs w:val="16"/>
                <w:lang w:val="es-ES" w:eastAsia="es-ES"/>
              </w:rPr>
              <w:t>9.971.559</w:t>
            </w:r>
          </w:p>
        </w:tc>
        <w:tc>
          <w:tcPr>
            <w:tcW w:w="1153" w:type="dxa"/>
            <w:tcBorders>
              <w:top w:val="single" w:sz="4"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lang w:val="es-ES" w:eastAsia="es-ES"/>
              </w:rPr>
            </w:pPr>
            <w:r w:rsidRPr="00EC3E0E">
              <w:rPr>
                <w:rFonts w:ascii="Arial" w:hAnsi="Arial" w:cs="Arial"/>
                <w:color w:val="000000"/>
                <w:sz w:val="16"/>
                <w:szCs w:val="16"/>
                <w:lang w:val="es-ES" w:eastAsia="es-ES"/>
              </w:rPr>
              <w:t>10.219.993</w:t>
            </w:r>
          </w:p>
        </w:tc>
        <w:tc>
          <w:tcPr>
            <w:tcW w:w="1134" w:type="dxa"/>
            <w:tcBorders>
              <w:top w:val="single" w:sz="4"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lang w:val="es-ES" w:eastAsia="es-ES"/>
              </w:rPr>
            </w:pPr>
            <w:r w:rsidRPr="00EC3E0E">
              <w:rPr>
                <w:rFonts w:ascii="Arial" w:hAnsi="Arial" w:cs="Arial"/>
                <w:color w:val="000000"/>
                <w:sz w:val="16"/>
                <w:szCs w:val="16"/>
                <w:lang w:val="es-ES" w:eastAsia="es-ES"/>
              </w:rPr>
              <w:t>10.478.671</w:t>
            </w:r>
          </w:p>
        </w:tc>
        <w:tc>
          <w:tcPr>
            <w:tcW w:w="1055" w:type="dxa"/>
            <w:tcBorders>
              <w:top w:val="single" w:sz="4"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lang w:val="es-ES" w:eastAsia="es-ES"/>
              </w:rPr>
            </w:pPr>
            <w:r w:rsidRPr="00EC3E0E">
              <w:rPr>
                <w:rFonts w:ascii="Arial" w:hAnsi="Arial" w:cs="Arial"/>
                <w:color w:val="000000"/>
                <w:sz w:val="16"/>
                <w:szCs w:val="16"/>
                <w:lang w:val="es-ES" w:eastAsia="es-ES"/>
              </w:rPr>
              <w:t>10.247.228</w:t>
            </w:r>
          </w:p>
        </w:tc>
      </w:tr>
      <w:tr w:rsidR="00C9781F" w:rsidRPr="0036360C" w:rsidTr="00B53A0A">
        <w:trPr>
          <w:trHeight w:val="255"/>
          <w:jc w:val="center"/>
        </w:trPr>
        <w:tc>
          <w:tcPr>
            <w:tcW w:w="3143" w:type="dxa"/>
            <w:tcBorders>
              <w:top w:val="single" w:sz="4" w:space="0" w:color="auto"/>
              <w:left w:val="nil"/>
              <w:bottom w:val="single" w:sz="4" w:space="0" w:color="auto"/>
              <w:right w:val="nil"/>
            </w:tcBorders>
            <w:shd w:val="clear" w:color="auto" w:fill="auto"/>
            <w:vAlign w:val="center"/>
          </w:tcPr>
          <w:p w:rsidR="00C9781F" w:rsidRPr="0036360C" w:rsidRDefault="00C9781F" w:rsidP="00B53A0A">
            <w:pPr>
              <w:spacing w:after="0"/>
              <w:ind w:firstLine="0"/>
              <w:jc w:val="left"/>
              <w:rPr>
                <w:rFonts w:ascii="Calibri" w:hAnsi="Calibri"/>
                <w:color w:val="000000"/>
                <w:sz w:val="22"/>
                <w:szCs w:val="22"/>
                <w:lang w:val="es-ES" w:eastAsia="es-ES"/>
              </w:rPr>
            </w:pPr>
          </w:p>
        </w:tc>
        <w:tc>
          <w:tcPr>
            <w:tcW w:w="946" w:type="dxa"/>
            <w:tcBorders>
              <w:top w:val="single" w:sz="4" w:space="0" w:color="auto"/>
              <w:left w:val="nil"/>
              <w:bottom w:val="single" w:sz="4" w:space="0" w:color="auto"/>
              <w:right w:val="nil"/>
            </w:tcBorders>
            <w:shd w:val="clear" w:color="auto" w:fill="auto"/>
            <w:noWrap/>
            <w:vAlign w:val="center"/>
          </w:tcPr>
          <w:p w:rsidR="00C9781F" w:rsidRPr="0036360C" w:rsidRDefault="00C9781F" w:rsidP="00B53A0A">
            <w:pPr>
              <w:spacing w:after="0"/>
              <w:ind w:left="-62" w:right="-47" w:firstLine="0"/>
              <w:jc w:val="right"/>
              <w:rPr>
                <w:rFonts w:ascii="Arial" w:hAnsi="Arial" w:cs="Arial"/>
                <w:color w:val="000000"/>
                <w:sz w:val="16"/>
                <w:szCs w:val="16"/>
                <w:lang w:val="es-ES" w:eastAsia="es-ES"/>
              </w:rPr>
            </w:pPr>
          </w:p>
        </w:tc>
        <w:tc>
          <w:tcPr>
            <w:tcW w:w="1201" w:type="dxa"/>
            <w:tcBorders>
              <w:top w:val="single" w:sz="4" w:space="0" w:color="auto"/>
              <w:left w:val="single" w:sz="2" w:space="0" w:color="auto"/>
              <w:bottom w:val="single" w:sz="4" w:space="0" w:color="auto"/>
              <w:right w:val="nil"/>
            </w:tcBorders>
            <w:shd w:val="clear" w:color="auto" w:fill="auto"/>
            <w:noWrap/>
            <w:vAlign w:val="center"/>
          </w:tcPr>
          <w:p w:rsidR="00C9781F" w:rsidRPr="0036360C" w:rsidRDefault="00C9781F" w:rsidP="00B53A0A">
            <w:pPr>
              <w:spacing w:after="0"/>
              <w:ind w:firstLine="0"/>
              <w:jc w:val="right"/>
              <w:rPr>
                <w:rFonts w:ascii="Arial" w:hAnsi="Arial" w:cs="Arial"/>
                <w:color w:val="000000"/>
                <w:sz w:val="16"/>
                <w:szCs w:val="16"/>
                <w:lang w:val="es-ES" w:eastAsia="es-ES"/>
              </w:rPr>
            </w:pPr>
          </w:p>
        </w:tc>
        <w:tc>
          <w:tcPr>
            <w:tcW w:w="1153" w:type="dxa"/>
            <w:tcBorders>
              <w:top w:val="single" w:sz="4" w:space="0" w:color="auto"/>
              <w:left w:val="single" w:sz="2" w:space="0" w:color="auto"/>
              <w:bottom w:val="single" w:sz="4" w:space="0" w:color="auto"/>
              <w:right w:val="nil"/>
            </w:tcBorders>
            <w:shd w:val="clear" w:color="auto" w:fill="auto"/>
            <w:noWrap/>
            <w:vAlign w:val="center"/>
          </w:tcPr>
          <w:p w:rsidR="00C9781F" w:rsidRPr="0036360C" w:rsidRDefault="00C9781F" w:rsidP="00B53A0A">
            <w:pPr>
              <w:spacing w:after="0"/>
              <w:ind w:firstLine="0"/>
              <w:jc w:val="right"/>
              <w:rPr>
                <w:rFonts w:ascii="Arial" w:hAnsi="Arial" w:cs="Arial"/>
                <w:color w:val="000000"/>
                <w:sz w:val="16"/>
                <w:szCs w:val="16"/>
                <w:lang w:val="es-ES" w:eastAsia="es-ES"/>
              </w:rPr>
            </w:pPr>
          </w:p>
        </w:tc>
        <w:tc>
          <w:tcPr>
            <w:tcW w:w="1134" w:type="dxa"/>
            <w:tcBorders>
              <w:top w:val="single" w:sz="4" w:space="0" w:color="auto"/>
              <w:left w:val="single" w:sz="2" w:space="0" w:color="auto"/>
              <w:bottom w:val="single" w:sz="4" w:space="0" w:color="auto"/>
              <w:right w:val="nil"/>
            </w:tcBorders>
            <w:shd w:val="clear" w:color="auto" w:fill="auto"/>
            <w:noWrap/>
            <w:vAlign w:val="center"/>
          </w:tcPr>
          <w:p w:rsidR="00C9781F" w:rsidRPr="0036360C" w:rsidRDefault="00C9781F" w:rsidP="00B53A0A">
            <w:pPr>
              <w:spacing w:after="0"/>
              <w:ind w:firstLine="0"/>
              <w:jc w:val="right"/>
              <w:rPr>
                <w:rFonts w:ascii="Arial" w:hAnsi="Arial" w:cs="Arial"/>
                <w:color w:val="000000"/>
                <w:sz w:val="16"/>
                <w:szCs w:val="16"/>
                <w:lang w:val="es-ES" w:eastAsia="es-ES"/>
              </w:rPr>
            </w:pPr>
          </w:p>
        </w:tc>
        <w:tc>
          <w:tcPr>
            <w:tcW w:w="1055" w:type="dxa"/>
            <w:tcBorders>
              <w:top w:val="single" w:sz="4" w:space="0" w:color="auto"/>
              <w:left w:val="single" w:sz="2" w:space="0" w:color="auto"/>
              <w:bottom w:val="single" w:sz="4" w:space="0" w:color="auto"/>
              <w:right w:val="nil"/>
            </w:tcBorders>
            <w:shd w:val="clear" w:color="auto" w:fill="auto"/>
            <w:noWrap/>
            <w:vAlign w:val="center"/>
          </w:tcPr>
          <w:p w:rsidR="00C9781F" w:rsidRPr="0036360C" w:rsidRDefault="00C9781F" w:rsidP="00B53A0A">
            <w:pPr>
              <w:spacing w:after="0"/>
              <w:ind w:firstLine="0"/>
              <w:jc w:val="right"/>
              <w:rPr>
                <w:rFonts w:ascii="Arial" w:hAnsi="Arial" w:cs="Arial"/>
                <w:color w:val="000000"/>
                <w:sz w:val="16"/>
                <w:szCs w:val="16"/>
                <w:lang w:val="es-ES" w:eastAsia="es-ES"/>
              </w:rPr>
            </w:pPr>
          </w:p>
        </w:tc>
      </w:tr>
      <w:tr w:rsidR="00C9781F" w:rsidRPr="00EC3E0E" w:rsidTr="00B53A0A">
        <w:trPr>
          <w:trHeight w:val="198"/>
          <w:jc w:val="center"/>
        </w:trPr>
        <w:tc>
          <w:tcPr>
            <w:tcW w:w="3143" w:type="dxa"/>
            <w:tcBorders>
              <w:top w:val="single" w:sz="4" w:space="0" w:color="auto"/>
              <w:left w:val="nil"/>
              <w:bottom w:val="single" w:sz="4" w:space="0" w:color="auto"/>
              <w:right w:val="nil"/>
            </w:tcBorders>
            <w:shd w:val="clear" w:color="auto" w:fill="B8CCE4" w:themeFill="accent1" w:themeFillTint="66"/>
            <w:vAlign w:val="center"/>
            <w:hideMark/>
          </w:tcPr>
          <w:p w:rsidR="00C9781F" w:rsidRPr="00EC3E0E" w:rsidRDefault="00C9781F" w:rsidP="00B53A0A">
            <w:pPr>
              <w:spacing w:after="0"/>
              <w:ind w:firstLine="0"/>
              <w:jc w:val="left"/>
              <w:rPr>
                <w:rFonts w:ascii="Arial" w:hAnsi="Arial" w:cs="Arial"/>
                <w:color w:val="000000"/>
                <w:sz w:val="16"/>
                <w:szCs w:val="16"/>
                <w:lang w:val="es-ES" w:eastAsia="es-ES"/>
              </w:rPr>
            </w:pPr>
          </w:p>
        </w:tc>
        <w:tc>
          <w:tcPr>
            <w:tcW w:w="946" w:type="dxa"/>
            <w:tcBorders>
              <w:top w:val="single" w:sz="4" w:space="0" w:color="auto"/>
              <w:left w:val="nil"/>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left="-62" w:right="-47" w:firstLine="0"/>
              <w:jc w:val="right"/>
              <w:rPr>
                <w:rFonts w:ascii="Arial" w:hAnsi="Arial" w:cs="Arial"/>
                <w:color w:val="000000"/>
                <w:sz w:val="16"/>
                <w:szCs w:val="16"/>
                <w:lang w:val="es-ES" w:eastAsia="es-ES"/>
              </w:rPr>
            </w:pPr>
            <w:r w:rsidRPr="00EC3E0E">
              <w:rPr>
                <w:rFonts w:ascii="Arial" w:hAnsi="Arial" w:cs="Arial"/>
                <w:color w:val="000000"/>
                <w:sz w:val="16"/>
                <w:szCs w:val="16"/>
                <w:lang w:val="es-ES" w:eastAsia="es-ES"/>
              </w:rPr>
              <w:t>Nº envases</w:t>
            </w:r>
          </w:p>
        </w:tc>
        <w:tc>
          <w:tcPr>
            <w:tcW w:w="1201" w:type="dxa"/>
            <w:tcBorders>
              <w:top w:val="single" w:sz="4"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lang w:val="es-ES" w:eastAsia="es-ES"/>
              </w:rPr>
            </w:pPr>
            <w:r w:rsidRPr="00EC3E0E">
              <w:rPr>
                <w:rFonts w:ascii="Arial" w:hAnsi="Arial" w:cs="Arial"/>
                <w:color w:val="000000"/>
                <w:sz w:val="16"/>
                <w:szCs w:val="16"/>
                <w:lang w:val="es-ES" w:eastAsia="es-ES"/>
              </w:rPr>
              <w:t>Nº envases</w:t>
            </w:r>
          </w:p>
        </w:tc>
        <w:tc>
          <w:tcPr>
            <w:tcW w:w="1153" w:type="dxa"/>
            <w:tcBorders>
              <w:top w:val="single" w:sz="4"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lang w:val="es-ES" w:eastAsia="es-ES"/>
              </w:rPr>
            </w:pPr>
            <w:r w:rsidRPr="00EC3E0E">
              <w:rPr>
                <w:rFonts w:ascii="Arial" w:hAnsi="Arial" w:cs="Arial"/>
                <w:color w:val="000000"/>
                <w:sz w:val="16"/>
                <w:szCs w:val="16"/>
                <w:lang w:val="es-ES" w:eastAsia="es-ES"/>
              </w:rPr>
              <w:t>Nº envases</w:t>
            </w:r>
          </w:p>
        </w:tc>
        <w:tc>
          <w:tcPr>
            <w:tcW w:w="1134" w:type="dxa"/>
            <w:tcBorders>
              <w:top w:val="single" w:sz="4"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lang w:val="es-ES" w:eastAsia="es-ES"/>
              </w:rPr>
            </w:pPr>
            <w:r w:rsidRPr="00EC3E0E">
              <w:rPr>
                <w:rFonts w:ascii="Arial" w:hAnsi="Arial" w:cs="Arial"/>
                <w:color w:val="000000"/>
                <w:sz w:val="16"/>
                <w:szCs w:val="16"/>
                <w:lang w:val="es-ES" w:eastAsia="es-ES"/>
              </w:rPr>
              <w:t>Nº envases</w:t>
            </w:r>
          </w:p>
        </w:tc>
        <w:tc>
          <w:tcPr>
            <w:tcW w:w="1055" w:type="dxa"/>
            <w:tcBorders>
              <w:top w:val="single" w:sz="4"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lang w:val="es-ES" w:eastAsia="es-ES"/>
              </w:rPr>
            </w:pPr>
            <w:r w:rsidRPr="00EC3E0E">
              <w:rPr>
                <w:rFonts w:ascii="Arial" w:hAnsi="Arial" w:cs="Arial"/>
                <w:color w:val="000000"/>
                <w:sz w:val="16"/>
                <w:szCs w:val="16"/>
                <w:lang w:val="es-ES" w:eastAsia="es-ES"/>
              </w:rPr>
              <w:t>Nº envases</w:t>
            </w:r>
          </w:p>
        </w:tc>
      </w:tr>
      <w:tr w:rsidR="00C9781F" w:rsidRPr="00EC3E0E" w:rsidTr="00B53A0A">
        <w:trPr>
          <w:trHeight w:val="198"/>
          <w:jc w:val="center"/>
        </w:trPr>
        <w:tc>
          <w:tcPr>
            <w:tcW w:w="3143" w:type="dxa"/>
            <w:tcBorders>
              <w:top w:val="single" w:sz="4" w:space="0" w:color="auto"/>
              <w:left w:val="nil"/>
              <w:bottom w:val="single" w:sz="2" w:space="0" w:color="auto"/>
              <w:right w:val="nil"/>
            </w:tcBorders>
            <w:shd w:val="clear" w:color="auto" w:fill="auto"/>
            <w:noWrap/>
            <w:vAlign w:val="center"/>
            <w:hideMark/>
          </w:tcPr>
          <w:p w:rsidR="00C9781F" w:rsidRPr="00EC3E0E" w:rsidRDefault="00C9781F" w:rsidP="00B53A0A">
            <w:pPr>
              <w:spacing w:after="0"/>
              <w:ind w:firstLine="0"/>
              <w:jc w:val="left"/>
              <w:rPr>
                <w:rFonts w:ascii="Arial Narrow" w:hAnsi="Arial Narrow"/>
                <w:color w:val="000000"/>
                <w:sz w:val="18"/>
                <w:szCs w:val="18"/>
                <w:lang w:val="es-ES" w:eastAsia="es-ES"/>
              </w:rPr>
            </w:pPr>
            <w:r w:rsidRPr="00EC3E0E">
              <w:rPr>
                <w:rFonts w:ascii="Arial Narrow" w:hAnsi="Arial Narrow"/>
                <w:color w:val="000000"/>
                <w:sz w:val="18"/>
                <w:szCs w:val="18"/>
                <w:lang w:val="es-ES" w:eastAsia="es-ES"/>
              </w:rPr>
              <w:t>Receta electrónica</w:t>
            </w:r>
          </w:p>
        </w:tc>
        <w:tc>
          <w:tcPr>
            <w:tcW w:w="946" w:type="dxa"/>
            <w:tcBorders>
              <w:top w:val="single" w:sz="4" w:space="0" w:color="auto"/>
              <w:left w:val="nil"/>
              <w:bottom w:val="single" w:sz="2" w:space="0" w:color="auto"/>
              <w:right w:val="nil"/>
            </w:tcBorders>
            <w:shd w:val="clear" w:color="auto" w:fill="auto"/>
            <w:noWrap/>
            <w:vAlign w:val="center"/>
            <w:hideMark/>
          </w:tcPr>
          <w:p w:rsidR="00C9781F" w:rsidRPr="00EC3E0E" w:rsidRDefault="00C9781F" w:rsidP="00B53A0A">
            <w:pPr>
              <w:spacing w:after="0"/>
              <w:ind w:left="-62" w:right="-47" w:firstLine="0"/>
              <w:jc w:val="right"/>
              <w:rPr>
                <w:rFonts w:ascii="Arial Narrow" w:hAnsi="Arial Narrow"/>
                <w:color w:val="000000"/>
                <w:sz w:val="18"/>
                <w:szCs w:val="18"/>
                <w:lang w:val="es-ES" w:eastAsia="es-ES"/>
              </w:rPr>
            </w:pPr>
            <w:r w:rsidRPr="00EC3E0E">
              <w:rPr>
                <w:rFonts w:ascii="Arial Narrow" w:hAnsi="Arial Narrow"/>
                <w:color w:val="000000"/>
                <w:sz w:val="18"/>
                <w:szCs w:val="18"/>
                <w:lang w:val="es-ES" w:eastAsia="es-ES"/>
              </w:rPr>
              <w:t>7.036.222</w:t>
            </w:r>
          </w:p>
        </w:tc>
        <w:tc>
          <w:tcPr>
            <w:tcW w:w="1201" w:type="dxa"/>
            <w:tcBorders>
              <w:top w:val="single" w:sz="4" w:space="0" w:color="auto"/>
              <w:left w:val="single" w:sz="2" w:space="0" w:color="auto"/>
              <w:bottom w:val="single" w:sz="2"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lang w:val="es-ES" w:eastAsia="es-ES"/>
              </w:rPr>
            </w:pPr>
            <w:r w:rsidRPr="00EC3E0E">
              <w:rPr>
                <w:rFonts w:ascii="Arial Narrow" w:hAnsi="Arial Narrow"/>
                <w:color w:val="000000"/>
                <w:sz w:val="18"/>
                <w:szCs w:val="18"/>
                <w:lang w:val="es-ES" w:eastAsia="es-ES"/>
              </w:rPr>
              <w:t>10.071.122</w:t>
            </w:r>
          </w:p>
        </w:tc>
        <w:tc>
          <w:tcPr>
            <w:tcW w:w="1153" w:type="dxa"/>
            <w:tcBorders>
              <w:top w:val="single" w:sz="4" w:space="0" w:color="auto"/>
              <w:left w:val="single" w:sz="2" w:space="0" w:color="auto"/>
              <w:bottom w:val="single" w:sz="2"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lang w:val="es-ES" w:eastAsia="es-ES"/>
              </w:rPr>
            </w:pPr>
            <w:r w:rsidRPr="00EC3E0E">
              <w:rPr>
                <w:rFonts w:ascii="Arial Narrow" w:hAnsi="Arial Narrow"/>
                <w:color w:val="000000"/>
                <w:sz w:val="18"/>
                <w:szCs w:val="18"/>
                <w:lang w:val="es-ES" w:eastAsia="es-ES"/>
              </w:rPr>
              <w:t>10.543.907</w:t>
            </w:r>
          </w:p>
        </w:tc>
        <w:tc>
          <w:tcPr>
            <w:tcW w:w="1134" w:type="dxa"/>
            <w:tcBorders>
              <w:top w:val="single" w:sz="4" w:space="0" w:color="auto"/>
              <w:left w:val="single" w:sz="2" w:space="0" w:color="auto"/>
              <w:bottom w:val="single" w:sz="2"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lang w:val="es-ES" w:eastAsia="es-ES"/>
              </w:rPr>
            </w:pPr>
            <w:r w:rsidRPr="00EC3E0E">
              <w:rPr>
                <w:rFonts w:ascii="Arial Narrow" w:hAnsi="Arial Narrow"/>
                <w:color w:val="000000"/>
                <w:sz w:val="18"/>
                <w:szCs w:val="18"/>
                <w:lang w:val="es-ES" w:eastAsia="es-ES"/>
              </w:rPr>
              <w:t>11.146.820</w:t>
            </w:r>
          </w:p>
        </w:tc>
        <w:tc>
          <w:tcPr>
            <w:tcW w:w="1055" w:type="dxa"/>
            <w:tcBorders>
              <w:top w:val="single" w:sz="4" w:space="0" w:color="auto"/>
              <w:left w:val="single" w:sz="2" w:space="0" w:color="auto"/>
              <w:bottom w:val="single" w:sz="2"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lang w:val="es-ES" w:eastAsia="es-ES"/>
              </w:rPr>
            </w:pPr>
            <w:r w:rsidRPr="00EC3E0E">
              <w:rPr>
                <w:rFonts w:ascii="Arial Narrow" w:hAnsi="Arial Narrow"/>
                <w:color w:val="000000"/>
                <w:sz w:val="18"/>
                <w:szCs w:val="18"/>
                <w:lang w:val="es-ES" w:eastAsia="es-ES"/>
              </w:rPr>
              <w:t>11.417.816</w:t>
            </w:r>
          </w:p>
        </w:tc>
      </w:tr>
      <w:tr w:rsidR="00C9781F" w:rsidRPr="00EC3E0E" w:rsidTr="00B53A0A">
        <w:trPr>
          <w:trHeight w:val="198"/>
          <w:jc w:val="center"/>
        </w:trPr>
        <w:tc>
          <w:tcPr>
            <w:tcW w:w="3143" w:type="dxa"/>
            <w:tcBorders>
              <w:top w:val="single" w:sz="2" w:space="0" w:color="auto"/>
              <w:left w:val="nil"/>
              <w:bottom w:val="single" w:sz="4" w:space="0" w:color="auto"/>
              <w:right w:val="nil"/>
            </w:tcBorders>
            <w:shd w:val="clear" w:color="auto" w:fill="auto"/>
            <w:noWrap/>
            <w:vAlign w:val="center"/>
            <w:hideMark/>
          </w:tcPr>
          <w:p w:rsidR="00C9781F" w:rsidRPr="00EC3E0E" w:rsidRDefault="00C9781F" w:rsidP="00B53A0A">
            <w:pPr>
              <w:spacing w:after="0"/>
              <w:ind w:firstLine="0"/>
              <w:jc w:val="left"/>
              <w:rPr>
                <w:rFonts w:ascii="Arial Narrow" w:hAnsi="Arial Narrow"/>
                <w:color w:val="000000"/>
                <w:sz w:val="18"/>
                <w:szCs w:val="18"/>
                <w:lang w:val="es-ES" w:eastAsia="es-ES"/>
              </w:rPr>
            </w:pPr>
            <w:r w:rsidRPr="00EC3E0E">
              <w:rPr>
                <w:rFonts w:ascii="Arial Narrow" w:hAnsi="Arial Narrow"/>
                <w:color w:val="000000"/>
                <w:sz w:val="18"/>
                <w:szCs w:val="18"/>
                <w:lang w:val="es-ES" w:eastAsia="es-ES"/>
              </w:rPr>
              <w:t>Receta en papel</w:t>
            </w:r>
          </w:p>
        </w:tc>
        <w:tc>
          <w:tcPr>
            <w:tcW w:w="946" w:type="dxa"/>
            <w:tcBorders>
              <w:top w:val="single" w:sz="2" w:space="0" w:color="auto"/>
              <w:left w:val="nil"/>
              <w:bottom w:val="single" w:sz="4" w:space="0" w:color="auto"/>
              <w:right w:val="nil"/>
            </w:tcBorders>
            <w:shd w:val="clear" w:color="auto" w:fill="auto"/>
            <w:noWrap/>
            <w:vAlign w:val="center"/>
            <w:hideMark/>
          </w:tcPr>
          <w:p w:rsidR="00C9781F" w:rsidRPr="00EC3E0E" w:rsidRDefault="00C9781F" w:rsidP="00B53A0A">
            <w:pPr>
              <w:spacing w:after="0"/>
              <w:ind w:left="-62" w:right="-47" w:firstLine="0"/>
              <w:jc w:val="right"/>
              <w:rPr>
                <w:rFonts w:ascii="Arial Narrow" w:hAnsi="Arial Narrow"/>
                <w:color w:val="000000"/>
                <w:sz w:val="18"/>
                <w:szCs w:val="18"/>
                <w:lang w:val="es-ES" w:eastAsia="es-ES"/>
              </w:rPr>
            </w:pPr>
            <w:r w:rsidRPr="00EC3E0E">
              <w:rPr>
                <w:rFonts w:ascii="Arial Narrow" w:hAnsi="Arial Narrow"/>
                <w:color w:val="000000"/>
                <w:sz w:val="18"/>
                <w:szCs w:val="18"/>
                <w:lang w:val="es-ES" w:eastAsia="es-ES"/>
              </w:rPr>
              <w:t>3.895.053</w:t>
            </w:r>
          </w:p>
        </w:tc>
        <w:tc>
          <w:tcPr>
            <w:tcW w:w="1201" w:type="dxa"/>
            <w:tcBorders>
              <w:top w:val="single" w:sz="2" w:space="0" w:color="auto"/>
              <w:left w:val="single" w:sz="2" w:space="0" w:color="auto"/>
              <w:bottom w:val="single" w:sz="4"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lang w:val="es-ES" w:eastAsia="es-ES"/>
              </w:rPr>
            </w:pPr>
            <w:r w:rsidRPr="00EC3E0E">
              <w:rPr>
                <w:rFonts w:ascii="Arial Narrow" w:hAnsi="Arial Narrow"/>
                <w:color w:val="000000"/>
                <w:sz w:val="18"/>
                <w:szCs w:val="18"/>
                <w:lang w:val="es-ES" w:eastAsia="es-ES"/>
              </w:rPr>
              <w:t>1.239.887</w:t>
            </w:r>
          </w:p>
        </w:tc>
        <w:tc>
          <w:tcPr>
            <w:tcW w:w="1153" w:type="dxa"/>
            <w:tcBorders>
              <w:top w:val="single" w:sz="2" w:space="0" w:color="auto"/>
              <w:left w:val="single" w:sz="2" w:space="0" w:color="auto"/>
              <w:bottom w:val="single" w:sz="4"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lang w:val="es-ES" w:eastAsia="es-ES"/>
              </w:rPr>
            </w:pPr>
            <w:r w:rsidRPr="00EC3E0E">
              <w:rPr>
                <w:rFonts w:ascii="Arial Narrow" w:hAnsi="Arial Narrow"/>
                <w:color w:val="000000"/>
                <w:sz w:val="18"/>
                <w:szCs w:val="18"/>
                <w:lang w:val="es-ES" w:eastAsia="es-ES"/>
              </w:rPr>
              <w:t>1.033.476</w:t>
            </w:r>
          </w:p>
        </w:tc>
        <w:tc>
          <w:tcPr>
            <w:tcW w:w="1134" w:type="dxa"/>
            <w:tcBorders>
              <w:top w:val="single" w:sz="2" w:space="0" w:color="auto"/>
              <w:left w:val="single" w:sz="2" w:space="0" w:color="auto"/>
              <w:bottom w:val="single" w:sz="4"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lang w:val="es-ES" w:eastAsia="es-ES"/>
              </w:rPr>
            </w:pPr>
            <w:r w:rsidRPr="00EC3E0E">
              <w:rPr>
                <w:rFonts w:ascii="Arial Narrow" w:hAnsi="Arial Narrow"/>
                <w:color w:val="000000"/>
                <w:sz w:val="18"/>
                <w:szCs w:val="18"/>
                <w:lang w:val="es-ES" w:eastAsia="es-ES"/>
              </w:rPr>
              <w:t>765.309</w:t>
            </w:r>
          </w:p>
        </w:tc>
        <w:tc>
          <w:tcPr>
            <w:tcW w:w="1055" w:type="dxa"/>
            <w:tcBorders>
              <w:top w:val="single" w:sz="2" w:space="0" w:color="auto"/>
              <w:left w:val="single" w:sz="2" w:space="0" w:color="auto"/>
              <w:bottom w:val="single" w:sz="4"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lang w:val="es-ES" w:eastAsia="es-ES"/>
              </w:rPr>
            </w:pPr>
            <w:r w:rsidRPr="00EC3E0E">
              <w:rPr>
                <w:rFonts w:ascii="Arial Narrow" w:hAnsi="Arial Narrow"/>
                <w:color w:val="000000"/>
                <w:sz w:val="18"/>
                <w:szCs w:val="18"/>
                <w:lang w:val="es-ES" w:eastAsia="es-ES"/>
              </w:rPr>
              <w:t>313.364</w:t>
            </w:r>
          </w:p>
        </w:tc>
      </w:tr>
      <w:tr w:rsidR="00C9781F" w:rsidRPr="00EC3E0E" w:rsidTr="00B53A0A">
        <w:trPr>
          <w:trHeight w:val="255"/>
          <w:jc w:val="center"/>
        </w:trPr>
        <w:tc>
          <w:tcPr>
            <w:tcW w:w="3143" w:type="dxa"/>
            <w:tcBorders>
              <w:top w:val="single" w:sz="4" w:space="0" w:color="auto"/>
              <w:left w:val="nil"/>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left"/>
              <w:rPr>
                <w:rFonts w:ascii="Arial" w:hAnsi="Arial" w:cs="Arial"/>
                <w:color w:val="000000"/>
                <w:sz w:val="16"/>
                <w:szCs w:val="16"/>
                <w:lang w:val="es-ES" w:eastAsia="es-ES"/>
              </w:rPr>
            </w:pPr>
            <w:r w:rsidRPr="00EC3E0E">
              <w:rPr>
                <w:rFonts w:ascii="Arial" w:hAnsi="Arial" w:cs="Arial"/>
                <w:color w:val="000000"/>
                <w:sz w:val="16"/>
                <w:szCs w:val="16"/>
                <w:lang w:val="es-ES" w:eastAsia="es-ES"/>
              </w:rPr>
              <w:t>Total envases</w:t>
            </w:r>
          </w:p>
        </w:tc>
        <w:tc>
          <w:tcPr>
            <w:tcW w:w="946" w:type="dxa"/>
            <w:tcBorders>
              <w:top w:val="single" w:sz="4" w:space="0" w:color="auto"/>
              <w:left w:val="nil"/>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left="-62" w:right="-47" w:firstLine="0"/>
              <w:jc w:val="right"/>
              <w:rPr>
                <w:rFonts w:ascii="Arial" w:hAnsi="Arial" w:cs="Arial"/>
                <w:color w:val="000000"/>
                <w:sz w:val="16"/>
                <w:szCs w:val="16"/>
                <w:lang w:val="es-ES" w:eastAsia="es-ES"/>
              </w:rPr>
            </w:pPr>
            <w:r w:rsidRPr="00EC3E0E">
              <w:rPr>
                <w:rFonts w:ascii="Arial" w:hAnsi="Arial" w:cs="Arial"/>
                <w:color w:val="000000"/>
                <w:sz w:val="16"/>
                <w:szCs w:val="16"/>
                <w:lang w:val="es-ES" w:eastAsia="es-ES"/>
              </w:rPr>
              <w:t>10.931.275</w:t>
            </w:r>
          </w:p>
        </w:tc>
        <w:tc>
          <w:tcPr>
            <w:tcW w:w="1201" w:type="dxa"/>
            <w:tcBorders>
              <w:top w:val="single" w:sz="4"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lang w:val="es-ES" w:eastAsia="es-ES"/>
              </w:rPr>
            </w:pPr>
            <w:r w:rsidRPr="00EC3E0E">
              <w:rPr>
                <w:rFonts w:ascii="Arial" w:hAnsi="Arial" w:cs="Arial"/>
                <w:color w:val="000000"/>
                <w:sz w:val="16"/>
                <w:szCs w:val="16"/>
                <w:lang w:val="es-ES" w:eastAsia="es-ES"/>
              </w:rPr>
              <w:t>11.311.009</w:t>
            </w:r>
          </w:p>
        </w:tc>
        <w:tc>
          <w:tcPr>
            <w:tcW w:w="1153" w:type="dxa"/>
            <w:tcBorders>
              <w:top w:val="single" w:sz="4"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lang w:val="es-ES" w:eastAsia="es-ES"/>
              </w:rPr>
            </w:pPr>
            <w:r w:rsidRPr="00EC3E0E">
              <w:rPr>
                <w:rFonts w:ascii="Arial" w:hAnsi="Arial" w:cs="Arial"/>
                <w:color w:val="000000"/>
                <w:sz w:val="16"/>
                <w:szCs w:val="16"/>
                <w:lang w:val="es-ES" w:eastAsia="es-ES"/>
              </w:rPr>
              <w:t>11.577.383</w:t>
            </w:r>
          </w:p>
        </w:tc>
        <w:tc>
          <w:tcPr>
            <w:tcW w:w="1134" w:type="dxa"/>
            <w:tcBorders>
              <w:top w:val="single" w:sz="4"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lang w:val="es-ES" w:eastAsia="es-ES"/>
              </w:rPr>
            </w:pPr>
            <w:r w:rsidRPr="00EC3E0E">
              <w:rPr>
                <w:rFonts w:ascii="Arial" w:hAnsi="Arial" w:cs="Arial"/>
                <w:color w:val="000000"/>
                <w:sz w:val="16"/>
                <w:szCs w:val="16"/>
                <w:lang w:val="es-ES" w:eastAsia="es-ES"/>
              </w:rPr>
              <w:t>11.912.129</w:t>
            </w:r>
          </w:p>
        </w:tc>
        <w:tc>
          <w:tcPr>
            <w:tcW w:w="1055" w:type="dxa"/>
            <w:tcBorders>
              <w:top w:val="single" w:sz="4"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lang w:val="es-ES" w:eastAsia="es-ES"/>
              </w:rPr>
            </w:pPr>
            <w:r w:rsidRPr="00EC3E0E">
              <w:rPr>
                <w:rFonts w:ascii="Arial" w:hAnsi="Arial" w:cs="Arial"/>
                <w:color w:val="000000"/>
                <w:sz w:val="16"/>
                <w:szCs w:val="16"/>
                <w:lang w:val="es-ES" w:eastAsia="es-ES"/>
              </w:rPr>
              <w:t>11.731.180</w:t>
            </w:r>
          </w:p>
        </w:tc>
      </w:tr>
      <w:tr w:rsidR="00C9781F" w:rsidRPr="0036360C" w:rsidTr="00B53A0A">
        <w:trPr>
          <w:trHeight w:val="255"/>
          <w:jc w:val="center"/>
        </w:trPr>
        <w:tc>
          <w:tcPr>
            <w:tcW w:w="3143" w:type="dxa"/>
            <w:tcBorders>
              <w:top w:val="single" w:sz="4" w:space="0" w:color="auto"/>
              <w:left w:val="nil"/>
              <w:bottom w:val="single" w:sz="4" w:space="0" w:color="auto"/>
              <w:right w:val="nil"/>
            </w:tcBorders>
            <w:shd w:val="clear" w:color="auto" w:fill="auto"/>
            <w:noWrap/>
            <w:vAlign w:val="center"/>
          </w:tcPr>
          <w:p w:rsidR="00C9781F" w:rsidRPr="00ED46C4" w:rsidRDefault="00C9781F" w:rsidP="00B53A0A">
            <w:pPr>
              <w:spacing w:after="0"/>
              <w:ind w:firstLine="0"/>
              <w:jc w:val="left"/>
              <w:rPr>
                <w:rFonts w:ascii="Arial" w:hAnsi="Arial" w:cs="Arial"/>
                <w:color w:val="000000"/>
                <w:sz w:val="18"/>
                <w:szCs w:val="18"/>
                <w:lang w:val="es-ES" w:eastAsia="es-ES"/>
              </w:rPr>
            </w:pPr>
          </w:p>
        </w:tc>
        <w:tc>
          <w:tcPr>
            <w:tcW w:w="946" w:type="dxa"/>
            <w:tcBorders>
              <w:top w:val="single" w:sz="4" w:space="0" w:color="auto"/>
              <w:left w:val="nil"/>
              <w:bottom w:val="single" w:sz="4" w:space="0" w:color="auto"/>
              <w:right w:val="nil"/>
            </w:tcBorders>
            <w:shd w:val="clear" w:color="auto" w:fill="auto"/>
            <w:noWrap/>
            <w:vAlign w:val="center"/>
          </w:tcPr>
          <w:p w:rsidR="00C9781F" w:rsidRPr="00ED46C4" w:rsidRDefault="00C9781F" w:rsidP="00B53A0A">
            <w:pPr>
              <w:spacing w:after="0"/>
              <w:ind w:left="-62" w:right="-47" w:firstLine="0"/>
              <w:jc w:val="right"/>
              <w:rPr>
                <w:rFonts w:ascii="Arial" w:hAnsi="Arial" w:cs="Arial"/>
                <w:color w:val="000000"/>
                <w:sz w:val="18"/>
                <w:szCs w:val="18"/>
                <w:lang w:val="es-ES" w:eastAsia="es-ES"/>
              </w:rPr>
            </w:pPr>
          </w:p>
        </w:tc>
        <w:tc>
          <w:tcPr>
            <w:tcW w:w="1201" w:type="dxa"/>
            <w:tcBorders>
              <w:top w:val="single" w:sz="4" w:space="0" w:color="auto"/>
              <w:left w:val="single" w:sz="2" w:space="0" w:color="auto"/>
              <w:bottom w:val="single" w:sz="4" w:space="0" w:color="auto"/>
              <w:right w:val="nil"/>
            </w:tcBorders>
            <w:shd w:val="clear" w:color="auto" w:fill="auto"/>
            <w:noWrap/>
            <w:vAlign w:val="center"/>
          </w:tcPr>
          <w:p w:rsidR="00C9781F" w:rsidRPr="00ED46C4" w:rsidRDefault="00C9781F" w:rsidP="00B53A0A">
            <w:pPr>
              <w:spacing w:after="0"/>
              <w:ind w:firstLine="0"/>
              <w:jc w:val="right"/>
              <w:rPr>
                <w:rFonts w:ascii="Arial" w:hAnsi="Arial" w:cs="Arial"/>
                <w:color w:val="000000"/>
                <w:sz w:val="18"/>
                <w:szCs w:val="18"/>
                <w:lang w:val="es-ES" w:eastAsia="es-ES"/>
              </w:rPr>
            </w:pPr>
          </w:p>
        </w:tc>
        <w:tc>
          <w:tcPr>
            <w:tcW w:w="1153" w:type="dxa"/>
            <w:tcBorders>
              <w:top w:val="single" w:sz="4" w:space="0" w:color="auto"/>
              <w:left w:val="single" w:sz="2" w:space="0" w:color="auto"/>
              <w:bottom w:val="single" w:sz="4" w:space="0" w:color="auto"/>
              <w:right w:val="nil"/>
            </w:tcBorders>
            <w:shd w:val="clear" w:color="auto" w:fill="auto"/>
            <w:noWrap/>
            <w:vAlign w:val="center"/>
          </w:tcPr>
          <w:p w:rsidR="00C9781F" w:rsidRPr="00ED46C4" w:rsidRDefault="00C9781F" w:rsidP="00B53A0A">
            <w:pPr>
              <w:spacing w:after="0"/>
              <w:ind w:firstLine="0"/>
              <w:jc w:val="right"/>
              <w:rPr>
                <w:rFonts w:ascii="Arial" w:hAnsi="Arial" w:cs="Arial"/>
                <w:color w:val="000000"/>
                <w:sz w:val="18"/>
                <w:szCs w:val="18"/>
                <w:lang w:val="es-ES" w:eastAsia="es-ES"/>
              </w:rPr>
            </w:pPr>
          </w:p>
        </w:tc>
        <w:tc>
          <w:tcPr>
            <w:tcW w:w="1134" w:type="dxa"/>
            <w:tcBorders>
              <w:top w:val="single" w:sz="4" w:space="0" w:color="auto"/>
              <w:left w:val="single" w:sz="2" w:space="0" w:color="auto"/>
              <w:bottom w:val="single" w:sz="4" w:space="0" w:color="auto"/>
              <w:right w:val="nil"/>
            </w:tcBorders>
            <w:shd w:val="clear" w:color="auto" w:fill="auto"/>
            <w:noWrap/>
            <w:vAlign w:val="center"/>
          </w:tcPr>
          <w:p w:rsidR="00C9781F" w:rsidRPr="00ED46C4" w:rsidRDefault="00C9781F" w:rsidP="00B53A0A">
            <w:pPr>
              <w:spacing w:after="0"/>
              <w:ind w:firstLine="0"/>
              <w:jc w:val="right"/>
              <w:rPr>
                <w:rFonts w:ascii="Arial" w:hAnsi="Arial" w:cs="Arial"/>
                <w:color w:val="000000"/>
                <w:sz w:val="18"/>
                <w:szCs w:val="18"/>
                <w:lang w:val="es-ES" w:eastAsia="es-ES"/>
              </w:rPr>
            </w:pPr>
          </w:p>
        </w:tc>
        <w:tc>
          <w:tcPr>
            <w:tcW w:w="1055" w:type="dxa"/>
            <w:tcBorders>
              <w:top w:val="single" w:sz="4" w:space="0" w:color="auto"/>
              <w:left w:val="single" w:sz="2" w:space="0" w:color="auto"/>
              <w:bottom w:val="single" w:sz="4" w:space="0" w:color="auto"/>
              <w:right w:val="nil"/>
            </w:tcBorders>
            <w:shd w:val="clear" w:color="auto" w:fill="auto"/>
            <w:noWrap/>
            <w:vAlign w:val="center"/>
          </w:tcPr>
          <w:p w:rsidR="00C9781F" w:rsidRPr="00ED46C4" w:rsidRDefault="00C9781F" w:rsidP="00B53A0A">
            <w:pPr>
              <w:spacing w:after="0"/>
              <w:ind w:firstLine="0"/>
              <w:jc w:val="right"/>
              <w:rPr>
                <w:rFonts w:ascii="Arial" w:hAnsi="Arial" w:cs="Arial"/>
                <w:color w:val="000000"/>
                <w:sz w:val="18"/>
                <w:szCs w:val="18"/>
                <w:lang w:val="es-ES" w:eastAsia="es-ES"/>
              </w:rPr>
            </w:pPr>
          </w:p>
        </w:tc>
      </w:tr>
      <w:tr w:rsidR="00C9781F" w:rsidRPr="00EC3E0E" w:rsidTr="00B53A0A">
        <w:trPr>
          <w:trHeight w:val="198"/>
          <w:jc w:val="center"/>
        </w:trPr>
        <w:tc>
          <w:tcPr>
            <w:tcW w:w="3143" w:type="dxa"/>
            <w:tcBorders>
              <w:top w:val="single" w:sz="4" w:space="0" w:color="auto"/>
              <w:left w:val="nil"/>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left"/>
              <w:rPr>
                <w:rFonts w:ascii="Arial" w:hAnsi="Arial" w:cs="Arial"/>
                <w:color w:val="000000"/>
                <w:sz w:val="16"/>
                <w:szCs w:val="16"/>
                <w:lang w:val="es-ES" w:eastAsia="es-ES"/>
              </w:rPr>
            </w:pPr>
          </w:p>
        </w:tc>
        <w:tc>
          <w:tcPr>
            <w:tcW w:w="946" w:type="dxa"/>
            <w:tcBorders>
              <w:top w:val="single" w:sz="4" w:space="0" w:color="auto"/>
              <w:left w:val="nil"/>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left="-62" w:right="-47" w:firstLine="0"/>
              <w:jc w:val="right"/>
              <w:rPr>
                <w:rFonts w:ascii="Arial" w:hAnsi="Arial" w:cs="Arial"/>
                <w:color w:val="000000"/>
                <w:sz w:val="16"/>
                <w:szCs w:val="16"/>
                <w:lang w:val="es-ES" w:eastAsia="es-ES"/>
              </w:rPr>
            </w:pPr>
            <w:r w:rsidRPr="00EC3E0E">
              <w:rPr>
                <w:rFonts w:ascii="Arial" w:hAnsi="Arial" w:cs="Arial"/>
                <w:color w:val="000000"/>
                <w:sz w:val="16"/>
                <w:szCs w:val="16"/>
                <w:lang w:val="es-ES" w:eastAsia="es-ES"/>
              </w:rPr>
              <w:t>Gasto</w:t>
            </w:r>
          </w:p>
        </w:tc>
        <w:tc>
          <w:tcPr>
            <w:tcW w:w="1201" w:type="dxa"/>
            <w:tcBorders>
              <w:top w:val="single" w:sz="4"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lang w:val="es-ES" w:eastAsia="es-ES"/>
              </w:rPr>
            </w:pPr>
            <w:r w:rsidRPr="00EC3E0E">
              <w:rPr>
                <w:rFonts w:ascii="Arial" w:hAnsi="Arial" w:cs="Arial"/>
                <w:color w:val="000000"/>
                <w:sz w:val="16"/>
                <w:szCs w:val="16"/>
                <w:lang w:val="es-ES" w:eastAsia="es-ES"/>
              </w:rPr>
              <w:t>Gasto</w:t>
            </w:r>
          </w:p>
        </w:tc>
        <w:tc>
          <w:tcPr>
            <w:tcW w:w="1153" w:type="dxa"/>
            <w:tcBorders>
              <w:top w:val="single" w:sz="4"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lang w:val="es-ES" w:eastAsia="es-ES"/>
              </w:rPr>
            </w:pPr>
            <w:r w:rsidRPr="00EC3E0E">
              <w:rPr>
                <w:rFonts w:ascii="Arial" w:hAnsi="Arial" w:cs="Arial"/>
                <w:color w:val="000000"/>
                <w:sz w:val="16"/>
                <w:szCs w:val="16"/>
                <w:lang w:val="es-ES" w:eastAsia="es-ES"/>
              </w:rPr>
              <w:t>Gasto</w:t>
            </w:r>
          </w:p>
        </w:tc>
        <w:tc>
          <w:tcPr>
            <w:tcW w:w="1134" w:type="dxa"/>
            <w:tcBorders>
              <w:top w:val="single" w:sz="4"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lang w:val="es-ES" w:eastAsia="es-ES"/>
              </w:rPr>
            </w:pPr>
            <w:r w:rsidRPr="00EC3E0E">
              <w:rPr>
                <w:rFonts w:ascii="Arial" w:hAnsi="Arial" w:cs="Arial"/>
                <w:color w:val="000000"/>
                <w:sz w:val="16"/>
                <w:szCs w:val="16"/>
                <w:lang w:val="es-ES" w:eastAsia="es-ES"/>
              </w:rPr>
              <w:t>Gasto</w:t>
            </w:r>
          </w:p>
        </w:tc>
        <w:tc>
          <w:tcPr>
            <w:tcW w:w="1055" w:type="dxa"/>
            <w:tcBorders>
              <w:top w:val="single" w:sz="4"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lang w:val="es-ES" w:eastAsia="es-ES"/>
              </w:rPr>
            </w:pPr>
            <w:r w:rsidRPr="00EC3E0E">
              <w:rPr>
                <w:rFonts w:ascii="Arial" w:hAnsi="Arial" w:cs="Arial"/>
                <w:color w:val="000000"/>
                <w:sz w:val="16"/>
                <w:szCs w:val="16"/>
                <w:lang w:val="es-ES" w:eastAsia="es-ES"/>
              </w:rPr>
              <w:t>Gasto</w:t>
            </w:r>
          </w:p>
        </w:tc>
      </w:tr>
      <w:tr w:rsidR="00C9781F" w:rsidRPr="00EC3E0E" w:rsidTr="00B53A0A">
        <w:trPr>
          <w:trHeight w:val="198"/>
          <w:jc w:val="center"/>
        </w:trPr>
        <w:tc>
          <w:tcPr>
            <w:tcW w:w="3143" w:type="dxa"/>
            <w:tcBorders>
              <w:top w:val="single" w:sz="4" w:space="0" w:color="auto"/>
              <w:left w:val="nil"/>
              <w:bottom w:val="single" w:sz="2" w:space="0" w:color="auto"/>
              <w:right w:val="nil"/>
            </w:tcBorders>
            <w:shd w:val="clear" w:color="auto" w:fill="auto"/>
            <w:noWrap/>
            <w:vAlign w:val="center"/>
            <w:hideMark/>
          </w:tcPr>
          <w:p w:rsidR="00C9781F" w:rsidRPr="00EC3E0E" w:rsidRDefault="00C9781F" w:rsidP="00B53A0A">
            <w:pPr>
              <w:spacing w:after="0"/>
              <w:ind w:firstLine="0"/>
              <w:jc w:val="left"/>
              <w:rPr>
                <w:rFonts w:ascii="Arial Narrow" w:hAnsi="Arial Narrow"/>
                <w:color w:val="000000"/>
                <w:sz w:val="18"/>
                <w:szCs w:val="18"/>
                <w:lang w:val="es-ES" w:eastAsia="es-ES"/>
              </w:rPr>
            </w:pPr>
            <w:r w:rsidRPr="00EC3E0E">
              <w:rPr>
                <w:rFonts w:ascii="Arial Narrow" w:hAnsi="Arial Narrow"/>
                <w:color w:val="000000"/>
                <w:sz w:val="18"/>
                <w:szCs w:val="18"/>
                <w:lang w:val="es-ES" w:eastAsia="es-ES"/>
              </w:rPr>
              <w:t>Receta electrónica</w:t>
            </w:r>
          </w:p>
        </w:tc>
        <w:tc>
          <w:tcPr>
            <w:tcW w:w="946" w:type="dxa"/>
            <w:tcBorders>
              <w:top w:val="single" w:sz="4" w:space="0" w:color="auto"/>
              <w:left w:val="nil"/>
              <w:bottom w:val="single" w:sz="2" w:space="0" w:color="auto"/>
              <w:right w:val="nil"/>
            </w:tcBorders>
            <w:shd w:val="clear" w:color="auto" w:fill="auto"/>
            <w:noWrap/>
            <w:vAlign w:val="center"/>
            <w:hideMark/>
          </w:tcPr>
          <w:p w:rsidR="00C9781F" w:rsidRPr="00EC3E0E" w:rsidRDefault="00C9781F" w:rsidP="00B53A0A">
            <w:pPr>
              <w:spacing w:after="0"/>
              <w:ind w:left="-62" w:right="-47" w:firstLine="0"/>
              <w:jc w:val="right"/>
              <w:rPr>
                <w:rFonts w:ascii="Arial Narrow" w:hAnsi="Arial Narrow"/>
                <w:color w:val="000000"/>
                <w:sz w:val="18"/>
                <w:szCs w:val="18"/>
                <w:lang w:val="es-ES" w:eastAsia="es-ES"/>
              </w:rPr>
            </w:pPr>
            <w:r w:rsidRPr="00EC3E0E">
              <w:rPr>
                <w:rFonts w:ascii="Arial Narrow" w:hAnsi="Arial Narrow"/>
                <w:color w:val="000000"/>
                <w:sz w:val="18"/>
                <w:szCs w:val="18"/>
                <w:lang w:val="es-ES" w:eastAsia="es-ES"/>
              </w:rPr>
              <w:t>80.504.956</w:t>
            </w:r>
          </w:p>
        </w:tc>
        <w:tc>
          <w:tcPr>
            <w:tcW w:w="1201" w:type="dxa"/>
            <w:tcBorders>
              <w:top w:val="single" w:sz="4" w:space="0" w:color="auto"/>
              <w:left w:val="single" w:sz="2" w:space="0" w:color="auto"/>
              <w:bottom w:val="single" w:sz="2"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lang w:val="es-ES" w:eastAsia="es-ES"/>
              </w:rPr>
            </w:pPr>
            <w:r w:rsidRPr="00EC3E0E">
              <w:rPr>
                <w:rFonts w:ascii="Arial Narrow" w:hAnsi="Arial Narrow"/>
                <w:color w:val="000000"/>
                <w:sz w:val="18"/>
                <w:szCs w:val="18"/>
                <w:lang w:val="es-ES" w:eastAsia="es-ES"/>
              </w:rPr>
              <w:t>116.612.799</w:t>
            </w:r>
          </w:p>
        </w:tc>
        <w:tc>
          <w:tcPr>
            <w:tcW w:w="1153" w:type="dxa"/>
            <w:tcBorders>
              <w:top w:val="single" w:sz="4" w:space="0" w:color="auto"/>
              <w:left w:val="single" w:sz="2" w:space="0" w:color="auto"/>
              <w:bottom w:val="single" w:sz="2"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lang w:val="es-ES" w:eastAsia="es-ES"/>
              </w:rPr>
            </w:pPr>
            <w:r w:rsidRPr="00EC3E0E">
              <w:rPr>
                <w:rFonts w:ascii="Arial Narrow" w:hAnsi="Arial Narrow"/>
                <w:color w:val="000000"/>
                <w:sz w:val="18"/>
                <w:szCs w:val="18"/>
                <w:lang w:val="es-ES" w:eastAsia="es-ES"/>
              </w:rPr>
              <w:t>124.354.728</w:t>
            </w:r>
          </w:p>
        </w:tc>
        <w:tc>
          <w:tcPr>
            <w:tcW w:w="1134" w:type="dxa"/>
            <w:tcBorders>
              <w:top w:val="single" w:sz="4" w:space="0" w:color="auto"/>
              <w:left w:val="single" w:sz="2" w:space="0" w:color="auto"/>
              <w:bottom w:val="single" w:sz="2"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lang w:val="es-ES" w:eastAsia="es-ES"/>
              </w:rPr>
            </w:pPr>
            <w:r w:rsidRPr="00EC3E0E">
              <w:rPr>
                <w:rFonts w:ascii="Arial Narrow" w:hAnsi="Arial Narrow"/>
                <w:color w:val="000000"/>
                <w:sz w:val="18"/>
                <w:szCs w:val="18"/>
                <w:lang w:val="es-ES" w:eastAsia="es-ES"/>
              </w:rPr>
              <w:t>133.570.401</w:t>
            </w:r>
          </w:p>
        </w:tc>
        <w:tc>
          <w:tcPr>
            <w:tcW w:w="1055" w:type="dxa"/>
            <w:tcBorders>
              <w:top w:val="single" w:sz="4" w:space="0" w:color="auto"/>
              <w:left w:val="single" w:sz="2" w:space="0" w:color="auto"/>
              <w:bottom w:val="single" w:sz="2"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lang w:val="es-ES" w:eastAsia="es-ES"/>
              </w:rPr>
            </w:pPr>
            <w:r w:rsidRPr="00EC3E0E">
              <w:rPr>
                <w:rFonts w:ascii="Arial Narrow" w:hAnsi="Arial Narrow"/>
                <w:color w:val="000000"/>
                <w:sz w:val="18"/>
                <w:szCs w:val="18"/>
                <w:lang w:val="es-ES" w:eastAsia="es-ES"/>
              </w:rPr>
              <w:t>139.478.694</w:t>
            </w:r>
          </w:p>
        </w:tc>
      </w:tr>
      <w:tr w:rsidR="00C9781F" w:rsidRPr="00EC3E0E" w:rsidTr="00B53A0A">
        <w:trPr>
          <w:trHeight w:val="198"/>
          <w:jc w:val="center"/>
        </w:trPr>
        <w:tc>
          <w:tcPr>
            <w:tcW w:w="3143" w:type="dxa"/>
            <w:tcBorders>
              <w:top w:val="single" w:sz="2" w:space="0" w:color="auto"/>
              <w:left w:val="nil"/>
              <w:bottom w:val="single" w:sz="4" w:space="0" w:color="auto"/>
              <w:right w:val="nil"/>
            </w:tcBorders>
            <w:shd w:val="clear" w:color="auto" w:fill="auto"/>
            <w:noWrap/>
            <w:vAlign w:val="center"/>
            <w:hideMark/>
          </w:tcPr>
          <w:p w:rsidR="00C9781F" w:rsidRPr="00EC3E0E" w:rsidRDefault="00C9781F" w:rsidP="00B53A0A">
            <w:pPr>
              <w:spacing w:after="0"/>
              <w:ind w:firstLine="0"/>
              <w:jc w:val="left"/>
              <w:rPr>
                <w:rFonts w:ascii="Arial Narrow" w:hAnsi="Arial Narrow"/>
                <w:color w:val="000000"/>
                <w:sz w:val="18"/>
                <w:szCs w:val="18"/>
                <w:lang w:val="es-ES" w:eastAsia="es-ES"/>
              </w:rPr>
            </w:pPr>
            <w:r w:rsidRPr="00EC3E0E">
              <w:rPr>
                <w:rFonts w:ascii="Arial Narrow" w:hAnsi="Arial Narrow"/>
                <w:color w:val="000000"/>
                <w:sz w:val="18"/>
                <w:szCs w:val="18"/>
                <w:lang w:val="es-ES" w:eastAsia="es-ES"/>
              </w:rPr>
              <w:t>Receta en papel</w:t>
            </w:r>
          </w:p>
        </w:tc>
        <w:tc>
          <w:tcPr>
            <w:tcW w:w="946" w:type="dxa"/>
            <w:tcBorders>
              <w:top w:val="single" w:sz="2" w:space="0" w:color="auto"/>
              <w:left w:val="nil"/>
              <w:bottom w:val="single" w:sz="4" w:space="0" w:color="auto"/>
              <w:right w:val="nil"/>
            </w:tcBorders>
            <w:shd w:val="clear" w:color="auto" w:fill="auto"/>
            <w:noWrap/>
            <w:vAlign w:val="center"/>
            <w:hideMark/>
          </w:tcPr>
          <w:p w:rsidR="00C9781F" w:rsidRPr="00EC3E0E" w:rsidRDefault="00C9781F" w:rsidP="00B53A0A">
            <w:pPr>
              <w:spacing w:after="0"/>
              <w:ind w:left="-62" w:right="-47" w:firstLine="0"/>
              <w:jc w:val="right"/>
              <w:rPr>
                <w:rFonts w:ascii="Arial Narrow" w:hAnsi="Arial Narrow"/>
                <w:color w:val="000000"/>
                <w:sz w:val="18"/>
                <w:szCs w:val="18"/>
                <w:lang w:val="es-ES" w:eastAsia="es-ES"/>
              </w:rPr>
            </w:pPr>
            <w:r w:rsidRPr="00EC3E0E">
              <w:rPr>
                <w:rFonts w:ascii="Arial Narrow" w:hAnsi="Arial Narrow"/>
                <w:color w:val="000000"/>
                <w:sz w:val="18"/>
                <w:szCs w:val="18"/>
                <w:lang w:val="es-ES" w:eastAsia="es-ES"/>
              </w:rPr>
              <w:t>49.418.731</w:t>
            </w:r>
          </w:p>
        </w:tc>
        <w:tc>
          <w:tcPr>
            <w:tcW w:w="1201" w:type="dxa"/>
            <w:tcBorders>
              <w:top w:val="single" w:sz="2" w:space="0" w:color="auto"/>
              <w:left w:val="single" w:sz="2" w:space="0" w:color="auto"/>
              <w:bottom w:val="single" w:sz="4"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lang w:val="es-ES" w:eastAsia="es-ES"/>
              </w:rPr>
            </w:pPr>
            <w:r w:rsidRPr="00EC3E0E">
              <w:rPr>
                <w:rFonts w:ascii="Arial Narrow" w:hAnsi="Arial Narrow"/>
                <w:color w:val="000000"/>
                <w:sz w:val="18"/>
                <w:szCs w:val="18"/>
                <w:lang w:val="es-ES" w:eastAsia="es-ES"/>
              </w:rPr>
              <w:t>18.448.300</w:t>
            </w:r>
          </w:p>
        </w:tc>
        <w:tc>
          <w:tcPr>
            <w:tcW w:w="1153" w:type="dxa"/>
            <w:tcBorders>
              <w:top w:val="single" w:sz="2" w:space="0" w:color="auto"/>
              <w:left w:val="single" w:sz="2" w:space="0" w:color="auto"/>
              <w:bottom w:val="single" w:sz="4"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lang w:val="es-ES" w:eastAsia="es-ES"/>
              </w:rPr>
            </w:pPr>
            <w:r w:rsidRPr="00EC3E0E">
              <w:rPr>
                <w:rFonts w:ascii="Arial Narrow" w:hAnsi="Arial Narrow"/>
                <w:color w:val="000000"/>
                <w:sz w:val="18"/>
                <w:szCs w:val="18"/>
                <w:lang w:val="es-ES" w:eastAsia="es-ES"/>
              </w:rPr>
              <w:t>15.617.684</w:t>
            </w:r>
          </w:p>
        </w:tc>
        <w:tc>
          <w:tcPr>
            <w:tcW w:w="1134" w:type="dxa"/>
            <w:tcBorders>
              <w:top w:val="single" w:sz="2" w:space="0" w:color="auto"/>
              <w:left w:val="single" w:sz="2" w:space="0" w:color="auto"/>
              <w:bottom w:val="single" w:sz="4"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lang w:val="es-ES" w:eastAsia="es-ES"/>
              </w:rPr>
            </w:pPr>
            <w:r w:rsidRPr="00EC3E0E">
              <w:rPr>
                <w:rFonts w:ascii="Arial Narrow" w:hAnsi="Arial Narrow"/>
                <w:color w:val="000000"/>
                <w:sz w:val="18"/>
                <w:szCs w:val="18"/>
                <w:lang w:val="es-ES" w:eastAsia="es-ES"/>
              </w:rPr>
              <w:t>11.481.144</w:t>
            </w:r>
          </w:p>
        </w:tc>
        <w:tc>
          <w:tcPr>
            <w:tcW w:w="1055" w:type="dxa"/>
            <w:tcBorders>
              <w:top w:val="single" w:sz="2" w:space="0" w:color="auto"/>
              <w:left w:val="single" w:sz="2" w:space="0" w:color="auto"/>
              <w:bottom w:val="single" w:sz="4" w:space="0" w:color="auto"/>
              <w:right w:val="nil"/>
            </w:tcBorders>
            <w:shd w:val="clear" w:color="auto" w:fill="auto"/>
            <w:noWrap/>
            <w:vAlign w:val="center"/>
            <w:hideMark/>
          </w:tcPr>
          <w:p w:rsidR="00C9781F" w:rsidRPr="00EC3E0E" w:rsidRDefault="00C9781F" w:rsidP="00B53A0A">
            <w:pPr>
              <w:spacing w:after="0"/>
              <w:ind w:firstLine="0"/>
              <w:jc w:val="right"/>
              <w:rPr>
                <w:rFonts w:ascii="Arial Narrow" w:hAnsi="Arial Narrow"/>
                <w:color w:val="000000"/>
                <w:sz w:val="18"/>
                <w:szCs w:val="18"/>
                <w:lang w:val="es-ES" w:eastAsia="es-ES"/>
              </w:rPr>
            </w:pPr>
            <w:r w:rsidRPr="00EC3E0E">
              <w:rPr>
                <w:rFonts w:ascii="Arial Narrow" w:hAnsi="Arial Narrow"/>
                <w:color w:val="000000"/>
                <w:sz w:val="18"/>
                <w:szCs w:val="18"/>
                <w:lang w:val="es-ES" w:eastAsia="es-ES"/>
              </w:rPr>
              <w:t>4.790.803</w:t>
            </w:r>
          </w:p>
        </w:tc>
      </w:tr>
      <w:tr w:rsidR="00C9781F" w:rsidRPr="00EC3E0E" w:rsidTr="00B53A0A">
        <w:trPr>
          <w:trHeight w:val="255"/>
          <w:jc w:val="center"/>
        </w:trPr>
        <w:tc>
          <w:tcPr>
            <w:tcW w:w="3143" w:type="dxa"/>
            <w:tcBorders>
              <w:top w:val="single" w:sz="4" w:space="0" w:color="auto"/>
              <w:left w:val="nil"/>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left"/>
              <w:rPr>
                <w:rFonts w:ascii="Arial" w:hAnsi="Arial" w:cs="Arial"/>
                <w:color w:val="000000"/>
                <w:sz w:val="16"/>
                <w:szCs w:val="16"/>
                <w:lang w:val="es-ES" w:eastAsia="es-ES"/>
              </w:rPr>
            </w:pPr>
            <w:r w:rsidRPr="00EC3E0E">
              <w:rPr>
                <w:rFonts w:ascii="Arial" w:hAnsi="Arial" w:cs="Arial"/>
                <w:color w:val="000000"/>
                <w:sz w:val="16"/>
                <w:szCs w:val="16"/>
                <w:lang w:val="es-ES" w:eastAsia="es-ES"/>
              </w:rPr>
              <w:t>Total gasto</w:t>
            </w:r>
          </w:p>
        </w:tc>
        <w:tc>
          <w:tcPr>
            <w:tcW w:w="946" w:type="dxa"/>
            <w:tcBorders>
              <w:top w:val="single" w:sz="4" w:space="0" w:color="auto"/>
              <w:left w:val="nil"/>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left="-62" w:right="-47" w:firstLine="0"/>
              <w:jc w:val="right"/>
              <w:rPr>
                <w:rFonts w:ascii="Arial" w:hAnsi="Arial" w:cs="Arial"/>
                <w:color w:val="000000"/>
                <w:sz w:val="16"/>
                <w:szCs w:val="16"/>
                <w:lang w:val="es-ES" w:eastAsia="es-ES"/>
              </w:rPr>
            </w:pPr>
            <w:r w:rsidRPr="00EC3E0E">
              <w:rPr>
                <w:rFonts w:ascii="Arial" w:hAnsi="Arial" w:cs="Arial"/>
                <w:color w:val="000000"/>
                <w:sz w:val="16"/>
                <w:szCs w:val="16"/>
                <w:lang w:val="es-ES" w:eastAsia="es-ES"/>
              </w:rPr>
              <w:t>129.923.687</w:t>
            </w:r>
          </w:p>
        </w:tc>
        <w:tc>
          <w:tcPr>
            <w:tcW w:w="1201" w:type="dxa"/>
            <w:tcBorders>
              <w:top w:val="single" w:sz="4"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lang w:val="es-ES" w:eastAsia="es-ES"/>
              </w:rPr>
            </w:pPr>
            <w:r w:rsidRPr="00EC3E0E">
              <w:rPr>
                <w:rFonts w:ascii="Arial" w:hAnsi="Arial" w:cs="Arial"/>
                <w:color w:val="000000"/>
                <w:sz w:val="16"/>
                <w:szCs w:val="16"/>
                <w:lang w:val="es-ES" w:eastAsia="es-ES"/>
              </w:rPr>
              <w:t>135.061.099</w:t>
            </w:r>
          </w:p>
        </w:tc>
        <w:tc>
          <w:tcPr>
            <w:tcW w:w="1153" w:type="dxa"/>
            <w:tcBorders>
              <w:top w:val="single" w:sz="4"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lang w:val="es-ES" w:eastAsia="es-ES"/>
              </w:rPr>
            </w:pPr>
            <w:r w:rsidRPr="00EC3E0E">
              <w:rPr>
                <w:rFonts w:ascii="Arial" w:hAnsi="Arial" w:cs="Arial"/>
                <w:color w:val="000000"/>
                <w:sz w:val="16"/>
                <w:szCs w:val="16"/>
                <w:lang w:val="es-ES" w:eastAsia="es-ES"/>
              </w:rPr>
              <w:t>139.972.412</w:t>
            </w:r>
          </w:p>
        </w:tc>
        <w:tc>
          <w:tcPr>
            <w:tcW w:w="1134" w:type="dxa"/>
            <w:tcBorders>
              <w:top w:val="single" w:sz="4"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lang w:val="es-ES" w:eastAsia="es-ES"/>
              </w:rPr>
            </w:pPr>
            <w:r w:rsidRPr="00EC3E0E">
              <w:rPr>
                <w:rFonts w:ascii="Arial" w:hAnsi="Arial" w:cs="Arial"/>
                <w:color w:val="000000"/>
                <w:sz w:val="16"/>
                <w:szCs w:val="16"/>
                <w:lang w:val="es-ES" w:eastAsia="es-ES"/>
              </w:rPr>
              <w:t>145.051.545</w:t>
            </w:r>
          </w:p>
        </w:tc>
        <w:tc>
          <w:tcPr>
            <w:tcW w:w="1055" w:type="dxa"/>
            <w:tcBorders>
              <w:top w:val="single" w:sz="4" w:space="0" w:color="auto"/>
              <w:left w:val="single" w:sz="2" w:space="0" w:color="auto"/>
              <w:bottom w:val="single" w:sz="4" w:space="0" w:color="auto"/>
              <w:right w:val="nil"/>
            </w:tcBorders>
            <w:shd w:val="clear" w:color="auto" w:fill="B8CCE4" w:themeFill="accent1" w:themeFillTint="66"/>
            <w:noWrap/>
            <w:vAlign w:val="center"/>
            <w:hideMark/>
          </w:tcPr>
          <w:p w:rsidR="00C9781F" w:rsidRPr="00EC3E0E" w:rsidRDefault="00C9781F" w:rsidP="00B53A0A">
            <w:pPr>
              <w:spacing w:after="0"/>
              <w:ind w:firstLine="0"/>
              <w:jc w:val="right"/>
              <w:rPr>
                <w:rFonts w:ascii="Arial" w:hAnsi="Arial" w:cs="Arial"/>
                <w:color w:val="000000"/>
                <w:sz w:val="16"/>
                <w:szCs w:val="16"/>
                <w:lang w:val="es-ES" w:eastAsia="es-ES"/>
              </w:rPr>
            </w:pPr>
            <w:r w:rsidRPr="00EC3E0E">
              <w:rPr>
                <w:rFonts w:ascii="Arial" w:hAnsi="Arial" w:cs="Arial"/>
                <w:color w:val="000000"/>
                <w:sz w:val="16"/>
                <w:szCs w:val="16"/>
                <w:lang w:val="es-ES" w:eastAsia="es-ES"/>
              </w:rPr>
              <w:t>144.269.497</w:t>
            </w:r>
          </w:p>
        </w:tc>
      </w:tr>
    </w:tbl>
    <w:p w:rsidR="00C9781F" w:rsidRDefault="00C9781F" w:rsidP="00C9781F">
      <w:pPr>
        <w:pStyle w:val="texto"/>
        <w:tabs>
          <w:tab w:val="clear" w:pos="2835"/>
          <w:tab w:val="clear" w:pos="3969"/>
          <w:tab w:val="clear" w:pos="5103"/>
          <w:tab w:val="clear" w:pos="6237"/>
          <w:tab w:val="clear" w:pos="7371"/>
        </w:tabs>
        <w:spacing w:before="240" w:after="120"/>
        <w:rPr>
          <w:szCs w:val="26"/>
        </w:rPr>
      </w:pPr>
      <w:r>
        <w:rPr>
          <w:szCs w:val="26"/>
        </w:rPr>
        <w:t>Como se observa, tanto el número de recetas como de envases y el gasto c</w:t>
      </w:r>
      <w:r>
        <w:rPr>
          <w:szCs w:val="26"/>
        </w:rPr>
        <w:t>o</w:t>
      </w:r>
      <w:r>
        <w:rPr>
          <w:szCs w:val="26"/>
        </w:rPr>
        <w:t xml:space="preserve">rrespondiente a recetas en papel ha disminuido significativamente en el periodo analizado. </w:t>
      </w:r>
    </w:p>
    <w:p w:rsidR="00C9781F" w:rsidRDefault="00C9781F" w:rsidP="00C9781F">
      <w:pPr>
        <w:pStyle w:val="texto"/>
        <w:tabs>
          <w:tab w:val="clear" w:pos="2835"/>
          <w:tab w:val="clear" w:pos="3969"/>
          <w:tab w:val="clear" w:pos="5103"/>
          <w:tab w:val="clear" w:pos="6237"/>
          <w:tab w:val="clear" w:pos="7371"/>
        </w:tabs>
        <w:spacing w:before="120" w:after="120"/>
        <w:rPr>
          <w:szCs w:val="26"/>
        </w:rPr>
      </w:pPr>
      <w:r>
        <w:rPr>
          <w:szCs w:val="26"/>
        </w:rPr>
        <w:t>En la página siguiente mostramos en tres gráficos la evolución del porcentaje que supone cada tipo de prescripción sobre el total tanto del número de recetas, como de envases y gasto.</w:t>
      </w:r>
    </w:p>
    <w:p w:rsidR="00C9781F" w:rsidRDefault="00C9781F" w:rsidP="00C9781F">
      <w:pPr>
        <w:spacing w:after="0"/>
        <w:ind w:firstLine="0"/>
        <w:jc w:val="left"/>
        <w:rPr>
          <w:spacing w:val="6"/>
          <w:sz w:val="26"/>
          <w:szCs w:val="26"/>
        </w:rPr>
      </w:pPr>
      <w:r>
        <w:rPr>
          <w:szCs w:val="26"/>
        </w:rPr>
        <w:br w:type="page"/>
      </w:r>
    </w:p>
    <w:p w:rsidR="00C9781F" w:rsidRDefault="00C9781F" w:rsidP="00C9781F">
      <w:pPr>
        <w:pStyle w:val="texto"/>
        <w:tabs>
          <w:tab w:val="clear" w:pos="2835"/>
          <w:tab w:val="clear" w:pos="3969"/>
          <w:tab w:val="clear" w:pos="5103"/>
          <w:tab w:val="clear" w:pos="6237"/>
          <w:tab w:val="clear" w:pos="7371"/>
        </w:tabs>
        <w:spacing w:before="120" w:after="120"/>
        <w:jc w:val="center"/>
        <w:rPr>
          <w:szCs w:val="26"/>
        </w:rPr>
      </w:pPr>
      <w:r>
        <w:rPr>
          <w:noProof/>
          <w:lang w:val="es-ES" w:eastAsia="es-ES"/>
        </w:rPr>
        <w:lastRenderedPageBreak/>
        <w:drawing>
          <wp:inline distT="0" distB="0" distL="0" distR="0" wp14:anchorId="25192C46" wp14:editId="51C44315">
            <wp:extent cx="4865299" cy="2829464"/>
            <wp:effectExtent l="0" t="0" r="0" b="0"/>
            <wp:docPr id="6" name="Gráfico 6" title="Evolución del porcentaje del número de recetas sobre el total"/>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9781F" w:rsidRDefault="00C9781F" w:rsidP="00C9781F">
      <w:pPr>
        <w:pStyle w:val="texto"/>
        <w:tabs>
          <w:tab w:val="clear" w:pos="2835"/>
          <w:tab w:val="clear" w:pos="3969"/>
          <w:tab w:val="clear" w:pos="5103"/>
          <w:tab w:val="clear" w:pos="6237"/>
          <w:tab w:val="clear" w:pos="7371"/>
        </w:tabs>
        <w:spacing w:before="120" w:after="120"/>
        <w:rPr>
          <w:szCs w:val="26"/>
        </w:rPr>
      </w:pPr>
      <w:r>
        <w:rPr>
          <w:szCs w:val="26"/>
        </w:rPr>
        <w:t>Como se observa, el porcentaje de recetas electrónicas sobre el total en 2017 se ha incrementado significativamente alcanzando el 97 por ciento frente al 61 por ciento en 2013.</w:t>
      </w:r>
    </w:p>
    <w:p w:rsidR="00C9781F" w:rsidRDefault="00C9781F" w:rsidP="00C9781F">
      <w:pPr>
        <w:pStyle w:val="texto"/>
        <w:tabs>
          <w:tab w:val="clear" w:pos="2835"/>
          <w:tab w:val="clear" w:pos="3969"/>
          <w:tab w:val="clear" w:pos="5103"/>
          <w:tab w:val="clear" w:pos="6237"/>
          <w:tab w:val="clear" w:pos="7371"/>
        </w:tabs>
        <w:spacing w:before="120" w:after="120"/>
        <w:rPr>
          <w:szCs w:val="26"/>
        </w:rPr>
      </w:pPr>
    </w:p>
    <w:p w:rsidR="00C9781F" w:rsidRDefault="00C9781F" w:rsidP="00C9781F">
      <w:pPr>
        <w:pStyle w:val="texto"/>
        <w:tabs>
          <w:tab w:val="clear" w:pos="2835"/>
          <w:tab w:val="clear" w:pos="3969"/>
          <w:tab w:val="clear" w:pos="5103"/>
          <w:tab w:val="clear" w:pos="6237"/>
          <w:tab w:val="clear" w:pos="7371"/>
        </w:tabs>
        <w:spacing w:before="120" w:after="120"/>
        <w:jc w:val="center"/>
        <w:rPr>
          <w:szCs w:val="26"/>
        </w:rPr>
      </w:pPr>
      <w:r>
        <w:rPr>
          <w:noProof/>
          <w:lang w:val="es-ES" w:eastAsia="es-ES"/>
        </w:rPr>
        <w:drawing>
          <wp:inline distT="0" distB="0" distL="0" distR="0" wp14:anchorId="714E6BAC" wp14:editId="688586AA">
            <wp:extent cx="4925683" cy="3079630"/>
            <wp:effectExtent l="0" t="0" r="8890" b="698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9781F" w:rsidRDefault="00C9781F" w:rsidP="00C9781F">
      <w:pPr>
        <w:pStyle w:val="texto"/>
        <w:tabs>
          <w:tab w:val="clear" w:pos="2835"/>
          <w:tab w:val="clear" w:pos="3969"/>
          <w:tab w:val="clear" w:pos="5103"/>
          <w:tab w:val="clear" w:pos="6237"/>
          <w:tab w:val="clear" w:pos="7371"/>
        </w:tabs>
        <w:spacing w:before="120" w:after="120"/>
        <w:rPr>
          <w:szCs w:val="26"/>
        </w:rPr>
      </w:pPr>
      <w:r>
        <w:rPr>
          <w:szCs w:val="26"/>
        </w:rPr>
        <w:t>La evolución del número de envases sigue la misma tendencia que el número de recetas y pasa del 63 por ciento en 2013 al 97 por ciento en 2017.</w:t>
      </w:r>
    </w:p>
    <w:p w:rsidR="00C9781F" w:rsidRDefault="00C9781F" w:rsidP="00C9781F">
      <w:pPr>
        <w:pStyle w:val="texto"/>
        <w:tabs>
          <w:tab w:val="clear" w:pos="2835"/>
          <w:tab w:val="clear" w:pos="3969"/>
          <w:tab w:val="clear" w:pos="5103"/>
          <w:tab w:val="clear" w:pos="6237"/>
          <w:tab w:val="clear" w:pos="7371"/>
        </w:tabs>
        <w:spacing w:before="120" w:after="120"/>
        <w:jc w:val="center"/>
        <w:rPr>
          <w:szCs w:val="26"/>
        </w:rPr>
      </w:pPr>
      <w:r>
        <w:rPr>
          <w:noProof/>
          <w:lang w:val="es-ES" w:eastAsia="es-ES"/>
        </w:rPr>
        <w:lastRenderedPageBreak/>
        <w:drawing>
          <wp:inline distT="0" distB="0" distL="0" distR="0" wp14:anchorId="658C1839" wp14:editId="4A8A3532">
            <wp:extent cx="4753155" cy="3278038"/>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9781F" w:rsidRDefault="00C9781F" w:rsidP="00C9781F">
      <w:pPr>
        <w:pStyle w:val="texto"/>
        <w:tabs>
          <w:tab w:val="clear" w:pos="2835"/>
          <w:tab w:val="clear" w:pos="3969"/>
          <w:tab w:val="clear" w:pos="5103"/>
          <w:tab w:val="clear" w:pos="6237"/>
          <w:tab w:val="clear" w:pos="7371"/>
        </w:tabs>
        <w:spacing w:before="120" w:after="240"/>
        <w:rPr>
          <w:szCs w:val="26"/>
        </w:rPr>
      </w:pPr>
      <w:r>
        <w:rPr>
          <w:szCs w:val="26"/>
        </w:rPr>
        <w:t>De igual forma, el gasto asociado a la receta electrónica en 2013 era del 62 por ciento, y en 2017 se incrementa significativamente hasta alcanzar el 97 por ciento. Al respecto señalamos que este gasto no incluye los descuentos y ab</w:t>
      </w:r>
      <w:r>
        <w:rPr>
          <w:szCs w:val="26"/>
        </w:rPr>
        <w:t>o</w:t>
      </w:r>
      <w:r>
        <w:rPr>
          <w:szCs w:val="26"/>
        </w:rPr>
        <w:t>nos que deben aplicarse según la normativa, y no se corresponde con el gasto contabilizado en el presupuesto que se registra por el importe neto.</w:t>
      </w:r>
    </w:p>
    <w:p w:rsidR="00C9781F" w:rsidRDefault="00C9781F" w:rsidP="00C9781F">
      <w:pPr>
        <w:pStyle w:val="atitulo2"/>
        <w:spacing w:after="120"/>
      </w:pPr>
      <w:bookmarkStart w:id="14" w:name="_Toc534015419"/>
      <w:bookmarkStart w:id="15" w:name="_Toc3461804"/>
      <w:bookmarkStart w:id="16" w:name="_Toc4671423"/>
      <w:r>
        <w:t>II.4.</w:t>
      </w:r>
      <w:r w:rsidRPr="00C13999">
        <w:t xml:space="preserve"> </w:t>
      </w:r>
      <w:r>
        <w:t>Sistemas de información</w:t>
      </w:r>
      <w:bookmarkEnd w:id="14"/>
      <w:bookmarkEnd w:id="15"/>
      <w:bookmarkEnd w:id="16"/>
    </w:p>
    <w:p w:rsidR="00C9781F" w:rsidRPr="003F5D46" w:rsidRDefault="00C9781F" w:rsidP="00C9781F">
      <w:pPr>
        <w:pStyle w:val="texto"/>
        <w:tabs>
          <w:tab w:val="clear" w:pos="2835"/>
          <w:tab w:val="clear" w:pos="3969"/>
          <w:tab w:val="clear" w:pos="5103"/>
          <w:tab w:val="clear" w:pos="6237"/>
          <w:tab w:val="clear" w:pos="7371"/>
        </w:tabs>
        <w:spacing w:before="120"/>
        <w:rPr>
          <w:szCs w:val="26"/>
        </w:rPr>
      </w:pPr>
      <w:r>
        <w:rPr>
          <w:szCs w:val="26"/>
        </w:rPr>
        <w:t>El principal elemento tecnológico utilizado para la gestión de la prestación farmacéutica es la aplicación LAMIA junto con todos los sistemas e infrae</w:t>
      </w:r>
      <w:r>
        <w:rPr>
          <w:szCs w:val="26"/>
        </w:rPr>
        <w:t>s</w:t>
      </w:r>
      <w:r>
        <w:rPr>
          <w:szCs w:val="26"/>
        </w:rPr>
        <w:t>tructuras que le dan soporte. LAMIA es la solución informática para la gestión integral, a través de módulos, de la prescripción (al cual se accede a través de las aplicaciones de historia clínica ATENEA para Atención Primaria y HCI p</w:t>
      </w:r>
      <w:r>
        <w:rPr>
          <w:szCs w:val="26"/>
        </w:rPr>
        <w:t>a</w:t>
      </w:r>
      <w:r>
        <w:rPr>
          <w:szCs w:val="26"/>
        </w:rPr>
        <w:t xml:space="preserve">ra Atención Especializada), </w:t>
      </w:r>
      <w:r w:rsidRPr="003F5D46">
        <w:rPr>
          <w:szCs w:val="26"/>
        </w:rPr>
        <w:t>dispensación, visado</w:t>
      </w:r>
      <w:r>
        <w:rPr>
          <w:szCs w:val="26"/>
        </w:rPr>
        <w:t>, administración</w:t>
      </w:r>
      <w:r w:rsidRPr="003F5D46">
        <w:rPr>
          <w:szCs w:val="26"/>
        </w:rPr>
        <w:t xml:space="preserve"> y facturación de medicamentos a </w:t>
      </w:r>
      <w:r>
        <w:rPr>
          <w:szCs w:val="26"/>
        </w:rPr>
        <w:t>través de recetas electrónicas.</w:t>
      </w:r>
    </w:p>
    <w:p w:rsidR="00C9781F" w:rsidRDefault="00C9781F" w:rsidP="00C9781F">
      <w:pPr>
        <w:pStyle w:val="texto"/>
        <w:tabs>
          <w:tab w:val="clear" w:pos="2835"/>
          <w:tab w:val="clear" w:pos="3969"/>
          <w:tab w:val="clear" w:pos="5103"/>
          <w:tab w:val="clear" w:pos="6237"/>
          <w:tab w:val="clear" w:pos="7371"/>
        </w:tabs>
        <w:spacing w:before="120"/>
        <w:rPr>
          <w:szCs w:val="26"/>
        </w:rPr>
      </w:pPr>
      <w:r>
        <w:rPr>
          <w:szCs w:val="26"/>
        </w:rPr>
        <w:t>El COFNA actúa como agente centralizador de la información para realizar la facturación de los productos dispensados a los ciudadanos en las farmacias. Para llevar a cabo esta gestión, utiliza un componente informático desarrollado para el COFNA al que accede el software que tiene cada oficina de farmacia (existen nueve diferentes).</w:t>
      </w:r>
    </w:p>
    <w:p w:rsidR="00C9781F" w:rsidRDefault="00C9781F" w:rsidP="00C9781F">
      <w:pPr>
        <w:pStyle w:val="texto"/>
        <w:tabs>
          <w:tab w:val="clear" w:pos="2835"/>
          <w:tab w:val="clear" w:pos="3969"/>
          <w:tab w:val="clear" w:pos="5103"/>
          <w:tab w:val="clear" w:pos="6237"/>
          <w:tab w:val="clear" w:pos="7371"/>
        </w:tabs>
        <w:spacing w:before="120"/>
        <w:rPr>
          <w:szCs w:val="26"/>
        </w:rPr>
      </w:pPr>
      <w:r>
        <w:rPr>
          <w:szCs w:val="26"/>
        </w:rPr>
        <w:t>La participación del COFNA en el procedimiento de gestión de la prestación farmacéutica se recogió en el Acuerdo Marco de condiciones de concertación de las oficinas de farmacia de mayo de 2002; en este acuerdo se preveía su pr</w:t>
      </w:r>
      <w:r>
        <w:rPr>
          <w:szCs w:val="26"/>
        </w:rPr>
        <w:t>ó</w:t>
      </w:r>
      <w:r>
        <w:rPr>
          <w:szCs w:val="26"/>
        </w:rPr>
        <w:t>rroga automática por años naturales excepto cuando fuera denunciado con una antelación mínima de tres meses a la finalización del año. El SNS-O lo denu</w:t>
      </w:r>
      <w:r>
        <w:rPr>
          <w:szCs w:val="26"/>
        </w:rPr>
        <w:t>n</w:t>
      </w:r>
      <w:r>
        <w:rPr>
          <w:szCs w:val="26"/>
        </w:rPr>
        <w:t xml:space="preserve">ció en tiempo y forma durante 2017, y el nuevo acuerdo marco ha sido firmado </w:t>
      </w:r>
      <w:r>
        <w:rPr>
          <w:szCs w:val="26"/>
        </w:rPr>
        <w:lastRenderedPageBreak/>
        <w:t>recientemente</w:t>
      </w:r>
      <w:r w:rsidR="0036517C">
        <w:rPr>
          <w:szCs w:val="26"/>
        </w:rPr>
        <w:t xml:space="preserve"> y ya es vinculante, si bien, está pendiente su publicación en el Boletín Oficial de Navarra</w:t>
      </w:r>
      <w:r>
        <w:rPr>
          <w:szCs w:val="26"/>
        </w:rPr>
        <w:t>.</w:t>
      </w:r>
    </w:p>
    <w:p w:rsidR="00C9781F" w:rsidRDefault="00C9781F" w:rsidP="00C9781F">
      <w:pPr>
        <w:pStyle w:val="texto"/>
        <w:tabs>
          <w:tab w:val="clear" w:pos="2835"/>
          <w:tab w:val="clear" w:pos="3969"/>
          <w:tab w:val="clear" w:pos="5103"/>
          <w:tab w:val="clear" w:pos="6237"/>
          <w:tab w:val="clear" w:pos="7371"/>
        </w:tabs>
        <w:spacing w:before="120" w:after="240"/>
        <w:rPr>
          <w:szCs w:val="26"/>
        </w:rPr>
      </w:pPr>
      <w:r>
        <w:rPr>
          <w:szCs w:val="26"/>
        </w:rPr>
        <w:t>Además</w:t>
      </w:r>
      <w:r w:rsidR="001A1B96">
        <w:rPr>
          <w:szCs w:val="26"/>
        </w:rPr>
        <w:t>,</w:t>
      </w:r>
      <w:r>
        <w:rPr>
          <w:szCs w:val="26"/>
        </w:rPr>
        <w:t xml:space="preserve"> intervienen otros sistemas y varias aplicaciones informáticas del SNS-O y de la Hacienda Tributaria de Navarra (HTN en adelante) que confo</w:t>
      </w:r>
      <w:r>
        <w:rPr>
          <w:szCs w:val="26"/>
        </w:rPr>
        <w:t>r</w:t>
      </w:r>
      <w:r>
        <w:rPr>
          <w:szCs w:val="26"/>
        </w:rPr>
        <w:t xml:space="preserve">man un diseño tecnológico complejo del cual mostramos un esquema en el Anexo 1. Para que el sistema de receta electrónica funcione correctamente es necesario que los subsistemas involucrados realicen sus tareas y se integren adecuadamente entre sí. </w:t>
      </w:r>
    </w:p>
    <w:p w:rsidR="00C9781F" w:rsidRDefault="00C9781F" w:rsidP="00C9781F">
      <w:pPr>
        <w:pStyle w:val="atitulo2"/>
        <w:spacing w:after="120"/>
      </w:pPr>
      <w:bookmarkStart w:id="17" w:name="_Toc3461805"/>
      <w:bookmarkStart w:id="18" w:name="_Toc4671424"/>
      <w:r>
        <w:t>II</w:t>
      </w:r>
      <w:r w:rsidRPr="00C13999">
        <w:t>.</w:t>
      </w:r>
      <w:r>
        <w:t>5.</w:t>
      </w:r>
      <w:r w:rsidRPr="00C13999">
        <w:t xml:space="preserve"> </w:t>
      </w:r>
      <w:r>
        <w:t>Normativa básica aplicable</w:t>
      </w:r>
      <w:bookmarkEnd w:id="17"/>
      <w:bookmarkEnd w:id="18"/>
    </w:p>
    <w:p w:rsidR="00C9781F" w:rsidRPr="00506AA1" w:rsidRDefault="00C9781F" w:rsidP="00C9781F">
      <w:pPr>
        <w:pStyle w:val="texto"/>
      </w:pPr>
      <w:r w:rsidRPr="00506AA1">
        <w:t>La normativa fundamental aplicable a la gestión de la prestación farmacéut</w:t>
      </w:r>
      <w:r w:rsidRPr="00506AA1">
        <w:t>i</w:t>
      </w:r>
      <w:r w:rsidRPr="00506AA1">
        <w:t>ca es la que se detalla a continuación:</w:t>
      </w:r>
    </w:p>
    <w:p w:rsidR="00C9781F" w:rsidRDefault="00C9781F" w:rsidP="002303D6">
      <w:pPr>
        <w:pStyle w:val="texto"/>
        <w:numPr>
          <w:ilvl w:val="0"/>
          <w:numId w:val="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Ley Foral 12/2000, de 16 de noviembre, de atención farmacéutica.</w:t>
      </w:r>
    </w:p>
    <w:p w:rsidR="00C9781F" w:rsidRPr="00647881" w:rsidRDefault="00C9781F" w:rsidP="002303D6">
      <w:pPr>
        <w:pStyle w:val="texto"/>
        <w:numPr>
          <w:ilvl w:val="0"/>
          <w:numId w:val="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647881">
        <w:rPr>
          <w:rFonts w:cs="Arial"/>
        </w:rPr>
        <w:t>Acuerdo, de 13 de mayo de 2002, del Gobierno de Navarra, por el que se aprueba el acuerdo marco de condiciones de concertación de las oficinas de farmacia.</w:t>
      </w:r>
    </w:p>
    <w:p w:rsidR="00C9781F" w:rsidRPr="00647881" w:rsidRDefault="00C9781F" w:rsidP="002303D6">
      <w:pPr>
        <w:pStyle w:val="texto"/>
        <w:numPr>
          <w:ilvl w:val="0"/>
          <w:numId w:val="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647881">
        <w:rPr>
          <w:rFonts w:cs="Arial"/>
        </w:rPr>
        <w:t>Acuerdo del Gobierno de Navarra, de 27 de diciembre de 2017, por el que se establecen las condiciones mínimas de la provisión de las prestaciones fa</w:t>
      </w:r>
      <w:r w:rsidRPr="00647881">
        <w:rPr>
          <w:rFonts w:cs="Arial"/>
        </w:rPr>
        <w:t>r</w:t>
      </w:r>
      <w:r w:rsidRPr="00647881">
        <w:rPr>
          <w:rFonts w:cs="Arial"/>
        </w:rPr>
        <w:t>macéuticas, manteniéndose temporalmente vigentes las establecidas en el Acuerdo Marco de 2002.</w:t>
      </w:r>
    </w:p>
    <w:p w:rsidR="00C9781F" w:rsidRPr="00647881" w:rsidRDefault="00C9781F" w:rsidP="002303D6">
      <w:pPr>
        <w:pStyle w:val="texto"/>
        <w:numPr>
          <w:ilvl w:val="0"/>
          <w:numId w:val="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647881">
        <w:rPr>
          <w:rFonts w:cs="Arial"/>
        </w:rPr>
        <w:t>Real Decreto 1718/2010, de 17 de diciembre, sobre receta médica y órd</w:t>
      </w:r>
      <w:r w:rsidRPr="00647881">
        <w:rPr>
          <w:rFonts w:cs="Arial"/>
        </w:rPr>
        <w:t>e</w:t>
      </w:r>
      <w:r w:rsidRPr="00647881">
        <w:rPr>
          <w:rFonts w:cs="Arial"/>
        </w:rPr>
        <w:t>nes de dispensación.</w:t>
      </w:r>
    </w:p>
    <w:p w:rsidR="00C9781F" w:rsidRPr="00647881" w:rsidRDefault="00C9781F" w:rsidP="002303D6">
      <w:pPr>
        <w:pStyle w:val="texto"/>
        <w:numPr>
          <w:ilvl w:val="0"/>
          <w:numId w:val="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647881">
        <w:rPr>
          <w:rFonts w:cs="Arial"/>
        </w:rPr>
        <w:t>Real Decreto-ley 16/2012, de 20 de abril, de medidas urgentes para gara</w:t>
      </w:r>
      <w:r w:rsidRPr="00647881">
        <w:rPr>
          <w:rFonts w:cs="Arial"/>
        </w:rPr>
        <w:t>n</w:t>
      </w:r>
      <w:r w:rsidRPr="00647881">
        <w:rPr>
          <w:rFonts w:cs="Arial"/>
        </w:rPr>
        <w:t>tizar la sostenibilidad del Sistema Nacional de Salud y mejorar la calidad y s</w:t>
      </w:r>
      <w:r w:rsidRPr="00647881">
        <w:rPr>
          <w:rFonts w:cs="Arial"/>
        </w:rPr>
        <w:t>e</w:t>
      </w:r>
      <w:r w:rsidRPr="00647881">
        <w:rPr>
          <w:rFonts w:cs="Arial"/>
        </w:rPr>
        <w:t>guridad de sus prestaciones.</w:t>
      </w:r>
    </w:p>
    <w:p w:rsidR="00C9781F" w:rsidRPr="00647881" w:rsidRDefault="00C9781F" w:rsidP="002303D6">
      <w:pPr>
        <w:pStyle w:val="texto"/>
        <w:numPr>
          <w:ilvl w:val="0"/>
          <w:numId w:val="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647881">
        <w:rPr>
          <w:rFonts w:cs="Arial"/>
        </w:rPr>
        <w:t>Real Decreto 177/2014, de 21 de marzo, por el que se regula el sistema de precios de referencia y de agrupaciones homogéneas de medicamentos en el Sistema Nacional de Salud, y determinados sistemas de información en materia de financiación y precios de los medicamentos y productos sanitarios.</w:t>
      </w:r>
    </w:p>
    <w:p w:rsidR="00C9781F" w:rsidRPr="00647881" w:rsidRDefault="00C9781F" w:rsidP="002303D6">
      <w:pPr>
        <w:pStyle w:val="texto"/>
        <w:numPr>
          <w:ilvl w:val="0"/>
          <w:numId w:val="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647881">
        <w:rPr>
          <w:rFonts w:cs="Arial"/>
        </w:rPr>
        <w:t>Real Decreto Legislativo 1/2015, de 24 de julio, por el que se aprueba el texto refundido de la Ley de garant</w:t>
      </w:r>
      <w:r w:rsidRPr="00647881">
        <w:rPr>
          <w:rFonts w:cs="Arial" w:hint="eastAsia"/>
        </w:rPr>
        <w:t>í</w:t>
      </w:r>
      <w:r w:rsidRPr="00647881">
        <w:rPr>
          <w:rFonts w:cs="Arial"/>
        </w:rPr>
        <w:t>as y uso racional de los medicamentos y productos sanitarios.</w:t>
      </w:r>
    </w:p>
    <w:p w:rsidR="00C9781F" w:rsidRDefault="00C9781F" w:rsidP="00C9781F">
      <w:pPr>
        <w:pStyle w:val="texto"/>
        <w:tabs>
          <w:tab w:val="clear" w:pos="2835"/>
          <w:tab w:val="clear" w:pos="3969"/>
          <w:tab w:val="clear" w:pos="5103"/>
          <w:tab w:val="clear" w:pos="6237"/>
          <w:tab w:val="clear" w:pos="7371"/>
        </w:tabs>
        <w:spacing w:before="120"/>
        <w:rPr>
          <w:szCs w:val="26"/>
        </w:rPr>
      </w:pPr>
      <w:r>
        <w:rPr>
          <w:szCs w:val="26"/>
        </w:rPr>
        <w:t>El resto de la normativa básica aplicable se detalla en el Anexo 2 que aco</w:t>
      </w:r>
      <w:r>
        <w:rPr>
          <w:szCs w:val="26"/>
        </w:rPr>
        <w:t>m</w:t>
      </w:r>
      <w:r>
        <w:rPr>
          <w:szCs w:val="26"/>
        </w:rPr>
        <w:t>paña a este informe.</w:t>
      </w:r>
    </w:p>
    <w:p w:rsidR="00C9781F" w:rsidRDefault="00C9781F" w:rsidP="00C9781F">
      <w:pPr>
        <w:pStyle w:val="texto"/>
        <w:tabs>
          <w:tab w:val="clear" w:pos="2835"/>
          <w:tab w:val="clear" w:pos="3969"/>
          <w:tab w:val="clear" w:pos="5103"/>
          <w:tab w:val="clear" w:pos="6237"/>
          <w:tab w:val="clear" w:pos="7371"/>
        </w:tabs>
        <w:ind w:left="284" w:firstLine="0"/>
        <w:rPr>
          <w:szCs w:val="26"/>
        </w:rPr>
      </w:pPr>
    </w:p>
    <w:p w:rsidR="00C9781F" w:rsidRDefault="00C9781F" w:rsidP="00C9781F">
      <w:pPr>
        <w:spacing w:after="0"/>
        <w:ind w:firstLine="0"/>
        <w:jc w:val="left"/>
        <w:rPr>
          <w:rFonts w:ascii="Arial" w:hAnsi="Arial"/>
          <w:i/>
          <w:iCs/>
          <w:color w:val="000000"/>
          <w:spacing w:val="10"/>
          <w:kern w:val="28"/>
          <w:sz w:val="25"/>
          <w:szCs w:val="26"/>
        </w:rPr>
      </w:pPr>
      <w:r>
        <w:br w:type="page"/>
      </w:r>
    </w:p>
    <w:p w:rsidR="00C9781F" w:rsidRPr="00341874" w:rsidRDefault="00C9781F" w:rsidP="00C9781F">
      <w:pPr>
        <w:pStyle w:val="atitulo1"/>
      </w:pPr>
      <w:bookmarkStart w:id="19" w:name="_Toc311633164"/>
      <w:bookmarkStart w:id="20" w:name="_Toc311633173"/>
      <w:bookmarkStart w:id="21" w:name="_Toc432757080"/>
      <w:bookmarkStart w:id="22" w:name="_Toc447195014"/>
      <w:bookmarkStart w:id="23" w:name="_Toc477171873"/>
      <w:bookmarkStart w:id="24" w:name="_Toc3461806"/>
      <w:bookmarkStart w:id="25" w:name="_Toc4671425"/>
      <w:r w:rsidRPr="00983EB9">
        <w:lastRenderedPageBreak/>
        <w:t xml:space="preserve">III. </w:t>
      </w:r>
      <w:bookmarkEnd w:id="19"/>
      <w:bookmarkEnd w:id="20"/>
      <w:r w:rsidRPr="00341874">
        <w:t>Objetivo</w:t>
      </w:r>
      <w:bookmarkEnd w:id="21"/>
      <w:r>
        <w:t>s, alcance y limitaciones</w:t>
      </w:r>
      <w:bookmarkEnd w:id="22"/>
      <w:bookmarkEnd w:id="23"/>
      <w:bookmarkEnd w:id="24"/>
      <w:bookmarkEnd w:id="25"/>
    </w:p>
    <w:p w:rsidR="00C9781F" w:rsidRDefault="00C9781F" w:rsidP="00C9781F">
      <w:pPr>
        <w:pStyle w:val="texto"/>
        <w:tabs>
          <w:tab w:val="clear" w:pos="2835"/>
          <w:tab w:val="clear" w:pos="3969"/>
          <w:tab w:val="clear" w:pos="5103"/>
          <w:tab w:val="clear" w:pos="6237"/>
          <w:tab w:val="clear" w:pos="7371"/>
        </w:tabs>
        <w:spacing w:after="100"/>
        <w:rPr>
          <w:szCs w:val="26"/>
        </w:rPr>
      </w:pPr>
      <w:r>
        <w:rPr>
          <w:szCs w:val="26"/>
        </w:rPr>
        <w:t>Los objetivos de nuestro trabajo han sido los siguientes:</w:t>
      </w:r>
    </w:p>
    <w:p w:rsidR="00C9781F" w:rsidRPr="00D31BD4" w:rsidRDefault="00C9781F" w:rsidP="002303D6">
      <w:pPr>
        <w:pStyle w:val="texto"/>
        <w:numPr>
          <w:ilvl w:val="0"/>
          <w:numId w:val="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D31BD4">
        <w:rPr>
          <w:rFonts w:cs="Arial"/>
        </w:rPr>
        <w:t>Evaluar los sistemas de información implicados en la gestión de la prest</w:t>
      </w:r>
      <w:r w:rsidRPr="00D31BD4">
        <w:rPr>
          <w:rFonts w:cs="Arial"/>
        </w:rPr>
        <w:t>a</w:t>
      </w:r>
      <w:r w:rsidRPr="00D31BD4">
        <w:rPr>
          <w:rFonts w:cs="Arial"/>
        </w:rPr>
        <w:t>ción farmacéutica para determinar si el grado de eficacia de los controles exi</w:t>
      </w:r>
      <w:r w:rsidRPr="00D31BD4">
        <w:rPr>
          <w:rFonts w:cs="Arial"/>
        </w:rPr>
        <w:t>s</w:t>
      </w:r>
      <w:r w:rsidRPr="00D31BD4">
        <w:rPr>
          <w:rFonts w:cs="Arial"/>
        </w:rPr>
        <w:t>tentes en dichos sistemas, tanto en los procedimientos manuales como en las aplicaciones informáticas, aporta un nivel de confianza razonable y garantiza la correcta ejecución de los procedimientos de gestión de la prestación farmacé</w:t>
      </w:r>
      <w:r w:rsidRPr="00D31BD4">
        <w:rPr>
          <w:rFonts w:cs="Arial"/>
        </w:rPr>
        <w:t>u</w:t>
      </w:r>
      <w:r w:rsidRPr="00D31BD4">
        <w:rPr>
          <w:rFonts w:cs="Arial"/>
        </w:rPr>
        <w:t>tica, la adecuada contabilización de las transacciones y reduce el riesgo de err</w:t>
      </w:r>
      <w:r w:rsidRPr="00D31BD4">
        <w:rPr>
          <w:rFonts w:cs="Arial"/>
        </w:rPr>
        <w:t>o</w:t>
      </w:r>
      <w:r w:rsidRPr="00D31BD4">
        <w:rPr>
          <w:rFonts w:cs="Arial"/>
        </w:rPr>
        <w:t>res o irregularidades.</w:t>
      </w:r>
    </w:p>
    <w:p w:rsidR="00C9781F" w:rsidRPr="00D31BD4" w:rsidRDefault="00C9781F" w:rsidP="002303D6">
      <w:pPr>
        <w:pStyle w:val="texto"/>
        <w:numPr>
          <w:ilvl w:val="0"/>
          <w:numId w:val="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D31BD4">
        <w:rPr>
          <w:rFonts w:cs="Arial"/>
        </w:rPr>
        <w:t>Llevar a cabo una auditoría de cumplimiento de legalidad de la prestación farmacéutica con el fin de verificar si los precios establecidos para los medic</w:t>
      </w:r>
      <w:r w:rsidRPr="00D31BD4">
        <w:rPr>
          <w:rFonts w:cs="Arial"/>
        </w:rPr>
        <w:t>a</w:t>
      </w:r>
      <w:r w:rsidRPr="00D31BD4">
        <w:rPr>
          <w:rFonts w:cs="Arial"/>
        </w:rPr>
        <w:t xml:space="preserve">mentos y/o productos sanitarios, incluidos descuentos y abonos, así como los porcentajes de aportación </w:t>
      </w:r>
      <w:r>
        <w:rPr>
          <w:rFonts w:cs="Arial"/>
        </w:rPr>
        <w:t>de</w:t>
      </w:r>
      <w:r w:rsidRPr="00D31BD4">
        <w:rPr>
          <w:rFonts w:cs="Arial"/>
        </w:rPr>
        <w:t xml:space="preserve"> los ciudadanos, y por ende </w:t>
      </w:r>
      <w:r>
        <w:rPr>
          <w:rFonts w:cs="Arial"/>
        </w:rPr>
        <w:t>e</w:t>
      </w:r>
      <w:r w:rsidRPr="00D31BD4">
        <w:rPr>
          <w:rFonts w:cs="Arial"/>
        </w:rPr>
        <w:t>l gasto del SNS-O, se adecúan a la normativa aplicable.</w:t>
      </w:r>
    </w:p>
    <w:p w:rsidR="00C9781F" w:rsidRPr="00D31BD4" w:rsidRDefault="00C9781F" w:rsidP="002303D6">
      <w:pPr>
        <w:pStyle w:val="texto"/>
        <w:numPr>
          <w:ilvl w:val="0"/>
          <w:numId w:val="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D31BD4">
        <w:rPr>
          <w:rFonts w:cs="Arial"/>
        </w:rPr>
        <w:t>Realizar una auditoría financiera para constatar si las partidas presupuest</w:t>
      </w:r>
      <w:r w:rsidRPr="00D31BD4">
        <w:rPr>
          <w:rFonts w:cs="Arial"/>
        </w:rPr>
        <w:t>a</w:t>
      </w:r>
      <w:r w:rsidRPr="00D31BD4">
        <w:rPr>
          <w:rFonts w:cs="Arial"/>
        </w:rPr>
        <w:t xml:space="preserve">rias </w:t>
      </w:r>
      <w:r>
        <w:rPr>
          <w:rFonts w:cs="Arial"/>
        </w:rPr>
        <w:t>d</w:t>
      </w:r>
      <w:r w:rsidRPr="00D31BD4">
        <w:rPr>
          <w:rFonts w:cs="Arial"/>
        </w:rPr>
        <w:t>el gasto de la prestación farmacéutica correspondientes al ejercicio 2017 se han preparado en todos los aspectos significativos, de conformidad con el marco normativo de información financiera que resulta de aplicación y, en pa</w:t>
      </w:r>
      <w:r w:rsidRPr="00D31BD4">
        <w:rPr>
          <w:rFonts w:cs="Arial"/>
        </w:rPr>
        <w:t>r</w:t>
      </w:r>
      <w:r w:rsidRPr="00D31BD4">
        <w:rPr>
          <w:rFonts w:cs="Arial"/>
        </w:rPr>
        <w:t xml:space="preserve">ticular, con los principios y criterios contables contenidos en el mismo. </w:t>
      </w:r>
    </w:p>
    <w:p w:rsidR="00C9781F" w:rsidRDefault="00C9781F" w:rsidP="00C9781F">
      <w:pPr>
        <w:pStyle w:val="texto"/>
        <w:spacing w:before="120" w:after="100"/>
        <w:rPr>
          <w:szCs w:val="26"/>
        </w:rPr>
      </w:pPr>
      <w:r>
        <w:rPr>
          <w:szCs w:val="26"/>
        </w:rPr>
        <w:t>El alcance temporal de nuestro trabajo ha sido el periodo 2013-2018, si bien en la evolución del gasto no se ha considerado el correspondiente a 2018 al no estar aprobadas las cuentas anuales de la Administración de la Comunidad F</w:t>
      </w:r>
      <w:r>
        <w:rPr>
          <w:szCs w:val="26"/>
        </w:rPr>
        <w:t>o</w:t>
      </w:r>
      <w:r>
        <w:rPr>
          <w:szCs w:val="26"/>
        </w:rPr>
        <w:t xml:space="preserve">ral. </w:t>
      </w:r>
    </w:p>
    <w:p w:rsidR="00C9781F" w:rsidRPr="005355B5" w:rsidRDefault="00C9781F" w:rsidP="00C9781F">
      <w:pPr>
        <w:pStyle w:val="texto"/>
        <w:spacing w:before="120" w:after="100"/>
        <w:rPr>
          <w:szCs w:val="26"/>
        </w:rPr>
      </w:pPr>
      <w:r>
        <w:rPr>
          <w:szCs w:val="26"/>
        </w:rPr>
        <w:t>Por otro lado,</w:t>
      </w:r>
      <w:r w:rsidRPr="005355B5">
        <w:rPr>
          <w:szCs w:val="26"/>
        </w:rPr>
        <w:t xml:space="preserve"> </w:t>
      </w:r>
      <w:r>
        <w:rPr>
          <w:szCs w:val="26"/>
        </w:rPr>
        <w:t>hemos analizado</w:t>
      </w:r>
      <w:r w:rsidRPr="005355B5">
        <w:rPr>
          <w:szCs w:val="26"/>
        </w:rPr>
        <w:t xml:space="preserve"> la siguiente información: </w:t>
      </w:r>
    </w:p>
    <w:p w:rsidR="00C9781F" w:rsidRPr="00D31BD4" w:rsidRDefault="00C9781F" w:rsidP="002303D6">
      <w:pPr>
        <w:pStyle w:val="texto"/>
        <w:numPr>
          <w:ilvl w:val="0"/>
          <w:numId w:val="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D31BD4">
        <w:rPr>
          <w:rFonts w:cs="Arial"/>
        </w:rPr>
        <w:t xml:space="preserve">Ejecuciones presupuestarias de las partidas de gasto relacionadas con la prestación farmacéutica para el periodo 2013-2017. </w:t>
      </w:r>
    </w:p>
    <w:p w:rsidR="00C9781F" w:rsidRPr="00D31BD4" w:rsidRDefault="00C9781F" w:rsidP="002303D6">
      <w:pPr>
        <w:pStyle w:val="texto"/>
        <w:numPr>
          <w:ilvl w:val="0"/>
          <w:numId w:val="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D31BD4">
        <w:rPr>
          <w:rFonts w:cs="Arial"/>
        </w:rPr>
        <w:t>Normativa aplicable a la prestación farmacéutica.</w:t>
      </w:r>
    </w:p>
    <w:p w:rsidR="00C9781F" w:rsidRPr="00D31BD4" w:rsidRDefault="00C9781F" w:rsidP="002303D6">
      <w:pPr>
        <w:pStyle w:val="texto"/>
        <w:numPr>
          <w:ilvl w:val="0"/>
          <w:numId w:val="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D31BD4">
        <w:rPr>
          <w:rFonts w:cs="Arial"/>
        </w:rPr>
        <w:t>Procedimiento de gestión de la prestación del SNS-O incluyendo la rev</w:t>
      </w:r>
      <w:r w:rsidRPr="00D31BD4">
        <w:rPr>
          <w:rFonts w:cs="Arial"/>
        </w:rPr>
        <w:t>i</w:t>
      </w:r>
      <w:r w:rsidRPr="00D31BD4">
        <w:rPr>
          <w:rFonts w:cs="Arial"/>
        </w:rPr>
        <w:t xml:space="preserve">sión de los sistemas de información y de control interno involucrados. </w:t>
      </w:r>
    </w:p>
    <w:p w:rsidR="00C9781F" w:rsidRPr="001C490B" w:rsidRDefault="00C9781F" w:rsidP="00C9781F">
      <w:pPr>
        <w:pStyle w:val="texto"/>
        <w:tabs>
          <w:tab w:val="clear" w:pos="2835"/>
          <w:tab w:val="clear" w:pos="3969"/>
          <w:tab w:val="clear" w:pos="5103"/>
          <w:tab w:val="clear" w:pos="6237"/>
          <w:tab w:val="clear" w:pos="7371"/>
        </w:tabs>
        <w:spacing w:after="100"/>
        <w:rPr>
          <w:szCs w:val="26"/>
        </w:rPr>
      </w:pPr>
      <w:r w:rsidRPr="001C490B">
        <w:rPr>
          <w:szCs w:val="26"/>
        </w:rPr>
        <w:t xml:space="preserve">Ello ha supuesto realizar </w:t>
      </w:r>
      <w:r>
        <w:rPr>
          <w:szCs w:val="26"/>
        </w:rPr>
        <w:t>3</w:t>
      </w:r>
      <w:r w:rsidR="0036517C">
        <w:rPr>
          <w:szCs w:val="26"/>
        </w:rPr>
        <w:t>5</w:t>
      </w:r>
      <w:r w:rsidRPr="001C490B">
        <w:rPr>
          <w:szCs w:val="26"/>
        </w:rPr>
        <w:t xml:space="preserve"> controles, de los cuales </w:t>
      </w:r>
      <w:r>
        <w:rPr>
          <w:szCs w:val="26"/>
        </w:rPr>
        <w:t>cinco</w:t>
      </w:r>
      <w:r w:rsidRPr="001C490B">
        <w:rPr>
          <w:szCs w:val="26"/>
        </w:rPr>
        <w:t xml:space="preserve"> son generales y </w:t>
      </w:r>
      <w:r w:rsidR="0036517C">
        <w:rPr>
          <w:szCs w:val="26"/>
        </w:rPr>
        <w:t>30</w:t>
      </w:r>
      <w:r w:rsidRPr="001C490B">
        <w:rPr>
          <w:szCs w:val="26"/>
        </w:rPr>
        <w:t xml:space="preserve"> específicos del procedimiento de gestión de la prestación farmacéutica. </w:t>
      </w:r>
    </w:p>
    <w:p w:rsidR="00C9781F" w:rsidRDefault="00C9781F" w:rsidP="00C9781F">
      <w:pPr>
        <w:pStyle w:val="texto"/>
        <w:tabs>
          <w:tab w:val="clear" w:pos="2835"/>
          <w:tab w:val="clear" w:pos="3969"/>
          <w:tab w:val="clear" w:pos="5103"/>
          <w:tab w:val="clear" w:pos="6237"/>
          <w:tab w:val="clear" w:pos="7371"/>
        </w:tabs>
        <w:spacing w:after="0"/>
        <w:rPr>
          <w:szCs w:val="26"/>
        </w:rPr>
      </w:pPr>
      <w:r>
        <w:rPr>
          <w:szCs w:val="26"/>
        </w:rPr>
        <w:t>Los controles generales están relacionados con la infraestructura global de tecnología informática de la entidad sin ser específicos de alguna aplicación. Son las políticas y procedimientos que se aplican a los sistemas de inform</w:t>
      </w:r>
      <w:r>
        <w:rPr>
          <w:szCs w:val="26"/>
        </w:rPr>
        <w:t>a</w:t>
      </w:r>
      <w:r>
        <w:rPr>
          <w:szCs w:val="26"/>
        </w:rPr>
        <w:t>ción, que ayudan a asegurar su correcto funcionamiento, y proporcionan, si funcionan adecuadamente, una garantía razonable sobre la seguridad, dispon</w:t>
      </w:r>
      <w:r>
        <w:rPr>
          <w:szCs w:val="26"/>
        </w:rPr>
        <w:t>i</w:t>
      </w:r>
      <w:r>
        <w:rPr>
          <w:szCs w:val="26"/>
        </w:rPr>
        <w:t>bilidad, integridad y confidencialidad de la información y posibilitan que los controles de las aplicaciones puedan funcionar adecuadamente.</w:t>
      </w:r>
    </w:p>
    <w:p w:rsidR="00C9781F" w:rsidRDefault="00C9781F" w:rsidP="00C9781F">
      <w:pPr>
        <w:pStyle w:val="texto"/>
        <w:tabs>
          <w:tab w:val="clear" w:pos="2835"/>
          <w:tab w:val="clear" w:pos="3969"/>
          <w:tab w:val="clear" w:pos="5103"/>
          <w:tab w:val="clear" w:pos="6237"/>
          <w:tab w:val="clear" w:pos="7371"/>
        </w:tabs>
        <w:spacing w:after="100"/>
        <w:rPr>
          <w:szCs w:val="26"/>
        </w:rPr>
      </w:pPr>
      <w:r>
        <w:rPr>
          <w:szCs w:val="26"/>
        </w:rPr>
        <w:lastRenderedPageBreak/>
        <w:t>Los controles específicos son aquellos que tienen por finalidad asegurar la integridad, exactitud y validez de las transacciones y datos durante todo el pr</w:t>
      </w:r>
      <w:r>
        <w:rPr>
          <w:szCs w:val="26"/>
        </w:rPr>
        <w:t>o</w:t>
      </w:r>
      <w:r>
        <w:rPr>
          <w:szCs w:val="26"/>
        </w:rPr>
        <w:t>ceso (manual o automatizado) de las operaciones de gestión de la prestación farmacéutica. Deben asegurar razonablemente que todas las transacciones son iniciadas, autorizadas, procesadas y registradas de forma completa, adecuada y oportuna, así como el cumplimiento de la normativa aplicable.</w:t>
      </w:r>
    </w:p>
    <w:p w:rsidR="00C9781F" w:rsidRDefault="00C9781F" w:rsidP="002303D6">
      <w:pPr>
        <w:pStyle w:val="texto"/>
        <w:numPr>
          <w:ilvl w:val="0"/>
          <w:numId w:val="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D31BD4">
        <w:rPr>
          <w:rFonts w:cs="Arial"/>
        </w:rPr>
        <w:t>Hemos llevado a cabo 2</w:t>
      </w:r>
      <w:r w:rsidR="0036517C">
        <w:rPr>
          <w:rFonts w:cs="Arial"/>
        </w:rPr>
        <w:t>7</w:t>
      </w:r>
      <w:r w:rsidRPr="00D31BD4">
        <w:rPr>
          <w:rFonts w:cs="Arial"/>
        </w:rPr>
        <w:t xml:space="preserve"> pruebas sustantivas que incluyen, entre otros a</w:t>
      </w:r>
      <w:r w:rsidRPr="00D31BD4">
        <w:rPr>
          <w:rFonts w:cs="Arial"/>
        </w:rPr>
        <w:t>s</w:t>
      </w:r>
      <w:r w:rsidRPr="00D31BD4">
        <w:rPr>
          <w:rFonts w:cs="Arial"/>
        </w:rPr>
        <w:t>pectos, la revisión de la factura del mes de noviembre de 2017 (11,54 millones de euros) y la de agosto de 2018 (11,80 millones de euros), así como una mue</w:t>
      </w:r>
      <w:r w:rsidRPr="00D31BD4">
        <w:rPr>
          <w:rFonts w:cs="Arial"/>
        </w:rPr>
        <w:t>s</w:t>
      </w:r>
      <w:r w:rsidRPr="00D31BD4">
        <w:rPr>
          <w:rFonts w:cs="Arial"/>
        </w:rPr>
        <w:t>tra de 98 tickets correspondientes a dispensaciones en 50 oficinas de farmacia, para un total de 147 medicamentos, que supusieron un importe de 2.941 euros, de los cuales los pacientes aportaron un total de 704 euros.</w:t>
      </w:r>
    </w:p>
    <w:p w:rsidR="00C9781F" w:rsidRPr="00D31BD4" w:rsidRDefault="00C9781F" w:rsidP="002303D6">
      <w:pPr>
        <w:pStyle w:val="texto"/>
        <w:numPr>
          <w:ilvl w:val="0"/>
          <w:numId w:val="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Hemos realizado los controles y pruebas sustantivas analizando masiv</w:t>
      </w:r>
      <w:r>
        <w:rPr>
          <w:rFonts w:cs="Arial"/>
        </w:rPr>
        <w:t>a</w:t>
      </w:r>
      <w:r>
        <w:rPr>
          <w:rFonts w:cs="Arial"/>
        </w:rPr>
        <w:t>mente datos por primera vez, con el detalle expuesto en el epígrafe V.</w:t>
      </w:r>
      <w:r w:rsidR="0036517C">
        <w:rPr>
          <w:rFonts w:cs="Arial"/>
        </w:rPr>
        <w:t>1</w:t>
      </w:r>
      <w:r>
        <w:rPr>
          <w:rFonts w:cs="Arial"/>
        </w:rPr>
        <w:t>. de este informe, lo cual ha posibilitado la obtención de una evidencia significativame</w:t>
      </w:r>
      <w:r>
        <w:rPr>
          <w:rFonts w:cs="Arial"/>
        </w:rPr>
        <w:t>n</w:t>
      </w:r>
      <w:r>
        <w:rPr>
          <w:rFonts w:cs="Arial"/>
        </w:rPr>
        <w:t xml:space="preserve">te mayor a la recabada en cualquier otro trabajo llevado a cabo previamente. </w:t>
      </w:r>
    </w:p>
    <w:p w:rsidR="00C9781F" w:rsidRDefault="00C9781F" w:rsidP="00C9781F">
      <w:pPr>
        <w:pStyle w:val="texto"/>
        <w:spacing w:after="100"/>
        <w:rPr>
          <w:szCs w:val="26"/>
        </w:rPr>
      </w:pPr>
      <w:r w:rsidRPr="008A5A88">
        <w:rPr>
          <w:szCs w:val="26"/>
        </w:rPr>
        <w:t xml:space="preserve">El alcance de nuestro trabajo se ha visto limitado significativamente </w:t>
      </w:r>
      <w:r>
        <w:rPr>
          <w:szCs w:val="26"/>
        </w:rPr>
        <w:t>ya</w:t>
      </w:r>
      <w:r w:rsidRPr="008A5A88">
        <w:rPr>
          <w:szCs w:val="26"/>
        </w:rPr>
        <w:t xml:space="preserve"> que la HTN </w:t>
      </w:r>
      <w:r>
        <w:rPr>
          <w:szCs w:val="26"/>
        </w:rPr>
        <w:t>no nos ha facilitado e</w:t>
      </w:r>
      <w:r w:rsidRPr="008A5A88">
        <w:rPr>
          <w:szCs w:val="26"/>
        </w:rPr>
        <w:t>l fichero que remite a</w:t>
      </w:r>
      <w:r>
        <w:rPr>
          <w:szCs w:val="26"/>
        </w:rPr>
        <w:t>l INSS</w:t>
      </w:r>
      <w:r w:rsidRPr="008A5A88">
        <w:rPr>
          <w:szCs w:val="26"/>
        </w:rPr>
        <w:t xml:space="preserve"> con los datos corre</w:t>
      </w:r>
      <w:r w:rsidRPr="008A5A88">
        <w:rPr>
          <w:szCs w:val="26"/>
        </w:rPr>
        <w:t>s</w:t>
      </w:r>
      <w:r w:rsidRPr="008A5A88">
        <w:rPr>
          <w:szCs w:val="26"/>
        </w:rPr>
        <w:t xml:space="preserve">pondientes a </w:t>
      </w:r>
      <w:r>
        <w:rPr>
          <w:szCs w:val="26"/>
        </w:rPr>
        <w:t>determinadas</w:t>
      </w:r>
      <w:r w:rsidRPr="008A5A88">
        <w:rPr>
          <w:szCs w:val="26"/>
        </w:rPr>
        <w:t xml:space="preserve"> casillas de la declaración de la renta de los ciudad</w:t>
      </w:r>
      <w:r w:rsidRPr="008A5A88">
        <w:rPr>
          <w:szCs w:val="26"/>
        </w:rPr>
        <w:t>a</w:t>
      </w:r>
      <w:r w:rsidRPr="008A5A88">
        <w:rPr>
          <w:szCs w:val="26"/>
        </w:rPr>
        <w:t>nos; esta información es muy relevante ya que</w:t>
      </w:r>
      <w:r>
        <w:rPr>
          <w:szCs w:val="26"/>
        </w:rPr>
        <w:t xml:space="preserve"> le</w:t>
      </w:r>
      <w:r w:rsidRPr="008A5A88">
        <w:rPr>
          <w:szCs w:val="26"/>
        </w:rPr>
        <w:t xml:space="preserve"> permite</w:t>
      </w:r>
      <w:r>
        <w:rPr>
          <w:szCs w:val="26"/>
        </w:rPr>
        <w:t xml:space="preserve"> a ese instituto</w:t>
      </w:r>
      <w:r w:rsidRPr="008A5A88">
        <w:rPr>
          <w:szCs w:val="26"/>
        </w:rPr>
        <w:t xml:space="preserve"> obtener el porcentaje de aportación de cada persona al pago de los medicamentos, y por </w:t>
      </w:r>
      <w:r>
        <w:rPr>
          <w:szCs w:val="26"/>
        </w:rPr>
        <w:t>diferencia</w:t>
      </w:r>
      <w:r w:rsidRPr="008A5A88">
        <w:rPr>
          <w:szCs w:val="26"/>
        </w:rPr>
        <w:t>,</w:t>
      </w:r>
      <w:r>
        <w:rPr>
          <w:szCs w:val="26"/>
        </w:rPr>
        <w:t xml:space="preserve"> </w:t>
      </w:r>
      <w:r w:rsidRPr="008A5A88">
        <w:rPr>
          <w:szCs w:val="26"/>
        </w:rPr>
        <w:t xml:space="preserve">el gasto que corresponde al </w:t>
      </w:r>
      <w:r>
        <w:rPr>
          <w:szCs w:val="26"/>
        </w:rPr>
        <w:t>SNS-O</w:t>
      </w:r>
      <w:r w:rsidRPr="008A5A88">
        <w:rPr>
          <w:szCs w:val="26"/>
        </w:rPr>
        <w:t xml:space="preserve">. </w:t>
      </w:r>
    </w:p>
    <w:p w:rsidR="00C9781F" w:rsidRPr="00E83B0A" w:rsidRDefault="00C9781F" w:rsidP="00C9781F">
      <w:pPr>
        <w:pStyle w:val="texto"/>
        <w:spacing w:after="100"/>
        <w:rPr>
          <w:szCs w:val="26"/>
        </w:rPr>
      </w:pPr>
      <w:r w:rsidRPr="00E83B0A">
        <w:rPr>
          <w:szCs w:val="26"/>
        </w:rPr>
        <w:t>En concreto, tras solicitar este fichero, la Sección de Impulso de Proyectos, Mejora de Procedimientos y Seguridad del Servicio de Sistemas de Información Tributaria, nos comunicó a través de un informe que no era posible la cesión de esta información</w:t>
      </w:r>
      <w:r w:rsidR="00E83B0A" w:rsidRPr="00E83B0A">
        <w:rPr>
          <w:szCs w:val="26"/>
        </w:rPr>
        <w:t>, dado que estaba fuera del ámbito competencial de esta Cám</w:t>
      </w:r>
      <w:r w:rsidR="00E83B0A" w:rsidRPr="00E83B0A">
        <w:rPr>
          <w:szCs w:val="26"/>
        </w:rPr>
        <w:t>a</w:t>
      </w:r>
      <w:r w:rsidR="00E83B0A" w:rsidRPr="00E83B0A">
        <w:rPr>
          <w:szCs w:val="26"/>
        </w:rPr>
        <w:t>ra e incumplía algunos principios de la Ley de Protección de Datos.</w:t>
      </w:r>
    </w:p>
    <w:p w:rsidR="00C9781F" w:rsidRDefault="00C9781F" w:rsidP="00C9781F">
      <w:pPr>
        <w:pStyle w:val="texto"/>
        <w:spacing w:after="100"/>
        <w:rPr>
          <w:szCs w:val="26"/>
        </w:rPr>
      </w:pPr>
      <w:r>
        <w:rPr>
          <w:szCs w:val="26"/>
        </w:rPr>
        <w:t xml:space="preserve">Ante esta situación, la Asesoría Jurídica de la Cámara de Comptos emitió un informe jurídico en el que se analizaba la denegación de acceso a este fichero y sus principales conclusiones fueron las siguientes: </w:t>
      </w:r>
    </w:p>
    <w:p w:rsidR="00C9781F" w:rsidRPr="00D31BD4" w:rsidRDefault="00C9781F" w:rsidP="002303D6">
      <w:pPr>
        <w:pStyle w:val="texto"/>
        <w:numPr>
          <w:ilvl w:val="0"/>
          <w:numId w:val="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D31BD4">
        <w:rPr>
          <w:rFonts w:cs="Arial"/>
        </w:rPr>
        <w:t>El artículo 105.1.g) de la Ley Foral 13/2000 General Tributaria indica e</w:t>
      </w:r>
      <w:r w:rsidRPr="00D31BD4">
        <w:rPr>
          <w:rFonts w:cs="Arial"/>
        </w:rPr>
        <w:t>x</w:t>
      </w:r>
      <w:r w:rsidRPr="00D31BD4">
        <w:rPr>
          <w:rFonts w:cs="Arial"/>
        </w:rPr>
        <w:t>presamente lo siguiente:</w:t>
      </w:r>
    </w:p>
    <w:p w:rsidR="00C9781F" w:rsidRPr="00D31BD4" w:rsidRDefault="00C9781F" w:rsidP="00C9781F">
      <w:pPr>
        <w:autoSpaceDE w:val="0"/>
        <w:autoSpaceDN w:val="0"/>
        <w:adjustRightInd w:val="0"/>
        <w:spacing w:after="120"/>
        <w:ind w:firstLine="426"/>
        <w:rPr>
          <w:i/>
          <w:spacing w:val="6"/>
        </w:rPr>
      </w:pPr>
      <w:r w:rsidRPr="00D31BD4">
        <w:rPr>
          <w:i/>
          <w:spacing w:val="6"/>
        </w:rPr>
        <w:t>“…..1. Los datos, informes o antecedentes obtenidos por la Administración tributaria en el desempeño de sus funciones tienen carácter reservado y sólo podrán ser utilizados para la efectiva aplicación de los tributos o recursos cuya gestión tenga encomendada, sin que puedan ser cedidos o comunicados a terceros, salvo que la cesión tenga por objeto:</w:t>
      </w:r>
    </w:p>
    <w:p w:rsidR="00C9781F" w:rsidRPr="00D31BD4" w:rsidRDefault="00C9781F" w:rsidP="00C9781F">
      <w:pPr>
        <w:autoSpaceDE w:val="0"/>
        <w:autoSpaceDN w:val="0"/>
        <w:adjustRightInd w:val="0"/>
        <w:spacing w:after="120"/>
        <w:ind w:firstLine="426"/>
        <w:rPr>
          <w:i/>
          <w:spacing w:val="6"/>
        </w:rPr>
      </w:pPr>
      <w:r w:rsidRPr="00D31BD4">
        <w:rPr>
          <w:i/>
          <w:spacing w:val="6"/>
        </w:rPr>
        <w:t>…..g) La colaboración con la Cámara de Comptos en el ejercicio de sus funciones de fiscaliz</w:t>
      </w:r>
      <w:r w:rsidRPr="00D31BD4">
        <w:rPr>
          <w:i/>
          <w:spacing w:val="6"/>
        </w:rPr>
        <w:t>a</w:t>
      </w:r>
      <w:r w:rsidRPr="00D31BD4">
        <w:rPr>
          <w:i/>
          <w:spacing w:val="6"/>
        </w:rPr>
        <w:t>ción del Departamento de Economía y Hacienda…”.</w:t>
      </w:r>
    </w:p>
    <w:p w:rsidR="00E83B0A" w:rsidRDefault="00E83B0A">
      <w:pPr>
        <w:spacing w:after="0"/>
        <w:ind w:firstLine="0"/>
        <w:jc w:val="left"/>
        <w:rPr>
          <w:rFonts w:cs="Arial"/>
          <w:spacing w:val="6"/>
          <w:sz w:val="26"/>
          <w:szCs w:val="24"/>
        </w:rPr>
      </w:pPr>
      <w:r>
        <w:rPr>
          <w:rFonts w:cs="Arial"/>
        </w:rPr>
        <w:br w:type="page"/>
      </w:r>
    </w:p>
    <w:p w:rsidR="00C9781F" w:rsidRPr="00D31BD4" w:rsidRDefault="00C9781F" w:rsidP="002303D6">
      <w:pPr>
        <w:pStyle w:val="texto"/>
        <w:numPr>
          <w:ilvl w:val="0"/>
          <w:numId w:val="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D31BD4">
        <w:rPr>
          <w:rFonts w:cs="Arial"/>
        </w:rPr>
        <w:lastRenderedPageBreak/>
        <w:t>El artículo 10 de la Ley Foral 19/1984 de la Cámara de Comptos establece lo siguiente:</w:t>
      </w:r>
    </w:p>
    <w:p w:rsidR="00C9781F" w:rsidRPr="00D31BD4" w:rsidRDefault="00C9781F" w:rsidP="00C9781F">
      <w:pPr>
        <w:autoSpaceDE w:val="0"/>
        <w:autoSpaceDN w:val="0"/>
        <w:adjustRightInd w:val="0"/>
        <w:spacing w:after="120"/>
        <w:ind w:firstLine="426"/>
        <w:rPr>
          <w:i/>
          <w:spacing w:val="6"/>
        </w:rPr>
      </w:pPr>
      <w:r w:rsidRPr="00D31BD4">
        <w:rPr>
          <w:i/>
          <w:spacing w:val="6"/>
        </w:rPr>
        <w:t>“…1. En el ejercicio de las funciones de control y fiscalización, la Cámara de Comptos estará facultada para:</w:t>
      </w:r>
    </w:p>
    <w:p w:rsidR="00C9781F" w:rsidRPr="00D31BD4" w:rsidRDefault="00C9781F" w:rsidP="00C9781F">
      <w:pPr>
        <w:autoSpaceDE w:val="0"/>
        <w:autoSpaceDN w:val="0"/>
        <w:adjustRightInd w:val="0"/>
        <w:spacing w:after="120"/>
        <w:ind w:firstLine="426"/>
        <w:rPr>
          <w:i/>
          <w:spacing w:val="6"/>
        </w:rPr>
      </w:pPr>
      <w:r w:rsidRPr="00D31BD4">
        <w:rPr>
          <w:i/>
          <w:spacing w:val="6"/>
        </w:rPr>
        <w:t>a) Exigir cuantos Organismos y Entidades integren el sector público navarro los datos, info</w:t>
      </w:r>
      <w:r w:rsidRPr="00D31BD4">
        <w:rPr>
          <w:i/>
          <w:spacing w:val="6"/>
        </w:rPr>
        <w:t>r</w:t>
      </w:r>
      <w:r w:rsidRPr="00D31BD4">
        <w:rPr>
          <w:i/>
          <w:spacing w:val="6"/>
        </w:rPr>
        <w:t>mes, documentos o antecedentes necesarios para el desarrollo de sus funciones.</w:t>
      </w:r>
    </w:p>
    <w:p w:rsidR="00C9781F" w:rsidRPr="00D31BD4" w:rsidRDefault="00C9781F" w:rsidP="00C9781F">
      <w:pPr>
        <w:autoSpaceDE w:val="0"/>
        <w:autoSpaceDN w:val="0"/>
        <w:adjustRightInd w:val="0"/>
        <w:spacing w:after="120"/>
        <w:ind w:firstLine="426"/>
        <w:rPr>
          <w:i/>
          <w:spacing w:val="6"/>
        </w:rPr>
      </w:pPr>
      <w:r w:rsidRPr="00D31BD4">
        <w:rPr>
          <w:i/>
          <w:spacing w:val="6"/>
        </w:rPr>
        <w:t>b) Inspeccionar y comprobar toda la documentación de las oficinas públicas, libros, metálico y valores, las dependencias, depósitos y almacenes, y en general cualesquiera otros establecimientos, en cuanto estimase necesario para el desarrollo de sus funciones.</w:t>
      </w:r>
    </w:p>
    <w:p w:rsidR="00C9781F" w:rsidRPr="00D31BD4" w:rsidRDefault="00C9781F" w:rsidP="00C9781F">
      <w:pPr>
        <w:autoSpaceDE w:val="0"/>
        <w:autoSpaceDN w:val="0"/>
        <w:adjustRightInd w:val="0"/>
        <w:spacing w:after="120"/>
        <w:ind w:firstLine="426"/>
        <w:rPr>
          <w:i/>
          <w:spacing w:val="6"/>
        </w:rPr>
      </w:pPr>
      <w:r w:rsidRPr="00D31BD4">
        <w:rPr>
          <w:i/>
          <w:spacing w:val="6"/>
        </w:rPr>
        <w:t>2. La Cámara de Comptos podrá fijar plazos para la presentación de la información a que se r</w:t>
      </w:r>
      <w:r w:rsidRPr="00D31BD4">
        <w:rPr>
          <w:i/>
          <w:spacing w:val="6"/>
        </w:rPr>
        <w:t>e</w:t>
      </w:r>
      <w:r w:rsidRPr="00D31BD4">
        <w:rPr>
          <w:i/>
          <w:spacing w:val="6"/>
        </w:rPr>
        <w:t>fiere el párrafo anterior.</w:t>
      </w:r>
    </w:p>
    <w:p w:rsidR="00C9781F" w:rsidRPr="00D31BD4" w:rsidRDefault="00C9781F" w:rsidP="00C9781F">
      <w:pPr>
        <w:autoSpaceDE w:val="0"/>
        <w:autoSpaceDN w:val="0"/>
        <w:adjustRightInd w:val="0"/>
        <w:spacing w:after="120"/>
        <w:ind w:firstLine="426"/>
        <w:rPr>
          <w:i/>
          <w:spacing w:val="6"/>
        </w:rPr>
      </w:pPr>
      <w:r w:rsidRPr="00D31BD4">
        <w:rPr>
          <w:i/>
          <w:spacing w:val="6"/>
        </w:rPr>
        <w:t>3. El incumplimiento de los plazos fijados por la Cámara o la negativa a remitir la información solicitada, podrá dar lugar a la adopción por aquélla de las siguientes medidas:</w:t>
      </w:r>
    </w:p>
    <w:p w:rsidR="00C9781F" w:rsidRPr="00D31BD4" w:rsidRDefault="00C9781F" w:rsidP="00C9781F">
      <w:pPr>
        <w:autoSpaceDE w:val="0"/>
        <w:autoSpaceDN w:val="0"/>
        <w:adjustRightInd w:val="0"/>
        <w:spacing w:after="120"/>
        <w:ind w:firstLine="426"/>
        <w:rPr>
          <w:i/>
          <w:spacing w:val="6"/>
        </w:rPr>
      </w:pPr>
      <w:r w:rsidRPr="00D31BD4">
        <w:rPr>
          <w:i/>
          <w:spacing w:val="6"/>
        </w:rPr>
        <w:t>a) Requerimiento conminatorio por escrito de los obligados a colaboración.</w:t>
      </w:r>
    </w:p>
    <w:p w:rsidR="00C9781F" w:rsidRPr="00D31BD4" w:rsidRDefault="00C9781F" w:rsidP="00C9781F">
      <w:pPr>
        <w:autoSpaceDE w:val="0"/>
        <w:autoSpaceDN w:val="0"/>
        <w:adjustRightInd w:val="0"/>
        <w:spacing w:after="120"/>
        <w:ind w:firstLine="426"/>
        <w:rPr>
          <w:i/>
          <w:spacing w:val="6"/>
        </w:rPr>
      </w:pPr>
      <w:r w:rsidRPr="00D31BD4">
        <w:rPr>
          <w:i/>
          <w:spacing w:val="6"/>
        </w:rPr>
        <w:t>b) Notificación a sus superiores.</w:t>
      </w:r>
    </w:p>
    <w:p w:rsidR="00C9781F" w:rsidRPr="00D31BD4" w:rsidRDefault="00C9781F" w:rsidP="00C9781F">
      <w:pPr>
        <w:autoSpaceDE w:val="0"/>
        <w:autoSpaceDN w:val="0"/>
        <w:adjustRightInd w:val="0"/>
        <w:spacing w:after="120"/>
        <w:ind w:firstLine="426"/>
        <w:rPr>
          <w:i/>
          <w:spacing w:val="6"/>
        </w:rPr>
      </w:pPr>
      <w:r w:rsidRPr="00D31BD4">
        <w:rPr>
          <w:i/>
          <w:spacing w:val="6"/>
        </w:rPr>
        <w:t>c) Comunicación a la Diputación Foral o Gobierno de Navarra.</w:t>
      </w:r>
    </w:p>
    <w:p w:rsidR="00C9781F" w:rsidRPr="00D31BD4" w:rsidRDefault="00C9781F" w:rsidP="00C9781F">
      <w:pPr>
        <w:autoSpaceDE w:val="0"/>
        <w:autoSpaceDN w:val="0"/>
        <w:adjustRightInd w:val="0"/>
        <w:spacing w:after="120"/>
        <w:ind w:firstLine="426"/>
        <w:rPr>
          <w:i/>
          <w:spacing w:val="6"/>
        </w:rPr>
      </w:pPr>
      <w:r w:rsidRPr="00D31BD4">
        <w:rPr>
          <w:i/>
          <w:spacing w:val="6"/>
        </w:rPr>
        <w:t>4. La Cámara de Comptos pondrá en conocimiento del Parlamento de Navarra la falta de col</w:t>
      </w:r>
      <w:r w:rsidRPr="00D31BD4">
        <w:rPr>
          <w:i/>
          <w:spacing w:val="6"/>
        </w:rPr>
        <w:t>a</w:t>
      </w:r>
      <w:r w:rsidRPr="00D31BD4">
        <w:rPr>
          <w:i/>
          <w:spacing w:val="6"/>
        </w:rPr>
        <w:t>boración de los obligados a prestársela.</w:t>
      </w:r>
    </w:p>
    <w:p w:rsidR="00C9781F" w:rsidRPr="00D31BD4" w:rsidRDefault="00C9781F" w:rsidP="002303D6">
      <w:pPr>
        <w:pStyle w:val="texto"/>
        <w:numPr>
          <w:ilvl w:val="0"/>
          <w:numId w:val="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D31BD4">
        <w:rPr>
          <w:rFonts w:cs="Arial"/>
        </w:rPr>
        <w:t xml:space="preserve">Teniendo en cuenta, entre </w:t>
      </w:r>
      <w:r>
        <w:rPr>
          <w:rFonts w:cs="Arial"/>
        </w:rPr>
        <w:t>otra,</w:t>
      </w:r>
      <w:r w:rsidRPr="00D31BD4">
        <w:rPr>
          <w:rFonts w:cs="Arial"/>
        </w:rPr>
        <w:t xml:space="preserve"> la normativa anterior, la HTN no es ajena a la fiscalización de esta Cámara ni desde el punto de vista objetivo ni subjetivo, ya que no nos encontramos ante una solicitud de información concreta de d</w:t>
      </w:r>
      <w:r w:rsidRPr="00D31BD4">
        <w:rPr>
          <w:rFonts w:cs="Arial"/>
        </w:rPr>
        <w:t>e</w:t>
      </w:r>
      <w:r w:rsidRPr="00D31BD4">
        <w:rPr>
          <w:rFonts w:cs="Arial"/>
        </w:rPr>
        <w:t>terminados terceros, sino que nuestro objetivo es analizar el procedimiento de elaboración de un fichero que es fundamental en el proceso objeto de fiscaliz</w:t>
      </w:r>
      <w:r w:rsidRPr="00D31BD4">
        <w:rPr>
          <w:rFonts w:cs="Arial"/>
        </w:rPr>
        <w:t>a</w:t>
      </w:r>
      <w:r>
        <w:rPr>
          <w:rFonts w:cs="Arial"/>
        </w:rPr>
        <w:t>ción, ya que incide directamente en la determinación del gasto del SNS-O rel</w:t>
      </w:r>
      <w:r>
        <w:rPr>
          <w:rFonts w:cs="Arial"/>
        </w:rPr>
        <w:t>a</w:t>
      </w:r>
      <w:r>
        <w:rPr>
          <w:rFonts w:cs="Arial"/>
        </w:rPr>
        <w:t>cionado con la prestación farmacéutica.</w:t>
      </w:r>
    </w:p>
    <w:p w:rsidR="00C9781F" w:rsidRPr="00D31BD4" w:rsidRDefault="00C9781F" w:rsidP="002303D6">
      <w:pPr>
        <w:pStyle w:val="texto"/>
        <w:numPr>
          <w:ilvl w:val="0"/>
          <w:numId w:val="3"/>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D31BD4">
        <w:rPr>
          <w:rFonts w:cs="Arial"/>
        </w:rPr>
        <w:t xml:space="preserve">El hecho de que la información requerida contenga datos </w:t>
      </w:r>
      <w:r>
        <w:rPr>
          <w:rFonts w:cs="Arial"/>
        </w:rPr>
        <w:t>personales</w:t>
      </w:r>
      <w:r w:rsidRPr="00D31BD4">
        <w:rPr>
          <w:rFonts w:cs="Arial"/>
        </w:rPr>
        <w:t xml:space="preserve"> no implica ninguna limitación al acceso, porque la habilitación legal es conferida en virtud del ejercicio de la función fiscalizadora de esta Cámara.</w:t>
      </w:r>
    </w:p>
    <w:p w:rsidR="00C9781F" w:rsidRPr="0059110B" w:rsidRDefault="00C9781F" w:rsidP="00C9781F">
      <w:pPr>
        <w:pStyle w:val="texto"/>
        <w:rPr>
          <w:szCs w:val="26"/>
        </w:rPr>
      </w:pPr>
      <w:r>
        <w:rPr>
          <w:szCs w:val="26"/>
        </w:rPr>
        <w:t xml:space="preserve">En definitiva, entendemos que </w:t>
      </w:r>
      <w:r>
        <w:t>la negativa de la HTN a colaborar con la C</w:t>
      </w:r>
      <w:r>
        <w:t>á</w:t>
      </w:r>
      <w:r>
        <w:t>mara de Comptos en la presente fiscalización no se ajusta a la normativa apl</w:t>
      </w:r>
      <w:r>
        <w:t>i</w:t>
      </w:r>
      <w:r>
        <w:t>cable.</w:t>
      </w:r>
    </w:p>
    <w:p w:rsidR="00C9781F" w:rsidRPr="008A5A88" w:rsidRDefault="00C9781F" w:rsidP="00C9781F">
      <w:pPr>
        <w:pStyle w:val="texto"/>
        <w:rPr>
          <w:szCs w:val="26"/>
        </w:rPr>
      </w:pPr>
      <w:r w:rsidRPr="008A5A88">
        <w:rPr>
          <w:szCs w:val="26"/>
        </w:rPr>
        <w:t xml:space="preserve">Este hecho ha supuesto que no podamos emitir una opinión sobre si </w:t>
      </w:r>
      <w:r>
        <w:rPr>
          <w:szCs w:val="26"/>
        </w:rPr>
        <w:t>la cua</w:t>
      </w:r>
      <w:r>
        <w:rPr>
          <w:szCs w:val="26"/>
        </w:rPr>
        <w:t>n</w:t>
      </w:r>
      <w:r>
        <w:rPr>
          <w:szCs w:val="26"/>
        </w:rPr>
        <w:t>tía correspondiente a</w:t>
      </w:r>
      <w:r w:rsidRPr="008A5A88">
        <w:rPr>
          <w:szCs w:val="26"/>
        </w:rPr>
        <w:t xml:space="preserve">l gasto del </w:t>
      </w:r>
      <w:r>
        <w:rPr>
          <w:szCs w:val="26"/>
        </w:rPr>
        <w:t>SNS-O</w:t>
      </w:r>
      <w:r w:rsidRPr="008A5A88">
        <w:rPr>
          <w:szCs w:val="26"/>
        </w:rPr>
        <w:t xml:space="preserve"> es razonable</w:t>
      </w:r>
      <w:r>
        <w:rPr>
          <w:szCs w:val="26"/>
        </w:rPr>
        <w:t xml:space="preserve"> y sobre su adecuación a la normativa.</w:t>
      </w:r>
      <w:r w:rsidRPr="008A5A88">
        <w:rPr>
          <w:szCs w:val="26"/>
        </w:rPr>
        <w:t xml:space="preserve"> </w:t>
      </w:r>
    </w:p>
    <w:p w:rsidR="00C9781F" w:rsidRDefault="00C9781F" w:rsidP="00C9781F">
      <w:pPr>
        <w:pStyle w:val="texto"/>
        <w:rPr>
          <w:szCs w:val="26"/>
        </w:rPr>
      </w:pPr>
      <w:r>
        <w:rPr>
          <w:szCs w:val="26"/>
        </w:rPr>
        <w:br w:type="page"/>
      </w:r>
    </w:p>
    <w:p w:rsidR="00C9781F" w:rsidRPr="00BB1925" w:rsidRDefault="00C9781F" w:rsidP="00C9781F">
      <w:pPr>
        <w:pStyle w:val="atitulo1"/>
      </w:pPr>
      <w:bookmarkStart w:id="26" w:name="_Toc3461807"/>
      <w:bookmarkStart w:id="27" w:name="_Toc4671426"/>
      <w:bookmarkStart w:id="28" w:name="_Toc398207038"/>
      <w:bookmarkStart w:id="29" w:name="_Toc432757087"/>
      <w:bookmarkStart w:id="30" w:name="_Toc447195021"/>
      <w:bookmarkStart w:id="31" w:name="_Toc477171874"/>
      <w:bookmarkStart w:id="32" w:name="_Toc432757082"/>
      <w:bookmarkStart w:id="33" w:name="_Toc447195015"/>
      <w:r>
        <w:lastRenderedPageBreak/>
        <w:t>I</w:t>
      </w:r>
      <w:r w:rsidRPr="00BB1925">
        <w:t xml:space="preserve">V. </w:t>
      </w:r>
      <w:r>
        <w:t>Opinión</w:t>
      </w:r>
      <w:bookmarkEnd w:id="26"/>
      <w:bookmarkEnd w:id="27"/>
      <w:r>
        <w:t xml:space="preserve"> </w:t>
      </w:r>
    </w:p>
    <w:p w:rsidR="00C9781F" w:rsidRPr="00F377C9" w:rsidRDefault="00C9781F" w:rsidP="00C9781F">
      <w:pPr>
        <w:keepNext/>
        <w:spacing w:before="240" w:after="24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t xml:space="preserve">Responsabilidad del Gobierno de Navarra </w:t>
      </w:r>
    </w:p>
    <w:p w:rsidR="00C9781F" w:rsidRPr="00D21F89" w:rsidRDefault="00C9781F" w:rsidP="00C9781F">
      <w:pPr>
        <w:pStyle w:val="texto"/>
        <w:rPr>
          <w:szCs w:val="26"/>
        </w:rPr>
      </w:pPr>
      <w:r w:rsidRPr="00D21F89">
        <w:rPr>
          <w:szCs w:val="26"/>
        </w:rPr>
        <w:t>La responsabilidad de la gestión de la prestación farmacéutica corresponde, de acuerdo, con la normativa, al SNS-O.</w:t>
      </w:r>
    </w:p>
    <w:p w:rsidR="00C9781F" w:rsidRPr="00D21F89" w:rsidRDefault="00C9781F" w:rsidP="00C9781F">
      <w:pPr>
        <w:pStyle w:val="texto"/>
        <w:rPr>
          <w:szCs w:val="26"/>
        </w:rPr>
      </w:pPr>
      <w:r w:rsidRPr="00D21F89">
        <w:rPr>
          <w:szCs w:val="26"/>
        </w:rPr>
        <w:t>La gestión de las aplicaciones informáticas y los activos que soportan y g</w:t>
      </w:r>
      <w:r w:rsidRPr="00D21F89">
        <w:rPr>
          <w:szCs w:val="26"/>
        </w:rPr>
        <w:t>a</w:t>
      </w:r>
      <w:r w:rsidRPr="00D21F89">
        <w:rPr>
          <w:szCs w:val="26"/>
        </w:rPr>
        <w:t xml:space="preserve">rantizan una adecuada gestión de la prestación farmacéutica le corresponde a la DGITIP. </w:t>
      </w:r>
    </w:p>
    <w:p w:rsidR="00C9781F" w:rsidRPr="00D21F89" w:rsidRDefault="00C9781F" w:rsidP="00C9781F">
      <w:pPr>
        <w:pStyle w:val="texto"/>
        <w:rPr>
          <w:szCs w:val="26"/>
        </w:rPr>
      </w:pPr>
      <w:r w:rsidRPr="00D21F89">
        <w:rPr>
          <w:szCs w:val="26"/>
        </w:rPr>
        <w:t xml:space="preserve">La HTN es la responsable de remitir anualmente al INSS determinados datos de la declaración de la renta de los ciudadanos navarros para que </w:t>
      </w:r>
      <w:r>
        <w:rPr>
          <w:szCs w:val="26"/>
        </w:rPr>
        <w:t>este instituto</w:t>
      </w:r>
      <w:r w:rsidRPr="00D21F89">
        <w:rPr>
          <w:szCs w:val="26"/>
        </w:rPr>
        <w:t xml:space="preserve"> obtenga, </w:t>
      </w:r>
      <w:r>
        <w:rPr>
          <w:szCs w:val="26"/>
        </w:rPr>
        <w:t>junto con información adicional</w:t>
      </w:r>
      <w:r w:rsidRPr="00D21F89">
        <w:rPr>
          <w:szCs w:val="26"/>
        </w:rPr>
        <w:t xml:space="preserve">, los porcentajes de aportación de cada persona garantizando que esos datos son correctos.  </w:t>
      </w:r>
    </w:p>
    <w:p w:rsidR="00C9781F" w:rsidRPr="00D21F89" w:rsidRDefault="00C9781F" w:rsidP="00C9781F">
      <w:pPr>
        <w:pStyle w:val="texto"/>
        <w:rPr>
          <w:szCs w:val="26"/>
        </w:rPr>
      </w:pPr>
      <w:r w:rsidRPr="00D21F89">
        <w:rPr>
          <w:szCs w:val="26"/>
        </w:rPr>
        <w:t>El SNS-O debe garantizar que las actividades de gestión de la prestación farmacéutica, operaciones presupuestarias relacionadas y la información refl</w:t>
      </w:r>
      <w:r w:rsidRPr="00D21F89">
        <w:rPr>
          <w:szCs w:val="26"/>
        </w:rPr>
        <w:t>e</w:t>
      </w:r>
      <w:r w:rsidRPr="00D21F89">
        <w:rPr>
          <w:szCs w:val="26"/>
        </w:rPr>
        <w:t>jada en las cuentas anuales resultan conformes con las normas aplicables, y e</w:t>
      </w:r>
      <w:r w:rsidRPr="00D21F89">
        <w:rPr>
          <w:szCs w:val="26"/>
        </w:rPr>
        <w:t>s</w:t>
      </w:r>
      <w:r w:rsidRPr="00D21F89">
        <w:rPr>
          <w:szCs w:val="26"/>
        </w:rPr>
        <w:t>tablecer los sistemas de control interno que considere necesarios para permitir la preparación y presentación de cuentas anuales libres de incorrección mat</w:t>
      </w:r>
      <w:r w:rsidRPr="00D21F89">
        <w:rPr>
          <w:szCs w:val="26"/>
        </w:rPr>
        <w:t>e</w:t>
      </w:r>
      <w:r w:rsidRPr="00D21F89">
        <w:rPr>
          <w:szCs w:val="26"/>
        </w:rPr>
        <w:t>rial, debida a fraude o error.</w:t>
      </w:r>
    </w:p>
    <w:p w:rsidR="00C9781F" w:rsidRPr="00D21F89" w:rsidRDefault="00C9781F" w:rsidP="00C9781F">
      <w:pPr>
        <w:pStyle w:val="texto"/>
        <w:rPr>
          <w:szCs w:val="26"/>
        </w:rPr>
      </w:pPr>
      <w:r w:rsidRPr="00D21F89">
        <w:rPr>
          <w:szCs w:val="26"/>
        </w:rPr>
        <w:t>Por lo tanto, el diseño, implementación y buen funcionamiento de los contr</w:t>
      </w:r>
      <w:r w:rsidRPr="00D21F89">
        <w:rPr>
          <w:szCs w:val="26"/>
        </w:rPr>
        <w:t>o</w:t>
      </w:r>
      <w:r w:rsidRPr="00D21F89">
        <w:rPr>
          <w:szCs w:val="26"/>
        </w:rPr>
        <w:t>les en el proceso de gestión de la prestación farmacéutica y en los sistemas de información es una responsabilidad que corresponde al SNS-O, a la DGITIP y a la HTN.</w:t>
      </w:r>
    </w:p>
    <w:p w:rsidR="00C9781F" w:rsidRPr="00D21F89" w:rsidRDefault="00C9781F" w:rsidP="00C9781F">
      <w:pPr>
        <w:keepNext/>
        <w:spacing w:before="240" w:after="240"/>
        <w:ind w:firstLine="0"/>
        <w:rPr>
          <w:rFonts w:ascii="Arial" w:hAnsi="Arial"/>
          <w:i/>
          <w:iCs/>
          <w:color w:val="000000"/>
          <w:spacing w:val="10"/>
          <w:kern w:val="28"/>
          <w:sz w:val="25"/>
          <w:szCs w:val="26"/>
        </w:rPr>
      </w:pPr>
      <w:r w:rsidRPr="00D21F89">
        <w:rPr>
          <w:rFonts w:ascii="Arial" w:hAnsi="Arial"/>
          <w:i/>
          <w:iCs/>
          <w:color w:val="000000"/>
          <w:spacing w:val="10"/>
          <w:kern w:val="28"/>
          <w:sz w:val="25"/>
          <w:szCs w:val="26"/>
        </w:rPr>
        <w:t>Responsabilidad de la Cámara de Comptos de Navarra</w:t>
      </w:r>
    </w:p>
    <w:p w:rsidR="00C9781F" w:rsidRPr="00D21F89" w:rsidRDefault="00C9781F" w:rsidP="00C9781F">
      <w:pPr>
        <w:pStyle w:val="texto"/>
        <w:rPr>
          <w:szCs w:val="26"/>
        </w:rPr>
      </w:pPr>
      <w:r w:rsidRPr="00D21F89">
        <w:rPr>
          <w:szCs w:val="26"/>
        </w:rPr>
        <w:t>Nuestra responsabilidad es expresar una opinión basada en nuestra fiscaliz</w:t>
      </w:r>
      <w:r w:rsidRPr="00D21F89">
        <w:rPr>
          <w:szCs w:val="26"/>
        </w:rPr>
        <w:t>a</w:t>
      </w:r>
      <w:r w:rsidRPr="00D21F89">
        <w:rPr>
          <w:szCs w:val="26"/>
        </w:rPr>
        <w:t>ción en relación con la prestación farmacéutica, sobre los siguientes aspectos: el sistema de control interno, la legalidad de las operaciones y las partidas pr</w:t>
      </w:r>
      <w:r w:rsidRPr="00D21F89">
        <w:rPr>
          <w:szCs w:val="26"/>
        </w:rPr>
        <w:t>e</w:t>
      </w:r>
      <w:r w:rsidRPr="00D21F89">
        <w:rPr>
          <w:szCs w:val="26"/>
        </w:rPr>
        <w:t xml:space="preserve">supuestarias correspondientes. </w:t>
      </w:r>
    </w:p>
    <w:p w:rsidR="00C9781F" w:rsidRPr="00D21F89" w:rsidRDefault="00C9781F" w:rsidP="00C9781F">
      <w:pPr>
        <w:pStyle w:val="texto"/>
        <w:rPr>
          <w:szCs w:val="26"/>
        </w:rPr>
      </w:pPr>
      <w:r w:rsidRPr="00D21F89">
        <w:rPr>
          <w:szCs w:val="26"/>
        </w:rPr>
        <w:t xml:space="preserve">Para ello, hemos llevado a cabo la misma de conformidad con los principios fundamentales de fiscalización de las Instituciones Públicas de Control Externo </w:t>
      </w:r>
      <w:r>
        <w:rPr>
          <w:szCs w:val="26"/>
        </w:rPr>
        <w:t>y más en concreto,</w:t>
      </w:r>
      <w:r w:rsidRPr="005355B5">
        <w:rPr>
          <w:szCs w:val="26"/>
        </w:rPr>
        <w:t xml:space="preserve"> la</w:t>
      </w:r>
      <w:r>
        <w:rPr>
          <w:szCs w:val="26"/>
        </w:rPr>
        <w:t>s</w:t>
      </w:r>
      <w:r w:rsidRPr="005355B5">
        <w:rPr>
          <w:szCs w:val="26"/>
        </w:rPr>
        <w:t xml:space="preserve"> ISSAI-ES </w:t>
      </w:r>
      <w:r>
        <w:rPr>
          <w:szCs w:val="26"/>
        </w:rPr>
        <w:t xml:space="preserve">200, 400 y 500 </w:t>
      </w:r>
      <w:r w:rsidRPr="005355B5">
        <w:rPr>
          <w:szCs w:val="26"/>
        </w:rPr>
        <w:t>referida</w:t>
      </w:r>
      <w:r>
        <w:rPr>
          <w:szCs w:val="26"/>
        </w:rPr>
        <w:t>s respectivamente</w:t>
      </w:r>
      <w:r w:rsidRPr="005355B5">
        <w:rPr>
          <w:szCs w:val="26"/>
        </w:rPr>
        <w:t xml:space="preserve"> a las fiscalizaciones </w:t>
      </w:r>
      <w:r>
        <w:rPr>
          <w:szCs w:val="26"/>
        </w:rPr>
        <w:t>financieras, y más en concreto a la revisión de una partida esp</w:t>
      </w:r>
      <w:r>
        <w:rPr>
          <w:szCs w:val="26"/>
        </w:rPr>
        <w:t>e</w:t>
      </w:r>
      <w:r>
        <w:rPr>
          <w:szCs w:val="26"/>
        </w:rPr>
        <w:t>cífica, de</w:t>
      </w:r>
      <w:r w:rsidRPr="005355B5">
        <w:rPr>
          <w:szCs w:val="26"/>
        </w:rPr>
        <w:t xml:space="preserve"> cumplimiento</w:t>
      </w:r>
      <w:r>
        <w:rPr>
          <w:szCs w:val="26"/>
        </w:rPr>
        <w:t>, y auditoría de las tecnologías de la información</w:t>
      </w:r>
      <w:r w:rsidRPr="00D21F89">
        <w:rPr>
          <w:szCs w:val="26"/>
        </w:rPr>
        <w:t>. D</w:t>
      </w:r>
      <w:r w:rsidRPr="00D21F89">
        <w:rPr>
          <w:szCs w:val="26"/>
        </w:rPr>
        <w:t>i</w:t>
      </w:r>
      <w:r w:rsidRPr="00D21F89">
        <w:rPr>
          <w:szCs w:val="26"/>
        </w:rPr>
        <w:t>chos principios exigen que cumplamos los requerimientos de ética, así como que planifiquemos y ejecutemos la auditoría de forma que obtengamos tanto un conocimiento adecuado de los procedimientos empleados en la gestión de la prestación farmacéutica, los riesgos existentes y los controles implantados para mitigarlos (automáticos o manuales), como una seguridad razonable de que las partidas presupuestarias revisadas están libres de incorrecciones materiales y que las actividades, operaciones presupuestarias y financieras realizadas dura</w:t>
      </w:r>
      <w:r w:rsidRPr="00D21F89">
        <w:rPr>
          <w:szCs w:val="26"/>
        </w:rPr>
        <w:t>n</w:t>
      </w:r>
      <w:r w:rsidRPr="00D21F89">
        <w:rPr>
          <w:szCs w:val="26"/>
        </w:rPr>
        <w:lastRenderedPageBreak/>
        <w:t xml:space="preserve">te los ejercicios, y la información reflejadas en los estados financieros resultan, en todos los aspectos significativos, conformes con la normativa vigente. </w:t>
      </w:r>
    </w:p>
    <w:p w:rsidR="00C9781F" w:rsidRPr="00D21F89" w:rsidRDefault="00C9781F" w:rsidP="00C9781F">
      <w:pPr>
        <w:pStyle w:val="texto"/>
        <w:rPr>
          <w:szCs w:val="26"/>
        </w:rPr>
      </w:pPr>
      <w:r w:rsidRPr="00D21F89">
        <w:rPr>
          <w:szCs w:val="26"/>
        </w:rPr>
        <w:t>Una fiscalización requiere la aplicación de procedimientos para obtener ev</w:t>
      </w:r>
      <w:r w:rsidRPr="00D21F89">
        <w:rPr>
          <w:szCs w:val="26"/>
        </w:rPr>
        <w:t>i</w:t>
      </w:r>
      <w:r w:rsidRPr="00D21F89">
        <w:rPr>
          <w:szCs w:val="26"/>
        </w:rPr>
        <w:t>dencia de auditoría sobre los procedimientos empleados en la gestión, los i</w:t>
      </w:r>
      <w:r w:rsidRPr="00D21F89">
        <w:rPr>
          <w:szCs w:val="26"/>
        </w:rPr>
        <w:t>m</w:t>
      </w:r>
      <w:r w:rsidRPr="00D21F89">
        <w:rPr>
          <w:szCs w:val="26"/>
        </w:rPr>
        <w:t xml:space="preserve">portes y la información revelada en las partidas presupuestarias analizadas, y sobre el cumplimiento de los aspectos relevantes establecidos en la normativa durante los ejercicios fiscalizados. </w:t>
      </w:r>
    </w:p>
    <w:p w:rsidR="00C9781F" w:rsidRPr="00D21F89" w:rsidRDefault="00C9781F" w:rsidP="00C9781F">
      <w:pPr>
        <w:pStyle w:val="texto"/>
        <w:rPr>
          <w:szCs w:val="26"/>
        </w:rPr>
      </w:pPr>
      <w:r w:rsidRPr="00D21F89">
        <w:rPr>
          <w:szCs w:val="26"/>
        </w:rPr>
        <w:t>Los procedimientos seleccionados dependen del juicio del auditor, incluida la valoración de los riesgos tanto de incorrección material en las cuentas anu</w:t>
      </w:r>
      <w:r w:rsidRPr="00D21F89">
        <w:rPr>
          <w:szCs w:val="26"/>
        </w:rPr>
        <w:t>a</w:t>
      </w:r>
      <w:r w:rsidRPr="00D21F89">
        <w:rPr>
          <w:szCs w:val="26"/>
        </w:rPr>
        <w:t>les, debida a fraude o error, como de incumplimientos significativos de la leg</w:t>
      </w:r>
      <w:r w:rsidRPr="00D21F89">
        <w:rPr>
          <w:szCs w:val="26"/>
        </w:rPr>
        <w:t>a</w:t>
      </w:r>
      <w:r w:rsidRPr="00D21F89">
        <w:rPr>
          <w:szCs w:val="26"/>
        </w:rPr>
        <w:t>lidad. Al efectuar dichas valoraciones del riesgo, el auditor tiene en cuenta el control interno relevante para la formulación por parte de la entidad de las cuentas anuales y para garantizar el cumplimiento de la legalidad, con el fin de diseñar los procedimientos de auditoría que sean adecuados en función de las circunstancias, y no con la finalidad de expresar una opinión sobre la eficacia del control interno de la entidad. Una auditoría también incluye la evaluación de la adecuación de las políticas contables aplicadas y de la razonabilidad de las estimaciones contables realizadas por la dirección, así como la evaluación de la presentación de las partidas presupuestarias analizadas.</w:t>
      </w:r>
    </w:p>
    <w:p w:rsidR="00C9781F" w:rsidRPr="00D21F89" w:rsidRDefault="00C9781F" w:rsidP="00C9781F">
      <w:pPr>
        <w:pStyle w:val="texto"/>
        <w:rPr>
          <w:szCs w:val="26"/>
        </w:rPr>
      </w:pPr>
      <w:r w:rsidRPr="00D21F89">
        <w:rPr>
          <w:szCs w:val="26"/>
        </w:rPr>
        <w:t>Consideramos que la evidencia de auditoría que hemos obtenido proporciona una base suficiente y adecuada para nuestra opinión de cumplimiento de legal</w:t>
      </w:r>
      <w:r w:rsidRPr="00D21F89">
        <w:rPr>
          <w:szCs w:val="26"/>
        </w:rPr>
        <w:t>i</w:t>
      </w:r>
      <w:r w:rsidRPr="00D21F89">
        <w:rPr>
          <w:szCs w:val="26"/>
        </w:rPr>
        <w:t>dad y nuestra conclusión de auditoría sobre el control interno.</w:t>
      </w:r>
    </w:p>
    <w:p w:rsidR="00C9781F" w:rsidRPr="00D21F89" w:rsidRDefault="00C9781F" w:rsidP="00C9781F">
      <w:pPr>
        <w:pStyle w:val="texto"/>
        <w:rPr>
          <w:szCs w:val="26"/>
        </w:rPr>
      </w:pPr>
      <w:r w:rsidRPr="00D21F89">
        <w:rPr>
          <w:szCs w:val="26"/>
        </w:rPr>
        <w:t>Sin embargo, debido a los hechos descritos en el párrafo de “Fundamento de la abstención de opinión financiera” no hemos podido obtener evidencia de a</w:t>
      </w:r>
      <w:r w:rsidRPr="00D21F89">
        <w:rPr>
          <w:szCs w:val="26"/>
        </w:rPr>
        <w:t>u</w:t>
      </w:r>
      <w:r w:rsidRPr="00D21F89">
        <w:rPr>
          <w:szCs w:val="26"/>
        </w:rPr>
        <w:t>ditoría que proporcione una base suficiente y adecuada para expresar una op</w:t>
      </w:r>
      <w:r w:rsidRPr="00D21F89">
        <w:rPr>
          <w:szCs w:val="26"/>
        </w:rPr>
        <w:t>i</w:t>
      </w:r>
      <w:r w:rsidRPr="00D21F89">
        <w:rPr>
          <w:szCs w:val="26"/>
        </w:rPr>
        <w:t>nión de auditoría financiera.</w:t>
      </w:r>
    </w:p>
    <w:p w:rsidR="00C9781F" w:rsidRPr="00F377C9" w:rsidRDefault="00C9781F" w:rsidP="00C9781F">
      <w:pPr>
        <w:pStyle w:val="atitulo2"/>
      </w:pPr>
      <w:bookmarkStart w:id="34" w:name="_Toc3461808"/>
      <w:bookmarkStart w:id="35" w:name="_Toc4671427"/>
      <w:bookmarkStart w:id="36" w:name="_Toc463350238"/>
      <w:bookmarkStart w:id="37" w:name="_Toc494270372"/>
      <w:bookmarkStart w:id="38" w:name="_Toc525907429"/>
      <w:bookmarkStart w:id="39" w:name="_Toc528855446"/>
      <w:bookmarkStart w:id="40" w:name="_Toc402180175"/>
      <w:bookmarkStart w:id="41" w:name="_Toc188167196"/>
      <w:bookmarkStart w:id="42" w:name="_Toc303592533"/>
      <w:bookmarkStart w:id="43" w:name="_Toc309383716"/>
      <w:bookmarkStart w:id="44" w:name="_Toc339016605"/>
      <w:r w:rsidRPr="00F377C9">
        <w:t>I</w:t>
      </w:r>
      <w:r>
        <w:t>V</w:t>
      </w:r>
      <w:r w:rsidRPr="00F377C9">
        <w:t xml:space="preserve">.1. </w:t>
      </w:r>
      <w:r>
        <w:t>Conclusión sobre el control interno</w:t>
      </w:r>
      <w:bookmarkEnd w:id="34"/>
      <w:bookmarkEnd w:id="35"/>
    </w:p>
    <w:p w:rsidR="00C9781F" w:rsidRDefault="00C9781F" w:rsidP="00C9781F">
      <w:pPr>
        <w:pStyle w:val="texto"/>
        <w:spacing w:after="240"/>
      </w:pPr>
      <w:r>
        <w:t xml:space="preserve">De acuerdo con el desglose del epígrafe V.1, se </w:t>
      </w:r>
      <w:r w:rsidRPr="00EF38AD">
        <w:t>revisaron 35 controles de d</w:t>
      </w:r>
      <w:r w:rsidRPr="00EF38AD">
        <w:t>i</w:t>
      </w:r>
      <w:r w:rsidRPr="00EF38AD">
        <w:t xml:space="preserve">ferentes áreas y subprocesos de gestión, y se realizaron 27 pruebas </w:t>
      </w:r>
      <w:r>
        <w:t>sustantivas. El grado de cumplimiento de los controles que se han analizado y el resultado de las pruebas sustantivas realizadas es el siguiente:</w:t>
      </w:r>
    </w:p>
    <w:tbl>
      <w:tblPr>
        <w:tblStyle w:val="Tablaconcuadrcula"/>
        <w:tblW w:w="8806"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938"/>
        <w:gridCol w:w="1391"/>
        <w:gridCol w:w="2216"/>
        <w:gridCol w:w="1521"/>
        <w:gridCol w:w="1740"/>
      </w:tblGrid>
      <w:tr w:rsidR="00C9781F" w:rsidRPr="00105EE7" w:rsidTr="00B53A0A">
        <w:trPr>
          <w:trHeight w:val="198"/>
          <w:jc w:val="center"/>
        </w:trPr>
        <w:tc>
          <w:tcPr>
            <w:tcW w:w="1938" w:type="dxa"/>
            <w:tcBorders>
              <w:bottom w:val="single" w:sz="4" w:space="0" w:color="auto"/>
            </w:tcBorders>
            <w:shd w:val="clear" w:color="auto" w:fill="B8CCE4" w:themeFill="accent1" w:themeFillTint="66"/>
            <w:vAlign w:val="center"/>
          </w:tcPr>
          <w:p w:rsidR="00C9781F" w:rsidRPr="00105EE7" w:rsidRDefault="00C9781F" w:rsidP="00B53A0A">
            <w:pPr>
              <w:pStyle w:val="texto"/>
              <w:spacing w:after="0"/>
              <w:ind w:firstLine="0"/>
              <w:rPr>
                <w:rFonts w:ascii="Arial" w:hAnsi="Arial" w:cs="Arial"/>
                <w:sz w:val="18"/>
                <w:szCs w:val="18"/>
              </w:rPr>
            </w:pPr>
          </w:p>
        </w:tc>
        <w:tc>
          <w:tcPr>
            <w:tcW w:w="1391" w:type="dxa"/>
            <w:tcBorders>
              <w:bottom w:val="single" w:sz="4" w:space="0" w:color="auto"/>
            </w:tcBorders>
            <w:shd w:val="clear" w:color="auto" w:fill="B8CCE4" w:themeFill="accent1" w:themeFillTint="66"/>
            <w:vAlign w:val="center"/>
          </w:tcPr>
          <w:p w:rsidR="00C9781F" w:rsidRPr="00105EE7" w:rsidRDefault="00C9781F" w:rsidP="00B53A0A">
            <w:pPr>
              <w:pStyle w:val="texto"/>
              <w:spacing w:after="0"/>
              <w:ind w:firstLine="0"/>
              <w:jc w:val="right"/>
              <w:rPr>
                <w:rFonts w:ascii="Arial" w:hAnsi="Arial" w:cs="Arial"/>
                <w:sz w:val="18"/>
                <w:szCs w:val="18"/>
              </w:rPr>
            </w:pPr>
            <w:r w:rsidRPr="00105EE7">
              <w:rPr>
                <w:rFonts w:ascii="Arial" w:hAnsi="Arial" w:cs="Arial"/>
                <w:sz w:val="18"/>
                <w:szCs w:val="18"/>
              </w:rPr>
              <w:t>Efectivos</w:t>
            </w:r>
          </w:p>
        </w:tc>
        <w:tc>
          <w:tcPr>
            <w:tcW w:w="2216" w:type="dxa"/>
            <w:tcBorders>
              <w:bottom w:val="single" w:sz="4" w:space="0" w:color="auto"/>
            </w:tcBorders>
            <w:shd w:val="clear" w:color="auto" w:fill="B8CCE4" w:themeFill="accent1" w:themeFillTint="66"/>
            <w:vAlign w:val="center"/>
          </w:tcPr>
          <w:p w:rsidR="00C9781F" w:rsidRDefault="00C9781F" w:rsidP="00B53A0A">
            <w:pPr>
              <w:pStyle w:val="texto"/>
              <w:spacing w:after="0"/>
              <w:ind w:firstLine="0"/>
              <w:jc w:val="right"/>
              <w:rPr>
                <w:rFonts w:ascii="Arial" w:hAnsi="Arial" w:cs="Arial"/>
                <w:sz w:val="18"/>
                <w:szCs w:val="18"/>
              </w:rPr>
            </w:pPr>
            <w:r>
              <w:rPr>
                <w:rFonts w:ascii="Arial" w:hAnsi="Arial" w:cs="Arial"/>
                <w:sz w:val="18"/>
                <w:szCs w:val="18"/>
              </w:rPr>
              <w:t xml:space="preserve">Efectivo con </w:t>
            </w:r>
          </w:p>
          <w:p w:rsidR="00C9781F" w:rsidRPr="00105EE7" w:rsidRDefault="00C9781F" w:rsidP="00B53A0A">
            <w:pPr>
              <w:pStyle w:val="texto"/>
              <w:spacing w:after="0"/>
              <w:ind w:firstLine="0"/>
              <w:jc w:val="right"/>
              <w:rPr>
                <w:rFonts w:ascii="Arial" w:hAnsi="Arial" w:cs="Arial"/>
                <w:sz w:val="18"/>
                <w:szCs w:val="18"/>
              </w:rPr>
            </w:pPr>
            <w:r>
              <w:rPr>
                <w:rFonts w:ascii="Arial" w:hAnsi="Arial" w:cs="Arial"/>
                <w:sz w:val="18"/>
                <w:szCs w:val="18"/>
              </w:rPr>
              <w:t>recomendaciones</w:t>
            </w:r>
          </w:p>
        </w:tc>
        <w:tc>
          <w:tcPr>
            <w:tcW w:w="1521" w:type="dxa"/>
            <w:tcBorders>
              <w:bottom w:val="single" w:sz="4" w:space="0" w:color="auto"/>
              <w:right w:val="single" w:sz="2" w:space="0" w:color="auto"/>
            </w:tcBorders>
            <w:shd w:val="clear" w:color="auto" w:fill="B8CCE4" w:themeFill="accent1" w:themeFillTint="66"/>
            <w:vAlign w:val="center"/>
          </w:tcPr>
          <w:p w:rsidR="00C9781F" w:rsidRPr="00105EE7" w:rsidRDefault="00C9781F" w:rsidP="00B53A0A">
            <w:pPr>
              <w:pStyle w:val="texto"/>
              <w:spacing w:after="0"/>
              <w:ind w:firstLine="0"/>
              <w:jc w:val="right"/>
              <w:rPr>
                <w:rFonts w:ascii="Arial" w:hAnsi="Arial" w:cs="Arial"/>
                <w:sz w:val="18"/>
                <w:szCs w:val="18"/>
              </w:rPr>
            </w:pPr>
            <w:r w:rsidRPr="00105EE7">
              <w:rPr>
                <w:rFonts w:ascii="Arial" w:hAnsi="Arial" w:cs="Arial"/>
                <w:sz w:val="18"/>
                <w:szCs w:val="18"/>
              </w:rPr>
              <w:t>No efectivos</w:t>
            </w:r>
          </w:p>
        </w:tc>
        <w:tc>
          <w:tcPr>
            <w:tcW w:w="1740" w:type="dxa"/>
            <w:tcBorders>
              <w:left w:val="single" w:sz="2" w:space="0" w:color="auto"/>
              <w:bottom w:val="single" w:sz="4" w:space="0" w:color="auto"/>
            </w:tcBorders>
            <w:shd w:val="clear" w:color="auto" w:fill="B8CCE4" w:themeFill="accent1" w:themeFillTint="66"/>
            <w:vAlign w:val="center"/>
          </w:tcPr>
          <w:p w:rsidR="00C9781F" w:rsidRPr="00105EE7" w:rsidRDefault="00C9781F" w:rsidP="00B53A0A">
            <w:pPr>
              <w:pStyle w:val="texto"/>
              <w:spacing w:after="0"/>
              <w:ind w:firstLine="0"/>
              <w:jc w:val="right"/>
              <w:rPr>
                <w:rFonts w:ascii="Arial" w:hAnsi="Arial" w:cs="Arial"/>
                <w:sz w:val="18"/>
                <w:szCs w:val="18"/>
              </w:rPr>
            </w:pPr>
            <w:r>
              <w:rPr>
                <w:rFonts w:ascii="Arial" w:hAnsi="Arial" w:cs="Arial"/>
                <w:sz w:val="18"/>
                <w:szCs w:val="18"/>
              </w:rPr>
              <w:t>Total controles</w:t>
            </w:r>
          </w:p>
        </w:tc>
      </w:tr>
      <w:tr w:rsidR="00C9781F" w:rsidRPr="00AB6DA9" w:rsidTr="00B53A0A">
        <w:trPr>
          <w:trHeight w:val="198"/>
          <w:jc w:val="center"/>
        </w:trPr>
        <w:tc>
          <w:tcPr>
            <w:tcW w:w="1938" w:type="dxa"/>
            <w:tcBorders>
              <w:bottom w:val="single" w:sz="2" w:space="0" w:color="auto"/>
            </w:tcBorders>
            <w:vAlign w:val="center"/>
          </w:tcPr>
          <w:p w:rsidR="00C9781F" w:rsidRPr="00AB6DA9" w:rsidRDefault="00C9781F" w:rsidP="00B53A0A">
            <w:pPr>
              <w:pStyle w:val="texto"/>
              <w:spacing w:after="0"/>
              <w:ind w:firstLine="0"/>
              <w:jc w:val="left"/>
              <w:rPr>
                <w:rFonts w:ascii="Arial Narrow" w:hAnsi="Arial Narrow"/>
                <w:sz w:val="20"/>
                <w:szCs w:val="20"/>
              </w:rPr>
            </w:pPr>
            <w:r w:rsidRPr="00AB6DA9">
              <w:rPr>
                <w:rFonts w:ascii="Arial Narrow" w:hAnsi="Arial Narrow"/>
                <w:sz w:val="20"/>
                <w:szCs w:val="20"/>
              </w:rPr>
              <w:t xml:space="preserve">Controles generales </w:t>
            </w:r>
          </w:p>
        </w:tc>
        <w:tc>
          <w:tcPr>
            <w:tcW w:w="1391" w:type="dxa"/>
            <w:tcBorders>
              <w:bottom w:val="single" w:sz="2" w:space="0" w:color="auto"/>
            </w:tcBorders>
            <w:vAlign w:val="center"/>
          </w:tcPr>
          <w:p w:rsidR="00C9781F" w:rsidRPr="00EF38AD" w:rsidRDefault="00C9781F" w:rsidP="00B53A0A">
            <w:pPr>
              <w:pStyle w:val="texto"/>
              <w:spacing w:after="0"/>
              <w:ind w:firstLine="0"/>
              <w:jc w:val="right"/>
              <w:rPr>
                <w:rFonts w:ascii="Arial Narrow" w:hAnsi="Arial Narrow"/>
                <w:sz w:val="20"/>
                <w:szCs w:val="20"/>
              </w:rPr>
            </w:pPr>
            <w:r w:rsidRPr="00EF38AD">
              <w:rPr>
                <w:rFonts w:ascii="Arial Narrow" w:hAnsi="Arial Narrow"/>
                <w:sz w:val="20"/>
                <w:szCs w:val="20"/>
              </w:rPr>
              <w:t>2</w:t>
            </w:r>
          </w:p>
        </w:tc>
        <w:tc>
          <w:tcPr>
            <w:tcW w:w="2216" w:type="dxa"/>
            <w:tcBorders>
              <w:bottom w:val="single" w:sz="2" w:space="0" w:color="auto"/>
            </w:tcBorders>
            <w:vAlign w:val="center"/>
          </w:tcPr>
          <w:p w:rsidR="00C9781F" w:rsidRPr="00EF38AD" w:rsidRDefault="00C9781F" w:rsidP="00B53A0A">
            <w:pPr>
              <w:pStyle w:val="texto"/>
              <w:spacing w:after="0"/>
              <w:ind w:firstLine="0"/>
              <w:jc w:val="right"/>
              <w:rPr>
                <w:rFonts w:ascii="Arial Narrow" w:hAnsi="Arial Narrow"/>
                <w:sz w:val="20"/>
                <w:szCs w:val="20"/>
              </w:rPr>
            </w:pPr>
            <w:r w:rsidRPr="00EF38AD">
              <w:rPr>
                <w:rFonts w:ascii="Arial Narrow" w:hAnsi="Arial Narrow"/>
                <w:sz w:val="20"/>
                <w:szCs w:val="20"/>
              </w:rPr>
              <w:t>3</w:t>
            </w:r>
          </w:p>
        </w:tc>
        <w:tc>
          <w:tcPr>
            <w:tcW w:w="1521" w:type="dxa"/>
            <w:tcBorders>
              <w:bottom w:val="single" w:sz="2" w:space="0" w:color="auto"/>
              <w:right w:val="single" w:sz="2" w:space="0" w:color="auto"/>
            </w:tcBorders>
            <w:vAlign w:val="center"/>
          </w:tcPr>
          <w:p w:rsidR="00C9781F" w:rsidRPr="00EF38AD" w:rsidRDefault="00C9781F" w:rsidP="00B53A0A">
            <w:pPr>
              <w:pStyle w:val="texto"/>
              <w:spacing w:after="0"/>
              <w:ind w:firstLine="0"/>
              <w:jc w:val="right"/>
              <w:rPr>
                <w:rFonts w:ascii="Arial Narrow" w:hAnsi="Arial Narrow"/>
                <w:sz w:val="20"/>
                <w:szCs w:val="20"/>
              </w:rPr>
            </w:pPr>
            <w:r w:rsidRPr="00EF38AD">
              <w:rPr>
                <w:rFonts w:ascii="Arial Narrow" w:hAnsi="Arial Narrow"/>
                <w:sz w:val="20"/>
                <w:szCs w:val="20"/>
              </w:rPr>
              <w:t>0</w:t>
            </w:r>
          </w:p>
        </w:tc>
        <w:tc>
          <w:tcPr>
            <w:tcW w:w="1740" w:type="dxa"/>
            <w:tcBorders>
              <w:left w:val="single" w:sz="2" w:space="0" w:color="auto"/>
              <w:bottom w:val="single" w:sz="2" w:space="0" w:color="auto"/>
            </w:tcBorders>
            <w:vAlign w:val="center"/>
          </w:tcPr>
          <w:p w:rsidR="00C9781F" w:rsidRPr="00EF38AD" w:rsidRDefault="00C9781F" w:rsidP="00B53A0A">
            <w:pPr>
              <w:pStyle w:val="texto"/>
              <w:spacing w:after="0"/>
              <w:ind w:firstLine="0"/>
              <w:jc w:val="right"/>
              <w:rPr>
                <w:rFonts w:ascii="Arial Narrow" w:hAnsi="Arial Narrow"/>
                <w:sz w:val="20"/>
                <w:szCs w:val="20"/>
              </w:rPr>
            </w:pPr>
            <w:r w:rsidRPr="00EF38AD">
              <w:rPr>
                <w:rFonts w:ascii="Arial Narrow" w:hAnsi="Arial Narrow"/>
                <w:sz w:val="20"/>
                <w:szCs w:val="20"/>
              </w:rPr>
              <w:t>5</w:t>
            </w:r>
          </w:p>
        </w:tc>
      </w:tr>
      <w:tr w:rsidR="00C9781F" w:rsidRPr="00AB6DA9" w:rsidTr="00B53A0A">
        <w:trPr>
          <w:trHeight w:val="198"/>
          <w:jc w:val="center"/>
        </w:trPr>
        <w:tc>
          <w:tcPr>
            <w:tcW w:w="1938" w:type="dxa"/>
            <w:tcBorders>
              <w:top w:val="single" w:sz="2" w:space="0" w:color="auto"/>
            </w:tcBorders>
            <w:vAlign w:val="center"/>
          </w:tcPr>
          <w:p w:rsidR="00C9781F" w:rsidRPr="00AB6DA9" w:rsidRDefault="00C9781F" w:rsidP="00B53A0A">
            <w:pPr>
              <w:pStyle w:val="texto"/>
              <w:spacing w:after="0"/>
              <w:ind w:firstLine="0"/>
              <w:jc w:val="left"/>
              <w:rPr>
                <w:rFonts w:ascii="Arial Narrow" w:hAnsi="Arial Narrow"/>
                <w:sz w:val="20"/>
                <w:szCs w:val="20"/>
              </w:rPr>
            </w:pPr>
            <w:r w:rsidRPr="00AB6DA9">
              <w:rPr>
                <w:rFonts w:ascii="Arial Narrow" w:hAnsi="Arial Narrow"/>
                <w:sz w:val="20"/>
                <w:szCs w:val="20"/>
              </w:rPr>
              <w:t xml:space="preserve">Controles específicos </w:t>
            </w:r>
          </w:p>
        </w:tc>
        <w:tc>
          <w:tcPr>
            <w:tcW w:w="1391" w:type="dxa"/>
            <w:tcBorders>
              <w:top w:val="single" w:sz="2" w:space="0" w:color="auto"/>
            </w:tcBorders>
            <w:vAlign w:val="center"/>
          </w:tcPr>
          <w:p w:rsidR="00C9781F" w:rsidRPr="00EF38AD" w:rsidRDefault="00C9781F" w:rsidP="00B53A0A">
            <w:pPr>
              <w:pStyle w:val="texto"/>
              <w:spacing w:after="0"/>
              <w:ind w:firstLine="0"/>
              <w:jc w:val="right"/>
              <w:rPr>
                <w:rFonts w:ascii="Arial Narrow" w:hAnsi="Arial Narrow"/>
                <w:sz w:val="20"/>
                <w:szCs w:val="20"/>
              </w:rPr>
            </w:pPr>
            <w:r w:rsidRPr="00EF38AD">
              <w:rPr>
                <w:rFonts w:ascii="Arial Narrow" w:hAnsi="Arial Narrow"/>
                <w:sz w:val="20"/>
                <w:szCs w:val="20"/>
              </w:rPr>
              <w:t>16</w:t>
            </w:r>
          </w:p>
        </w:tc>
        <w:tc>
          <w:tcPr>
            <w:tcW w:w="2216" w:type="dxa"/>
            <w:tcBorders>
              <w:top w:val="single" w:sz="2" w:space="0" w:color="auto"/>
            </w:tcBorders>
            <w:vAlign w:val="center"/>
          </w:tcPr>
          <w:p w:rsidR="00C9781F" w:rsidRPr="00EF38AD" w:rsidRDefault="00C9781F" w:rsidP="00B53A0A">
            <w:pPr>
              <w:pStyle w:val="texto"/>
              <w:spacing w:after="0"/>
              <w:ind w:firstLine="0"/>
              <w:jc w:val="right"/>
              <w:rPr>
                <w:rFonts w:ascii="Arial Narrow" w:hAnsi="Arial Narrow"/>
                <w:sz w:val="20"/>
                <w:szCs w:val="20"/>
              </w:rPr>
            </w:pPr>
            <w:r w:rsidRPr="00EF38AD">
              <w:rPr>
                <w:rFonts w:ascii="Arial Narrow" w:hAnsi="Arial Narrow"/>
                <w:sz w:val="20"/>
                <w:szCs w:val="20"/>
              </w:rPr>
              <w:t>3</w:t>
            </w:r>
          </w:p>
        </w:tc>
        <w:tc>
          <w:tcPr>
            <w:tcW w:w="1521" w:type="dxa"/>
            <w:tcBorders>
              <w:top w:val="single" w:sz="2" w:space="0" w:color="auto"/>
              <w:right w:val="single" w:sz="2" w:space="0" w:color="auto"/>
            </w:tcBorders>
            <w:vAlign w:val="center"/>
          </w:tcPr>
          <w:p w:rsidR="00C9781F" w:rsidRPr="00EF38AD" w:rsidRDefault="00C9781F" w:rsidP="00B53A0A">
            <w:pPr>
              <w:pStyle w:val="texto"/>
              <w:spacing w:after="0"/>
              <w:ind w:firstLine="0"/>
              <w:jc w:val="right"/>
              <w:rPr>
                <w:rFonts w:ascii="Arial Narrow" w:hAnsi="Arial Narrow"/>
                <w:sz w:val="20"/>
                <w:szCs w:val="20"/>
              </w:rPr>
            </w:pPr>
            <w:r w:rsidRPr="00EF38AD">
              <w:rPr>
                <w:rFonts w:ascii="Arial Narrow" w:hAnsi="Arial Narrow"/>
                <w:sz w:val="20"/>
                <w:szCs w:val="20"/>
              </w:rPr>
              <w:t>11</w:t>
            </w:r>
          </w:p>
        </w:tc>
        <w:tc>
          <w:tcPr>
            <w:tcW w:w="1740" w:type="dxa"/>
            <w:tcBorders>
              <w:top w:val="single" w:sz="2" w:space="0" w:color="auto"/>
              <w:left w:val="single" w:sz="2" w:space="0" w:color="auto"/>
            </w:tcBorders>
            <w:vAlign w:val="center"/>
          </w:tcPr>
          <w:p w:rsidR="00C9781F" w:rsidRPr="00EF38AD" w:rsidRDefault="00C9781F" w:rsidP="00B53A0A">
            <w:pPr>
              <w:pStyle w:val="texto"/>
              <w:spacing w:after="0"/>
              <w:ind w:firstLine="0"/>
              <w:jc w:val="right"/>
              <w:rPr>
                <w:rFonts w:ascii="Arial Narrow" w:hAnsi="Arial Narrow"/>
                <w:sz w:val="20"/>
                <w:szCs w:val="20"/>
              </w:rPr>
            </w:pPr>
            <w:r w:rsidRPr="00EF38AD">
              <w:rPr>
                <w:rFonts w:ascii="Arial Narrow" w:hAnsi="Arial Narrow"/>
                <w:sz w:val="20"/>
                <w:szCs w:val="20"/>
              </w:rPr>
              <w:t>30</w:t>
            </w:r>
          </w:p>
        </w:tc>
      </w:tr>
      <w:tr w:rsidR="00C9781F" w:rsidRPr="00105EE7" w:rsidTr="00B53A0A">
        <w:trPr>
          <w:trHeight w:val="255"/>
          <w:jc w:val="center"/>
        </w:trPr>
        <w:tc>
          <w:tcPr>
            <w:tcW w:w="1938" w:type="dxa"/>
            <w:shd w:val="clear" w:color="auto" w:fill="B8CCE4" w:themeFill="accent1" w:themeFillTint="66"/>
            <w:vAlign w:val="center"/>
          </w:tcPr>
          <w:p w:rsidR="00C9781F" w:rsidRPr="00105EE7" w:rsidRDefault="00C9781F" w:rsidP="00B53A0A">
            <w:pPr>
              <w:pStyle w:val="texto"/>
              <w:spacing w:after="0"/>
              <w:ind w:firstLine="0"/>
              <w:jc w:val="left"/>
              <w:rPr>
                <w:rFonts w:ascii="Arial" w:hAnsi="Arial" w:cs="Arial"/>
                <w:sz w:val="18"/>
                <w:szCs w:val="18"/>
              </w:rPr>
            </w:pPr>
            <w:r w:rsidRPr="00105EE7">
              <w:rPr>
                <w:rFonts w:ascii="Arial" w:hAnsi="Arial" w:cs="Arial"/>
                <w:sz w:val="18"/>
                <w:szCs w:val="18"/>
              </w:rPr>
              <w:t xml:space="preserve">Total </w:t>
            </w:r>
          </w:p>
        </w:tc>
        <w:tc>
          <w:tcPr>
            <w:tcW w:w="1391" w:type="dxa"/>
            <w:shd w:val="clear" w:color="auto" w:fill="B8CCE4" w:themeFill="accent1" w:themeFillTint="66"/>
            <w:vAlign w:val="center"/>
          </w:tcPr>
          <w:p w:rsidR="00C9781F" w:rsidRPr="00EF38AD" w:rsidRDefault="00C9781F" w:rsidP="00B53A0A">
            <w:pPr>
              <w:pStyle w:val="texto"/>
              <w:spacing w:after="0"/>
              <w:ind w:firstLine="0"/>
              <w:jc w:val="right"/>
              <w:rPr>
                <w:rFonts w:ascii="Arial" w:hAnsi="Arial" w:cs="Arial"/>
                <w:sz w:val="18"/>
                <w:szCs w:val="18"/>
              </w:rPr>
            </w:pPr>
            <w:r w:rsidRPr="00EF38AD">
              <w:rPr>
                <w:rFonts w:ascii="Arial" w:hAnsi="Arial" w:cs="Arial"/>
                <w:sz w:val="18"/>
                <w:szCs w:val="18"/>
              </w:rPr>
              <w:t>18</w:t>
            </w:r>
          </w:p>
        </w:tc>
        <w:tc>
          <w:tcPr>
            <w:tcW w:w="2216" w:type="dxa"/>
            <w:shd w:val="clear" w:color="auto" w:fill="B8CCE4" w:themeFill="accent1" w:themeFillTint="66"/>
            <w:vAlign w:val="center"/>
          </w:tcPr>
          <w:p w:rsidR="00C9781F" w:rsidRPr="00EF38AD" w:rsidRDefault="00C9781F" w:rsidP="00B53A0A">
            <w:pPr>
              <w:pStyle w:val="texto"/>
              <w:spacing w:after="0"/>
              <w:ind w:firstLine="0"/>
              <w:jc w:val="right"/>
              <w:rPr>
                <w:rFonts w:ascii="Arial" w:hAnsi="Arial" w:cs="Arial"/>
                <w:sz w:val="18"/>
                <w:szCs w:val="18"/>
              </w:rPr>
            </w:pPr>
            <w:r w:rsidRPr="00EF38AD">
              <w:rPr>
                <w:rFonts w:ascii="Arial" w:hAnsi="Arial" w:cs="Arial"/>
                <w:sz w:val="18"/>
                <w:szCs w:val="18"/>
              </w:rPr>
              <w:t>6</w:t>
            </w:r>
          </w:p>
        </w:tc>
        <w:tc>
          <w:tcPr>
            <w:tcW w:w="1521" w:type="dxa"/>
            <w:tcBorders>
              <w:right w:val="single" w:sz="2" w:space="0" w:color="auto"/>
            </w:tcBorders>
            <w:shd w:val="clear" w:color="auto" w:fill="B8CCE4" w:themeFill="accent1" w:themeFillTint="66"/>
            <w:vAlign w:val="center"/>
          </w:tcPr>
          <w:p w:rsidR="00C9781F" w:rsidRPr="00EF38AD" w:rsidRDefault="00C9781F" w:rsidP="00B53A0A">
            <w:pPr>
              <w:pStyle w:val="texto"/>
              <w:spacing w:after="0"/>
              <w:ind w:firstLine="0"/>
              <w:jc w:val="right"/>
              <w:rPr>
                <w:rFonts w:ascii="Arial" w:hAnsi="Arial" w:cs="Arial"/>
                <w:sz w:val="18"/>
                <w:szCs w:val="18"/>
              </w:rPr>
            </w:pPr>
            <w:r w:rsidRPr="00EF38AD">
              <w:rPr>
                <w:rFonts w:ascii="Arial" w:hAnsi="Arial" w:cs="Arial"/>
                <w:sz w:val="18"/>
                <w:szCs w:val="18"/>
              </w:rPr>
              <w:t>11</w:t>
            </w:r>
          </w:p>
        </w:tc>
        <w:tc>
          <w:tcPr>
            <w:tcW w:w="1740" w:type="dxa"/>
            <w:tcBorders>
              <w:left w:val="single" w:sz="2" w:space="0" w:color="auto"/>
            </w:tcBorders>
            <w:shd w:val="clear" w:color="auto" w:fill="B8CCE4" w:themeFill="accent1" w:themeFillTint="66"/>
            <w:vAlign w:val="center"/>
          </w:tcPr>
          <w:p w:rsidR="00C9781F" w:rsidRPr="00EF38AD" w:rsidRDefault="00C9781F" w:rsidP="00B53A0A">
            <w:pPr>
              <w:pStyle w:val="texto"/>
              <w:spacing w:after="0"/>
              <w:ind w:firstLine="0"/>
              <w:jc w:val="right"/>
              <w:rPr>
                <w:rFonts w:ascii="Arial" w:hAnsi="Arial" w:cs="Arial"/>
                <w:sz w:val="18"/>
                <w:szCs w:val="18"/>
              </w:rPr>
            </w:pPr>
            <w:r w:rsidRPr="00EF38AD">
              <w:rPr>
                <w:rFonts w:ascii="Arial" w:hAnsi="Arial" w:cs="Arial"/>
                <w:sz w:val="18"/>
                <w:szCs w:val="18"/>
              </w:rPr>
              <w:t>35</w:t>
            </w:r>
          </w:p>
        </w:tc>
      </w:tr>
      <w:tr w:rsidR="00C9781F" w:rsidRPr="00105EE7" w:rsidTr="00B53A0A">
        <w:trPr>
          <w:trHeight w:val="255"/>
          <w:jc w:val="center"/>
        </w:trPr>
        <w:tc>
          <w:tcPr>
            <w:tcW w:w="1938" w:type="dxa"/>
            <w:shd w:val="clear" w:color="auto" w:fill="auto"/>
            <w:vAlign w:val="center"/>
          </w:tcPr>
          <w:p w:rsidR="00C9781F" w:rsidRPr="00105EE7" w:rsidRDefault="00C9781F" w:rsidP="00B53A0A">
            <w:pPr>
              <w:pStyle w:val="texto"/>
              <w:spacing w:after="0"/>
              <w:ind w:firstLine="0"/>
              <w:jc w:val="left"/>
              <w:rPr>
                <w:rFonts w:ascii="Arial" w:hAnsi="Arial" w:cs="Arial"/>
                <w:sz w:val="18"/>
                <w:szCs w:val="18"/>
              </w:rPr>
            </w:pPr>
          </w:p>
        </w:tc>
        <w:tc>
          <w:tcPr>
            <w:tcW w:w="1391" w:type="dxa"/>
            <w:shd w:val="clear" w:color="auto" w:fill="auto"/>
            <w:vAlign w:val="center"/>
          </w:tcPr>
          <w:p w:rsidR="00C9781F" w:rsidRPr="00105EE7" w:rsidRDefault="00C9781F" w:rsidP="00B53A0A">
            <w:pPr>
              <w:pStyle w:val="texto"/>
              <w:spacing w:after="0"/>
              <w:ind w:firstLine="0"/>
              <w:jc w:val="right"/>
              <w:rPr>
                <w:rFonts w:ascii="Arial" w:hAnsi="Arial" w:cs="Arial"/>
                <w:sz w:val="18"/>
                <w:szCs w:val="18"/>
              </w:rPr>
            </w:pPr>
          </w:p>
        </w:tc>
        <w:tc>
          <w:tcPr>
            <w:tcW w:w="2216" w:type="dxa"/>
            <w:shd w:val="clear" w:color="auto" w:fill="auto"/>
            <w:vAlign w:val="center"/>
          </w:tcPr>
          <w:p w:rsidR="00C9781F" w:rsidRPr="00105EE7" w:rsidRDefault="00C9781F" w:rsidP="00B53A0A">
            <w:pPr>
              <w:pStyle w:val="texto"/>
              <w:spacing w:after="0"/>
              <w:ind w:firstLine="0"/>
              <w:jc w:val="right"/>
              <w:rPr>
                <w:rFonts w:ascii="Arial" w:hAnsi="Arial" w:cs="Arial"/>
                <w:sz w:val="18"/>
                <w:szCs w:val="18"/>
              </w:rPr>
            </w:pPr>
          </w:p>
        </w:tc>
        <w:tc>
          <w:tcPr>
            <w:tcW w:w="1521" w:type="dxa"/>
            <w:tcBorders>
              <w:right w:val="single" w:sz="2" w:space="0" w:color="auto"/>
            </w:tcBorders>
            <w:shd w:val="clear" w:color="auto" w:fill="auto"/>
            <w:vAlign w:val="center"/>
          </w:tcPr>
          <w:p w:rsidR="00C9781F" w:rsidRPr="00105EE7" w:rsidRDefault="00C9781F" w:rsidP="00B53A0A">
            <w:pPr>
              <w:pStyle w:val="texto"/>
              <w:spacing w:after="0"/>
              <w:ind w:firstLine="0"/>
              <w:jc w:val="right"/>
              <w:rPr>
                <w:rFonts w:ascii="Arial" w:hAnsi="Arial" w:cs="Arial"/>
                <w:sz w:val="18"/>
                <w:szCs w:val="18"/>
              </w:rPr>
            </w:pPr>
          </w:p>
        </w:tc>
        <w:tc>
          <w:tcPr>
            <w:tcW w:w="1740" w:type="dxa"/>
            <w:tcBorders>
              <w:left w:val="single" w:sz="2" w:space="0" w:color="auto"/>
            </w:tcBorders>
            <w:shd w:val="clear" w:color="auto" w:fill="auto"/>
            <w:vAlign w:val="center"/>
          </w:tcPr>
          <w:p w:rsidR="00C9781F" w:rsidRPr="00105EE7" w:rsidRDefault="00C9781F" w:rsidP="00B53A0A">
            <w:pPr>
              <w:pStyle w:val="texto"/>
              <w:spacing w:after="0"/>
              <w:ind w:firstLine="0"/>
              <w:jc w:val="right"/>
              <w:rPr>
                <w:rFonts w:ascii="Arial" w:hAnsi="Arial" w:cs="Arial"/>
                <w:sz w:val="18"/>
                <w:szCs w:val="18"/>
              </w:rPr>
            </w:pPr>
          </w:p>
        </w:tc>
      </w:tr>
      <w:tr w:rsidR="00C9781F" w:rsidRPr="00105EE7" w:rsidTr="00B53A0A">
        <w:trPr>
          <w:trHeight w:val="198"/>
          <w:jc w:val="center"/>
        </w:trPr>
        <w:tc>
          <w:tcPr>
            <w:tcW w:w="1938" w:type="dxa"/>
            <w:shd w:val="clear" w:color="auto" w:fill="B8CCE4" w:themeFill="accent1" w:themeFillTint="66"/>
            <w:vAlign w:val="center"/>
          </w:tcPr>
          <w:p w:rsidR="00C9781F" w:rsidRPr="00105EE7" w:rsidRDefault="00C9781F" w:rsidP="00B53A0A">
            <w:pPr>
              <w:pStyle w:val="texto"/>
              <w:spacing w:after="0"/>
              <w:ind w:firstLine="0"/>
              <w:rPr>
                <w:rFonts w:ascii="Arial" w:hAnsi="Arial" w:cs="Arial"/>
                <w:sz w:val="18"/>
                <w:szCs w:val="18"/>
              </w:rPr>
            </w:pPr>
          </w:p>
        </w:tc>
        <w:tc>
          <w:tcPr>
            <w:tcW w:w="1391" w:type="dxa"/>
            <w:shd w:val="clear" w:color="auto" w:fill="B8CCE4" w:themeFill="accent1" w:themeFillTint="66"/>
            <w:vAlign w:val="center"/>
          </w:tcPr>
          <w:p w:rsidR="00C9781F" w:rsidRPr="00105EE7" w:rsidRDefault="00C9781F" w:rsidP="00B53A0A">
            <w:pPr>
              <w:pStyle w:val="texto"/>
              <w:spacing w:after="0"/>
              <w:ind w:firstLine="0"/>
              <w:jc w:val="right"/>
              <w:rPr>
                <w:rFonts w:ascii="Arial" w:hAnsi="Arial" w:cs="Arial"/>
                <w:sz w:val="18"/>
                <w:szCs w:val="18"/>
              </w:rPr>
            </w:pPr>
            <w:r>
              <w:rPr>
                <w:rFonts w:ascii="Arial" w:hAnsi="Arial" w:cs="Arial"/>
                <w:sz w:val="18"/>
                <w:szCs w:val="18"/>
              </w:rPr>
              <w:t>Resultado satisfactorio</w:t>
            </w:r>
          </w:p>
        </w:tc>
        <w:tc>
          <w:tcPr>
            <w:tcW w:w="2216" w:type="dxa"/>
            <w:shd w:val="clear" w:color="auto" w:fill="B8CCE4" w:themeFill="accent1" w:themeFillTint="66"/>
            <w:vAlign w:val="center"/>
          </w:tcPr>
          <w:p w:rsidR="00C9781F" w:rsidRPr="00105EE7" w:rsidRDefault="00C9781F" w:rsidP="00B53A0A">
            <w:pPr>
              <w:pStyle w:val="texto"/>
              <w:spacing w:after="0"/>
              <w:ind w:firstLine="0"/>
              <w:jc w:val="right"/>
              <w:rPr>
                <w:rFonts w:ascii="Arial" w:hAnsi="Arial" w:cs="Arial"/>
                <w:sz w:val="18"/>
                <w:szCs w:val="18"/>
              </w:rPr>
            </w:pPr>
            <w:r>
              <w:rPr>
                <w:rFonts w:ascii="Arial" w:hAnsi="Arial" w:cs="Arial"/>
                <w:sz w:val="18"/>
                <w:szCs w:val="18"/>
              </w:rPr>
              <w:t>Resultado satisfactorio con recomendaciones</w:t>
            </w:r>
          </w:p>
        </w:tc>
        <w:tc>
          <w:tcPr>
            <w:tcW w:w="1521" w:type="dxa"/>
            <w:tcBorders>
              <w:right w:val="single" w:sz="2" w:space="0" w:color="auto"/>
            </w:tcBorders>
            <w:shd w:val="clear" w:color="auto" w:fill="B8CCE4" w:themeFill="accent1" w:themeFillTint="66"/>
            <w:vAlign w:val="center"/>
          </w:tcPr>
          <w:p w:rsidR="00C9781F" w:rsidRPr="00105EE7" w:rsidRDefault="00C9781F" w:rsidP="00B53A0A">
            <w:pPr>
              <w:pStyle w:val="texto"/>
              <w:spacing w:after="0"/>
              <w:ind w:firstLine="0"/>
              <w:jc w:val="right"/>
              <w:rPr>
                <w:rFonts w:ascii="Arial" w:hAnsi="Arial" w:cs="Arial"/>
                <w:sz w:val="18"/>
                <w:szCs w:val="18"/>
              </w:rPr>
            </w:pPr>
            <w:r>
              <w:rPr>
                <w:rFonts w:ascii="Arial" w:hAnsi="Arial" w:cs="Arial"/>
                <w:sz w:val="18"/>
                <w:szCs w:val="18"/>
              </w:rPr>
              <w:t>Resultado no satisfactorio</w:t>
            </w:r>
          </w:p>
        </w:tc>
        <w:tc>
          <w:tcPr>
            <w:tcW w:w="1740" w:type="dxa"/>
            <w:tcBorders>
              <w:left w:val="single" w:sz="2" w:space="0" w:color="auto"/>
            </w:tcBorders>
            <w:shd w:val="clear" w:color="auto" w:fill="B8CCE4" w:themeFill="accent1" w:themeFillTint="66"/>
            <w:vAlign w:val="center"/>
          </w:tcPr>
          <w:p w:rsidR="00C9781F" w:rsidRDefault="00C9781F" w:rsidP="00B53A0A">
            <w:pPr>
              <w:pStyle w:val="texto"/>
              <w:spacing w:after="0"/>
              <w:ind w:firstLine="0"/>
              <w:jc w:val="right"/>
              <w:rPr>
                <w:rFonts w:ascii="Arial" w:hAnsi="Arial" w:cs="Arial"/>
                <w:sz w:val="18"/>
                <w:szCs w:val="18"/>
              </w:rPr>
            </w:pPr>
            <w:r>
              <w:rPr>
                <w:rFonts w:ascii="Arial" w:hAnsi="Arial" w:cs="Arial"/>
                <w:sz w:val="18"/>
                <w:szCs w:val="18"/>
              </w:rPr>
              <w:t xml:space="preserve">Total pruebas </w:t>
            </w:r>
          </w:p>
          <w:p w:rsidR="00C9781F" w:rsidRPr="00105EE7" w:rsidRDefault="00C9781F" w:rsidP="00B53A0A">
            <w:pPr>
              <w:pStyle w:val="texto"/>
              <w:spacing w:after="0"/>
              <w:ind w:firstLine="0"/>
              <w:jc w:val="right"/>
              <w:rPr>
                <w:rFonts w:ascii="Arial" w:hAnsi="Arial" w:cs="Arial"/>
                <w:sz w:val="18"/>
                <w:szCs w:val="18"/>
              </w:rPr>
            </w:pPr>
            <w:r>
              <w:rPr>
                <w:rFonts w:ascii="Arial" w:hAnsi="Arial" w:cs="Arial"/>
                <w:sz w:val="18"/>
                <w:szCs w:val="18"/>
              </w:rPr>
              <w:t>sustantivas</w:t>
            </w:r>
          </w:p>
        </w:tc>
      </w:tr>
      <w:tr w:rsidR="00C9781F" w:rsidRPr="00AB6DA9" w:rsidTr="00B53A0A">
        <w:trPr>
          <w:trHeight w:val="198"/>
          <w:jc w:val="center"/>
        </w:trPr>
        <w:tc>
          <w:tcPr>
            <w:tcW w:w="1938" w:type="dxa"/>
            <w:vAlign w:val="center"/>
          </w:tcPr>
          <w:p w:rsidR="00C9781F" w:rsidRPr="00AB6DA9" w:rsidRDefault="00C9781F" w:rsidP="00B53A0A">
            <w:pPr>
              <w:pStyle w:val="texto"/>
              <w:spacing w:after="0"/>
              <w:ind w:firstLine="0"/>
              <w:jc w:val="left"/>
              <w:rPr>
                <w:rFonts w:ascii="Arial Narrow" w:hAnsi="Arial Narrow"/>
                <w:sz w:val="20"/>
                <w:szCs w:val="20"/>
              </w:rPr>
            </w:pPr>
            <w:r>
              <w:rPr>
                <w:rFonts w:ascii="Arial Narrow" w:hAnsi="Arial Narrow"/>
                <w:sz w:val="20"/>
                <w:szCs w:val="20"/>
              </w:rPr>
              <w:t>Pruebas sustantivas</w:t>
            </w:r>
          </w:p>
        </w:tc>
        <w:tc>
          <w:tcPr>
            <w:tcW w:w="1391" w:type="dxa"/>
            <w:vAlign w:val="center"/>
          </w:tcPr>
          <w:p w:rsidR="00C9781F" w:rsidRPr="00EF38AD" w:rsidRDefault="00C9781F" w:rsidP="00B53A0A">
            <w:pPr>
              <w:pStyle w:val="texto"/>
              <w:spacing w:after="0"/>
              <w:ind w:firstLine="0"/>
              <w:jc w:val="right"/>
              <w:rPr>
                <w:rFonts w:ascii="Arial Narrow" w:hAnsi="Arial Narrow"/>
                <w:sz w:val="20"/>
                <w:szCs w:val="20"/>
              </w:rPr>
            </w:pPr>
            <w:r w:rsidRPr="00EF38AD">
              <w:rPr>
                <w:rFonts w:ascii="Arial Narrow" w:hAnsi="Arial Narrow"/>
                <w:sz w:val="20"/>
                <w:szCs w:val="20"/>
              </w:rPr>
              <w:t>19</w:t>
            </w:r>
          </w:p>
        </w:tc>
        <w:tc>
          <w:tcPr>
            <w:tcW w:w="2216" w:type="dxa"/>
            <w:vAlign w:val="center"/>
          </w:tcPr>
          <w:p w:rsidR="00C9781F" w:rsidRPr="00EF38AD" w:rsidRDefault="00C9781F" w:rsidP="00B53A0A">
            <w:pPr>
              <w:pStyle w:val="texto"/>
              <w:spacing w:after="0"/>
              <w:ind w:firstLine="0"/>
              <w:jc w:val="right"/>
              <w:rPr>
                <w:rFonts w:ascii="Arial Narrow" w:hAnsi="Arial Narrow"/>
                <w:sz w:val="20"/>
                <w:szCs w:val="20"/>
              </w:rPr>
            </w:pPr>
            <w:r w:rsidRPr="00EF38AD">
              <w:rPr>
                <w:rFonts w:ascii="Arial Narrow" w:hAnsi="Arial Narrow"/>
                <w:sz w:val="20"/>
                <w:szCs w:val="20"/>
              </w:rPr>
              <w:t>4</w:t>
            </w:r>
          </w:p>
        </w:tc>
        <w:tc>
          <w:tcPr>
            <w:tcW w:w="1521" w:type="dxa"/>
            <w:tcBorders>
              <w:right w:val="single" w:sz="2" w:space="0" w:color="auto"/>
            </w:tcBorders>
            <w:vAlign w:val="center"/>
          </w:tcPr>
          <w:p w:rsidR="00C9781F" w:rsidRPr="00EF38AD" w:rsidRDefault="00C9781F" w:rsidP="00B53A0A">
            <w:pPr>
              <w:pStyle w:val="texto"/>
              <w:spacing w:after="0"/>
              <w:ind w:firstLine="0"/>
              <w:jc w:val="right"/>
              <w:rPr>
                <w:rFonts w:ascii="Arial Narrow" w:hAnsi="Arial Narrow"/>
                <w:sz w:val="20"/>
                <w:szCs w:val="20"/>
              </w:rPr>
            </w:pPr>
            <w:r w:rsidRPr="00EF38AD">
              <w:rPr>
                <w:rFonts w:ascii="Arial Narrow" w:hAnsi="Arial Narrow"/>
                <w:sz w:val="20"/>
                <w:szCs w:val="20"/>
              </w:rPr>
              <w:t>4</w:t>
            </w:r>
          </w:p>
        </w:tc>
        <w:tc>
          <w:tcPr>
            <w:tcW w:w="1740" w:type="dxa"/>
            <w:tcBorders>
              <w:left w:val="single" w:sz="2" w:space="0" w:color="auto"/>
            </w:tcBorders>
            <w:vAlign w:val="center"/>
          </w:tcPr>
          <w:p w:rsidR="00C9781F" w:rsidRPr="00EF38AD" w:rsidRDefault="00C9781F" w:rsidP="00B53A0A">
            <w:pPr>
              <w:pStyle w:val="texto"/>
              <w:spacing w:after="0"/>
              <w:ind w:firstLine="0"/>
              <w:jc w:val="right"/>
              <w:rPr>
                <w:rFonts w:ascii="Arial Narrow" w:hAnsi="Arial Narrow"/>
                <w:sz w:val="20"/>
                <w:szCs w:val="20"/>
              </w:rPr>
            </w:pPr>
            <w:r w:rsidRPr="00EF38AD">
              <w:rPr>
                <w:rFonts w:ascii="Arial Narrow" w:hAnsi="Arial Narrow"/>
                <w:sz w:val="20"/>
                <w:szCs w:val="20"/>
              </w:rPr>
              <w:t>27</w:t>
            </w:r>
          </w:p>
        </w:tc>
      </w:tr>
    </w:tbl>
    <w:p w:rsidR="00C9781F" w:rsidRPr="006B54B3" w:rsidRDefault="00C9781F" w:rsidP="00C9781F">
      <w:pPr>
        <w:pStyle w:val="texto"/>
      </w:pPr>
      <w:r>
        <w:lastRenderedPageBreak/>
        <w:t>De los resultados derivados del cuadro anterior destacamos que el control sobre el proceso de gestión de altas, modificaciones y bajas</w:t>
      </w:r>
      <w:r w:rsidR="0036517C">
        <w:t xml:space="preserve"> </w:t>
      </w:r>
      <w:r>
        <w:t>de usuarios de las aplicaciones ATENEA, HCI y LAMIA es inefectivo, habiendo constatado, e</w:t>
      </w:r>
      <w:r>
        <w:t>n</w:t>
      </w:r>
      <w:r>
        <w:t xml:space="preserve">tre otros aspectos indicados en el epígrafe V de este informe, que </w:t>
      </w:r>
      <w:r w:rsidR="00447C39">
        <w:t>el proced</w:t>
      </w:r>
      <w:r w:rsidR="00447C39">
        <w:t>i</w:t>
      </w:r>
      <w:r w:rsidR="00447C39">
        <w:t xml:space="preserve">miento existente </w:t>
      </w:r>
      <w:r>
        <w:t xml:space="preserve">no </w:t>
      </w:r>
      <w:r w:rsidR="00447C39">
        <w:t xml:space="preserve">está actualizado, si bien, existen actualmente dos proyectos para llevar a cabo esta actualización. </w:t>
      </w:r>
    </w:p>
    <w:p w:rsidR="00C9781F" w:rsidRPr="00220BDD" w:rsidRDefault="00C9781F" w:rsidP="00C9781F">
      <w:pPr>
        <w:pStyle w:val="texto"/>
        <w:spacing w:after="240"/>
      </w:pPr>
      <w:r w:rsidRPr="00220BDD">
        <w:t>En nuestra opinión</w:t>
      </w:r>
      <w:r>
        <w:t>, a excepción de lo señalado en el párrafo anterior,</w:t>
      </w:r>
      <w:r w:rsidRPr="00220BDD">
        <w:t xml:space="preserve"> cabe concluir que el nivel de control existente en los procedimientos de gestión de la prestación farmacéutica y en los sistemas de información que los soportan, aporta un nivel de confianza razonable para garantizar su correcta ejecución, la adecuada contabilización de las transacciones realizadas y la validez, integr</w:t>
      </w:r>
      <w:r w:rsidRPr="00220BDD">
        <w:t>i</w:t>
      </w:r>
      <w:r w:rsidRPr="00220BDD">
        <w:t>dad, exactitud, confidencialidad y disponibilidad de la información relacionada.</w:t>
      </w:r>
    </w:p>
    <w:p w:rsidR="00C9781F" w:rsidRPr="00F377C9" w:rsidRDefault="00C9781F" w:rsidP="00C9781F">
      <w:pPr>
        <w:pStyle w:val="atitulo2"/>
      </w:pPr>
      <w:bookmarkStart w:id="45" w:name="_Toc3461809"/>
      <w:bookmarkStart w:id="46" w:name="_Toc4671428"/>
      <w:r w:rsidRPr="00F377C9">
        <w:t>I</w:t>
      </w:r>
      <w:r>
        <w:t>V</w:t>
      </w:r>
      <w:r w:rsidRPr="00F377C9">
        <w:t>.</w:t>
      </w:r>
      <w:r>
        <w:t>2</w:t>
      </w:r>
      <w:r w:rsidRPr="00F377C9">
        <w:t xml:space="preserve">. Opinión </w:t>
      </w:r>
      <w:bookmarkStart w:id="47" w:name="_Toc463350239"/>
      <w:bookmarkStart w:id="48" w:name="_Toc494270373"/>
      <w:bookmarkStart w:id="49" w:name="_Toc525907430"/>
      <w:bookmarkStart w:id="50" w:name="_Toc528855447"/>
      <w:r>
        <w:t>sobre</w:t>
      </w:r>
      <w:r w:rsidRPr="00F377C9">
        <w:t xml:space="preserve"> cumplimiento de legalidad</w:t>
      </w:r>
      <w:bookmarkEnd w:id="45"/>
      <w:bookmarkEnd w:id="47"/>
      <w:bookmarkEnd w:id="48"/>
      <w:bookmarkEnd w:id="49"/>
      <w:bookmarkEnd w:id="50"/>
      <w:bookmarkEnd w:id="46"/>
    </w:p>
    <w:p w:rsidR="00C9781F" w:rsidRDefault="00C9781F" w:rsidP="00C9781F">
      <w:pPr>
        <w:keepNext/>
        <w:spacing w:before="240" w:after="24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t xml:space="preserve">Fundamento de la </w:t>
      </w:r>
      <w:r>
        <w:rPr>
          <w:rFonts w:ascii="Arial" w:hAnsi="Arial"/>
          <w:i/>
          <w:iCs/>
          <w:color w:val="000000"/>
          <w:spacing w:val="10"/>
          <w:kern w:val="28"/>
          <w:sz w:val="25"/>
          <w:szCs w:val="26"/>
        </w:rPr>
        <w:t xml:space="preserve">opinión de cumplimiento con salvedades </w:t>
      </w:r>
    </w:p>
    <w:p w:rsidR="00C9781F" w:rsidRDefault="00C9781F" w:rsidP="00C9781F">
      <w:pPr>
        <w:pStyle w:val="texto"/>
        <w:tabs>
          <w:tab w:val="clear" w:pos="2835"/>
          <w:tab w:val="clear" w:pos="3969"/>
          <w:tab w:val="clear" w:pos="5103"/>
          <w:tab w:val="clear" w:pos="6237"/>
          <w:tab w:val="clear" w:pos="7371"/>
        </w:tabs>
      </w:pPr>
      <w:r>
        <w:t>La HTN no nos ha proporcionado el fichero que remite anualmente al INSS para que este organismo obtenga el porcentaje de aportación de cada ciud</w:t>
      </w:r>
      <w:r>
        <w:t>a</w:t>
      </w:r>
      <w:r>
        <w:t xml:space="preserve">dano, por lo que no hemos podido verificar si estos porcentajes se corresponden con los establecidos en la normativa. </w:t>
      </w:r>
    </w:p>
    <w:p w:rsidR="00C9781F" w:rsidRDefault="00C9781F" w:rsidP="00C9781F">
      <w:pPr>
        <w:keepNext/>
        <w:spacing w:before="240" w:after="240"/>
        <w:ind w:firstLine="0"/>
        <w:rPr>
          <w:rFonts w:ascii="Arial" w:hAnsi="Arial"/>
          <w:i/>
          <w:iCs/>
          <w:color w:val="000000"/>
          <w:spacing w:val="10"/>
          <w:kern w:val="28"/>
          <w:sz w:val="25"/>
          <w:szCs w:val="26"/>
        </w:rPr>
      </w:pPr>
      <w:r>
        <w:rPr>
          <w:rFonts w:ascii="Arial" w:hAnsi="Arial"/>
          <w:i/>
          <w:iCs/>
          <w:color w:val="000000"/>
          <w:spacing w:val="10"/>
          <w:kern w:val="28"/>
          <w:sz w:val="25"/>
          <w:szCs w:val="26"/>
        </w:rPr>
        <w:t>Opinión sobre cumplimiento de la legalidad con salvedades</w:t>
      </w:r>
    </w:p>
    <w:p w:rsidR="00C9781F" w:rsidRDefault="00C9781F" w:rsidP="00C9781F">
      <w:pPr>
        <w:pStyle w:val="texto"/>
        <w:spacing w:after="240"/>
        <w:rPr>
          <w:szCs w:val="26"/>
        </w:rPr>
      </w:pPr>
      <w:r>
        <w:t>En nuestra opinión, excepto por la limitación al alcance descrita en el párr</w:t>
      </w:r>
      <w:r>
        <w:t>a</w:t>
      </w:r>
      <w:r>
        <w:t>fo “Fundamento de la opinión de cumplimiento con salvedades”, el resto de a</w:t>
      </w:r>
      <w:r>
        <w:t>s</w:t>
      </w:r>
      <w:r>
        <w:t>pectos analizados relacionados con los importes de las facturas abonadas por el SNS-O al COFNA (precios medicamentos, descuentos y abonos) se adecúan a la normativa aplicable</w:t>
      </w:r>
      <w:r>
        <w:rPr>
          <w:szCs w:val="26"/>
        </w:rPr>
        <w:t>.</w:t>
      </w:r>
    </w:p>
    <w:p w:rsidR="00C9781F" w:rsidRPr="00D51592" w:rsidRDefault="00C9781F" w:rsidP="00C9781F">
      <w:pPr>
        <w:keepNext/>
        <w:spacing w:before="240" w:after="240"/>
        <w:ind w:firstLine="0"/>
        <w:rPr>
          <w:rFonts w:ascii="Arial" w:hAnsi="Arial"/>
          <w:i/>
          <w:iCs/>
          <w:color w:val="000000"/>
          <w:spacing w:val="10"/>
          <w:kern w:val="28"/>
          <w:sz w:val="25"/>
          <w:szCs w:val="26"/>
        </w:rPr>
      </w:pPr>
      <w:r>
        <w:rPr>
          <w:rFonts w:ascii="Arial" w:hAnsi="Arial"/>
          <w:i/>
          <w:iCs/>
          <w:color w:val="000000"/>
          <w:spacing w:val="10"/>
          <w:kern w:val="28"/>
          <w:sz w:val="25"/>
          <w:szCs w:val="26"/>
        </w:rPr>
        <w:t>Otros asuntos u o</w:t>
      </w:r>
      <w:r w:rsidRPr="00D51592">
        <w:rPr>
          <w:rFonts w:ascii="Arial" w:hAnsi="Arial"/>
          <w:i/>
          <w:iCs/>
          <w:color w:val="000000"/>
          <w:spacing w:val="10"/>
          <w:kern w:val="28"/>
          <w:sz w:val="25"/>
          <w:szCs w:val="26"/>
        </w:rPr>
        <w:t>bservaciones que no afectan a la opinión de cumpl</w:t>
      </w:r>
      <w:r w:rsidRPr="00D51592">
        <w:rPr>
          <w:rFonts w:ascii="Arial" w:hAnsi="Arial"/>
          <w:i/>
          <w:iCs/>
          <w:color w:val="000000"/>
          <w:spacing w:val="10"/>
          <w:kern w:val="28"/>
          <w:sz w:val="25"/>
          <w:szCs w:val="26"/>
        </w:rPr>
        <w:t>i</w:t>
      </w:r>
      <w:r w:rsidRPr="00D51592">
        <w:rPr>
          <w:rFonts w:ascii="Arial" w:hAnsi="Arial"/>
          <w:i/>
          <w:iCs/>
          <w:color w:val="000000"/>
          <w:spacing w:val="10"/>
          <w:kern w:val="28"/>
          <w:sz w:val="25"/>
          <w:szCs w:val="26"/>
        </w:rPr>
        <w:t>miento de legalidad</w:t>
      </w:r>
    </w:p>
    <w:p w:rsidR="00C9781F" w:rsidRDefault="00C9781F" w:rsidP="00C9781F">
      <w:pPr>
        <w:pStyle w:val="texto"/>
        <w:tabs>
          <w:tab w:val="clear" w:pos="2835"/>
          <w:tab w:val="clear" w:pos="3969"/>
          <w:tab w:val="clear" w:pos="5103"/>
          <w:tab w:val="clear" w:pos="6237"/>
          <w:tab w:val="clear" w:pos="7371"/>
        </w:tabs>
        <w:spacing w:after="120"/>
      </w:pPr>
      <w:r>
        <w:t>El Real Decreto 177/2014 establece el sistema de precios de referencia que se debe utilizar para la dispensación y facturación de las recetas que se actual</w:t>
      </w:r>
      <w:r>
        <w:t>i</w:t>
      </w:r>
      <w:r>
        <w:t xml:space="preserve">za mensualmente en un conjunto de ficheros denominado </w:t>
      </w:r>
      <w:r w:rsidR="00445899">
        <w:t>Nomenclátor</w:t>
      </w:r>
      <w:r>
        <w:t xml:space="preserve">. </w:t>
      </w:r>
    </w:p>
    <w:p w:rsidR="00C9781F" w:rsidRPr="00462A99" w:rsidRDefault="00C9781F" w:rsidP="00C9781F">
      <w:pPr>
        <w:pStyle w:val="texto"/>
        <w:tabs>
          <w:tab w:val="clear" w:pos="2835"/>
          <w:tab w:val="clear" w:pos="3969"/>
          <w:tab w:val="clear" w:pos="5103"/>
          <w:tab w:val="clear" w:pos="6237"/>
          <w:tab w:val="clear" w:pos="7371"/>
        </w:tabs>
      </w:pPr>
      <w:r w:rsidRPr="00462A99">
        <w:rPr>
          <w:szCs w:val="26"/>
        </w:rPr>
        <w:t xml:space="preserve">Según la información proporcionada por el COFNA, </w:t>
      </w:r>
      <w:r w:rsidRPr="00462A99">
        <w:t>las farmacias no util</w:t>
      </w:r>
      <w:r w:rsidRPr="00462A99">
        <w:t>i</w:t>
      </w:r>
      <w:r w:rsidRPr="00462A99">
        <w:t xml:space="preserve">zan los precios de este fichero para facturar al paciente, sino que </w:t>
      </w:r>
      <w:r>
        <w:t>lo obtienen de otras bases de datos propias o de una perteneciente al Consejo General de C</w:t>
      </w:r>
      <w:r>
        <w:t>o</w:t>
      </w:r>
      <w:r>
        <w:t>legios Oficiales Farmacéuticos</w:t>
      </w:r>
      <w:r w:rsidRPr="00462A99">
        <w:rPr>
          <w:szCs w:val="26"/>
        </w:rPr>
        <w:t>. La actualización adecuada de estos precios d</w:t>
      </w:r>
      <w:r w:rsidRPr="00462A99">
        <w:rPr>
          <w:szCs w:val="26"/>
        </w:rPr>
        <w:t>e</w:t>
      </w:r>
      <w:r w:rsidRPr="00462A99">
        <w:rPr>
          <w:szCs w:val="26"/>
        </w:rPr>
        <w:t>pende de</w:t>
      </w:r>
      <w:r>
        <w:rPr>
          <w:szCs w:val="26"/>
        </w:rPr>
        <w:t>l software de cada farmacia e incluso de cada una de éstas</w:t>
      </w:r>
      <w:r w:rsidRPr="00462A99">
        <w:rPr>
          <w:szCs w:val="26"/>
        </w:rPr>
        <w:t xml:space="preserve">, sin que </w:t>
      </w:r>
      <w:r>
        <w:rPr>
          <w:szCs w:val="26"/>
        </w:rPr>
        <w:t>exista</w:t>
      </w:r>
      <w:r w:rsidRPr="00462A99">
        <w:rPr>
          <w:szCs w:val="26"/>
        </w:rPr>
        <w:t xml:space="preserve"> un control sobre </w:t>
      </w:r>
      <w:r>
        <w:rPr>
          <w:szCs w:val="26"/>
        </w:rPr>
        <w:t>si las modificaciones se han realizado o no</w:t>
      </w:r>
      <w:r w:rsidRPr="00462A99">
        <w:rPr>
          <w:szCs w:val="26"/>
        </w:rPr>
        <w:t>.</w:t>
      </w:r>
    </w:p>
    <w:p w:rsidR="00FB0E27" w:rsidRDefault="00FB0E27">
      <w:pPr>
        <w:spacing w:after="0"/>
        <w:ind w:firstLine="0"/>
        <w:jc w:val="left"/>
        <w:rPr>
          <w:spacing w:val="6"/>
          <w:sz w:val="26"/>
          <w:szCs w:val="24"/>
        </w:rPr>
      </w:pPr>
      <w:r>
        <w:br w:type="page"/>
      </w:r>
    </w:p>
    <w:p w:rsidR="00C9781F" w:rsidRDefault="00C9781F" w:rsidP="00C9781F">
      <w:pPr>
        <w:pStyle w:val="texto"/>
        <w:tabs>
          <w:tab w:val="clear" w:pos="2835"/>
          <w:tab w:val="clear" w:pos="3969"/>
          <w:tab w:val="clear" w:pos="5103"/>
          <w:tab w:val="clear" w:pos="6237"/>
          <w:tab w:val="clear" w:pos="7371"/>
        </w:tabs>
      </w:pPr>
      <w:r>
        <w:lastRenderedPageBreak/>
        <w:t xml:space="preserve">Hemos verificado que, en 2018, según los datos de las dispensaciones que mandan </w:t>
      </w:r>
      <w:proofErr w:type="gramStart"/>
      <w:r>
        <w:t>los</w:t>
      </w:r>
      <w:proofErr w:type="gramEnd"/>
      <w:r>
        <w:t xml:space="preserve"> software de las farmacias a LAMIA, en 102.668 ocasiones las fa</w:t>
      </w:r>
      <w:r>
        <w:t>r</w:t>
      </w:r>
      <w:r>
        <w:t>macias han dispensado productos a un precio diferente al establecido según la normativa. De acuerdo a esta información, en 48.740 casos correspondientes a 2.167 productos dispensados por 589 farmacias, los pacientes habrían abonado 16.511 euros más y 2.006 euros menos de lo debido, lo que supondría un efecto neto a favor de las farmacias de 14.505 euros. El resto de casos no afectarían al precio abonado por el paciente por los siguientes motivos: son medicamentos exentos de aportación o financiados al 100 por ciento; son medicamentos en los cuales el paciente tiene que aportar el 100 por ciento y pueden ser vendidos a precios distintos</w:t>
      </w:r>
      <w:r w:rsidR="00E110B2">
        <w:t xml:space="preserve"> hasta un límite establecido en la normativa</w:t>
      </w:r>
      <w:r>
        <w:t>; son medicamentos de aportación reducida en los que el paciente abona el límite máximo de 4,24 euros independientemente del precio</w:t>
      </w:r>
      <w:r w:rsidR="001A1B96">
        <w:t>;</w:t>
      </w:r>
      <w:r>
        <w:t xml:space="preserve"> o son medicamentos en los que ha exist</w:t>
      </w:r>
      <w:r>
        <w:t>i</w:t>
      </w:r>
      <w:r>
        <w:t>do un error en los decimales al introducir el precio.</w:t>
      </w:r>
    </w:p>
    <w:p w:rsidR="00C9781F" w:rsidRDefault="00C9781F" w:rsidP="00C9781F">
      <w:pPr>
        <w:pStyle w:val="texto"/>
        <w:spacing w:after="240"/>
      </w:pPr>
      <w:r>
        <w:t xml:space="preserve">Si bien el hecho de que los precios utilizados por las farmacias para facturar al paciente no se obtengan del </w:t>
      </w:r>
      <w:r w:rsidR="00445899">
        <w:t>Nomenclátor</w:t>
      </w:r>
      <w:r>
        <w:t xml:space="preserve"> existiendo errores, tal y como h</w:t>
      </w:r>
      <w:r>
        <w:t>e</w:t>
      </w:r>
      <w:r>
        <w:t>mos citado en el párrafo anterior, no afecta al gasto del SNS-O, ni es un po</w:t>
      </w:r>
      <w:r>
        <w:t>r</w:t>
      </w:r>
      <w:r>
        <w:t>centaje significativo en el total de las dispensaciones realizadas en 2018 (10,39 millones</w:t>
      </w:r>
      <w:r w:rsidR="001A1B96">
        <w:t>). E</w:t>
      </w:r>
      <w:r>
        <w:t xml:space="preserve">ntendemos que no es razonable que los pacientes abonen por el mismo medicamento cantidades diferentes entre sí, y distintas a las establecidas en la normativa, aunque esta situación se haya dado tan solo en un uno por ciento de las dispensaciones en 2018. </w:t>
      </w:r>
    </w:p>
    <w:p w:rsidR="00C9781F" w:rsidRPr="00F377C9" w:rsidRDefault="00C9781F" w:rsidP="00C9781F">
      <w:pPr>
        <w:pStyle w:val="atitulo2"/>
        <w:spacing w:after="120"/>
      </w:pPr>
      <w:bookmarkStart w:id="51" w:name="_Toc3461810"/>
      <w:bookmarkStart w:id="52" w:name="_Toc4671429"/>
      <w:r w:rsidRPr="00F377C9">
        <w:t>I</w:t>
      </w:r>
      <w:r>
        <w:t>V</w:t>
      </w:r>
      <w:r w:rsidRPr="00F377C9">
        <w:t>.</w:t>
      </w:r>
      <w:r>
        <w:t>3</w:t>
      </w:r>
      <w:r w:rsidRPr="00F377C9">
        <w:t>. Opinión de auditoría financiera</w:t>
      </w:r>
      <w:bookmarkEnd w:id="51"/>
      <w:bookmarkEnd w:id="52"/>
      <w:r w:rsidRPr="00F377C9">
        <w:t xml:space="preserve"> </w:t>
      </w:r>
      <w:bookmarkEnd w:id="36"/>
      <w:bookmarkEnd w:id="37"/>
      <w:bookmarkEnd w:id="38"/>
      <w:bookmarkEnd w:id="39"/>
    </w:p>
    <w:p w:rsidR="00C9781F" w:rsidRPr="00F377C9" w:rsidRDefault="00C9781F" w:rsidP="00C9781F">
      <w:pPr>
        <w:keepNext/>
        <w:spacing w:before="240" w:after="24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t xml:space="preserve">Fundamento de la </w:t>
      </w:r>
      <w:r>
        <w:rPr>
          <w:rFonts w:ascii="Arial" w:hAnsi="Arial"/>
          <w:i/>
          <w:iCs/>
          <w:color w:val="000000"/>
          <w:spacing w:val="10"/>
          <w:kern w:val="28"/>
          <w:sz w:val="25"/>
          <w:szCs w:val="26"/>
        </w:rPr>
        <w:t>abstención de opinión financiera</w:t>
      </w:r>
    </w:p>
    <w:p w:rsidR="00C9781F" w:rsidRDefault="00C9781F" w:rsidP="00C9781F">
      <w:pPr>
        <w:tabs>
          <w:tab w:val="center" w:pos="2835"/>
          <w:tab w:val="center" w:pos="3969"/>
          <w:tab w:val="center" w:pos="5103"/>
          <w:tab w:val="center" w:pos="6237"/>
          <w:tab w:val="center" w:pos="7371"/>
        </w:tabs>
        <w:ind w:firstLine="284"/>
        <w:rPr>
          <w:spacing w:val="6"/>
          <w:sz w:val="26"/>
          <w:szCs w:val="24"/>
        </w:rPr>
      </w:pPr>
      <w:r>
        <w:rPr>
          <w:spacing w:val="6"/>
          <w:sz w:val="26"/>
          <w:szCs w:val="24"/>
        </w:rPr>
        <w:t>Como ya hemos citado, no hemos tenido acceso al fichero que remite la HTN al INSS, lo que nos ha impedido comprobar si los porcentajes de aport</w:t>
      </w:r>
      <w:r>
        <w:rPr>
          <w:spacing w:val="6"/>
          <w:sz w:val="26"/>
          <w:szCs w:val="24"/>
        </w:rPr>
        <w:t>a</w:t>
      </w:r>
      <w:r>
        <w:rPr>
          <w:spacing w:val="6"/>
          <w:sz w:val="26"/>
          <w:szCs w:val="24"/>
        </w:rPr>
        <w:t>ción de los ciudadanos al pago de los medicamentos y productos sanitarios son los correctos, y por lo tanto si el gasto del SNS-O relacionado con la prestación farmacéutica, que en 2017 ascendió a 138,75 millones de euros, es correcto.</w:t>
      </w:r>
    </w:p>
    <w:p w:rsidR="00C9781F" w:rsidRPr="00F377C9" w:rsidRDefault="00C9781F" w:rsidP="00C9781F">
      <w:pPr>
        <w:keepNext/>
        <w:spacing w:before="240" w:after="240"/>
        <w:ind w:firstLine="0"/>
        <w:rPr>
          <w:rFonts w:ascii="Arial" w:hAnsi="Arial"/>
          <w:i/>
          <w:iCs/>
          <w:color w:val="000000"/>
          <w:spacing w:val="10"/>
          <w:kern w:val="28"/>
          <w:sz w:val="25"/>
          <w:szCs w:val="26"/>
        </w:rPr>
      </w:pPr>
      <w:r>
        <w:rPr>
          <w:rFonts w:ascii="Arial" w:hAnsi="Arial"/>
          <w:i/>
          <w:iCs/>
          <w:color w:val="000000"/>
          <w:spacing w:val="10"/>
          <w:kern w:val="28"/>
          <w:sz w:val="25"/>
          <w:szCs w:val="26"/>
        </w:rPr>
        <w:t xml:space="preserve">Abstención de opinión financiera </w:t>
      </w:r>
    </w:p>
    <w:p w:rsidR="00C9781F" w:rsidRDefault="00C9781F" w:rsidP="00C9781F">
      <w:pPr>
        <w:pStyle w:val="texto"/>
        <w:rPr>
          <w:rFonts w:ascii="Arial" w:hAnsi="Arial"/>
          <w:b/>
          <w:color w:val="000000"/>
          <w:kern w:val="28"/>
          <w:sz w:val="25"/>
          <w:szCs w:val="26"/>
        </w:rPr>
      </w:pPr>
      <w:r>
        <w:t>Debido al efecto muy significativo del hecho descrito en el párrafo de “Fu</w:t>
      </w:r>
      <w:r>
        <w:t>n</w:t>
      </w:r>
      <w:r>
        <w:t>damento de la abstención de opinión financiera”, no hemos podido obtener ev</w:t>
      </w:r>
      <w:r>
        <w:t>i</w:t>
      </w:r>
      <w:r>
        <w:t>dencia de auditoría que proporcione una base suficiente y adecuada para expr</w:t>
      </w:r>
      <w:r>
        <w:t>e</w:t>
      </w:r>
      <w:r>
        <w:t>sar una opinión de auditoría. En consecuencia, no expresamos una opinión f</w:t>
      </w:r>
      <w:r>
        <w:t>i</w:t>
      </w:r>
      <w:r>
        <w:t>nanciera sobre las partidas presupuestarias relacionadas con la prestación fa</w:t>
      </w:r>
      <w:r>
        <w:t>r</w:t>
      </w:r>
      <w:r>
        <w:t>macéutica</w:t>
      </w:r>
      <w:r w:rsidRPr="00F377C9">
        <w:t>.</w:t>
      </w:r>
      <w:bookmarkEnd w:id="40"/>
      <w:bookmarkEnd w:id="41"/>
      <w:bookmarkEnd w:id="42"/>
      <w:bookmarkEnd w:id="43"/>
      <w:bookmarkEnd w:id="44"/>
      <w:r>
        <w:br w:type="page"/>
      </w:r>
    </w:p>
    <w:p w:rsidR="00C9781F" w:rsidRPr="00BB1925" w:rsidRDefault="00C9781F" w:rsidP="00C9781F">
      <w:pPr>
        <w:pStyle w:val="atitulo1"/>
      </w:pPr>
      <w:bookmarkStart w:id="53" w:name="_Toc3461811"/>
      <w:bookmarkStart w:id="54" w:name="_Toc4671430"/>
      <w:r w:rsidRPr="00BB1925">
        <w:lastRenderedPageBreak/>
        <w:t xml:space="preserve">V. </w:t>
      </w:r>
      <w:bookmarkEnd w:id="28"/>
      <w:bookmarkEnd w:id="29"/>
      <w:r w:rsidRPr="00BB1925">
        <w:t>Conclusiones y recomendaciones</w:t>
      </w:r>
      <w:bookmarkEnd w:id="30"/>
      <w:bookmarkEnd w:id="31"/>
      <w:bookmarkEnd w:id="53"/>
      <w:bookmarkEnd w:id="54"/>
    </w:p>
    <w:p w:rsidR="00C9781F" w:rsidRPr="00AD43EF" w:rsidRDefault="00C9781F" w:rsidP="00C9781F">
      <w:pPr>
        <w:pStyle w:val="texto"/>
        <w:spacing w:after="240"/>
      </w:pPr>
      <w:r w:rsidRPr="00AD43EF">
        <w:t>Presentamos en este epígrafe las principales conclusiones del trabajo realiz</w:t>
      </w:r>
      <w:r w:rsidRPr="00AD43EF">
        <w:t>a</w:t>
      </w:r>
      <w:r w:rsidRPr="00AD43EF">
        <w:t>do y las recomendaciones que consideramos oportunas para mejorar las def</w:t>
      </w:r>
      <w:r w:rsidRPr="00AD43EF">
        <w:t>i</w:t>
      </w:r>
      <w:r w:rsidRPr="00AD43EF">
        <w:t>ciencias detectadas.</w:t>
      </w:r>
    </w:p>
    <w:p w:rsidR="00C9781F" w:rsidRDefault="00C9781F" w:rsidP="00C9781F">
      <w:pPr>
        <w:pStyle w:val="atitulo2"/>
        <w:spacing w:after="120"/>
      </w:pPr>
      <w:bookmarkStart w:id="55" w:name="_Toc477171875"/>
      <w:bookmarkStart w:id="56" w:name="_Toc3461812"/>
      <w:bookmarkStart w:id="57" w:name="_Toc4671431"/>
      <w:r w:rsidRPr="00723975">
        <w:t>V.</w:t>
      </w:r>
      <w:r>
        <w:t>1</w:t>
      </w:r>
      <w:r w:rsidRPr="00723975">
        <w:t xml:space="preserve">. </w:t>
      </w:r>
      <w:bookmarkEnd w:id="55"/>
      <w:r>
        <w:t>Procedimiento de gestión de la prestación farmacéutica</w:t>
      </w:r>
      <w:bookmarkEnd w:id="56"/>
      <w:bookmarkEnd w:id="57"/>
    </w:p>
    <w:p w:rsidR="00C9781F" w:rsidRDefault="00C9781F" w:rsidP="00C9781F">
      <w:pPr>
        <w:pStyle w:val="texto"/>
        <w:tabs>
          <w:tab w:val="clear" w:pos="2835"/>
          <w:tab w:val="clear" w:pos="3969"/>
          <w:tab w:val="clear" w:pos="5103"/>
          <w:tab w:val="clear" w:pos="6237"/>
          <w:tab w:val="clear" w:pos="7371"/>
        </w:tabs>
        <w:spacing w:before="120"/>
        <w:rPr>
          <w:szCs w:val="26"/>
        </w:rPr>
      </w:pPr>
      <w:bookmarkStart w:id="58" w:name="_Toc478553366"/>
      <w:bookmarkStart w:id="59" w:name="_Toc477171876"/>
      <w:bookmarkStart w:id="60" w:name="_Toc446862154"/>
      <w:bookmarkStart w:id="61" w:name="_Toc447017464"/>
      <w:bookmarkStart w:id="62" w:name="_Toc447023130"/>
      <w:bookmarkStart w:id="63" w:name="_Toc447195027"/>
      <w:r>
        <w:rPr>
          <w:szCs w:val="26"/>
        </w:rPr>
        <w:t xml:space="preserve">El procedimiento de gestión de la prestación farmacéutica se divide en varias fases que difieren en función de si la receta fue prescrita electrónicamente o en papel. </w:t>
      </w:r>
    </w:p>
    <w:p w:rsidR="00C9781F" w:rsidRDefault="00C9781F" w:rsidP="00C9781F">
      <w:pPr>
        <w:pStyle w:val="texto"/>
        <w:tabs>
          <w:tab w:val="clear" w:pos="2835"/>
          <w:tab w:val="clear" w:pos="3969"/>
          <w:tab w:val="clear" w:pos="5103"/>
          <w:tab w:val="clear" w:pos="6237"/>
          <w:tab w:val="clear" w:pos="7371"/>
        </w:tabs>
        <w:spacing w:before="120"/>
        <w:rPr>
          <w:szCs w:val="26"/>
        </w:rPr>
      </w:pPr>
      <w:r>
        <w:rPr>
          <w:szCs w:val="26"/>
        </w:rPr>
        <w:t>Dado que la mayoría de las recetas son electrónicas, hemos recogido en el Anexo 3 las fases para este tipo de prescripción que básicamente son: carga de datos relativos a medicamentos y porcentajes de aportación del ciudadano, prescripción, visado en caso de que el medicamento lo precise, dispensación, facturación, contabilización, pago, cotejos, tratamiento de las discrepancias d</w:t>
      </w:r>
      <w:r>
        <w:rPr>
          <w:szCs w:val="26"/>
        </w:rPr>
        <w:t>e</w:t>
      </w:r>
      <w:r>
        <w:rPr>
          <w:szCs w:val="26"/>
        </w:rPr>
        <w:t>tectadas y liquidación de las discrepancias en facturas posteriores.</w:t>
      </w:r>
    </w:p>
    <w:p w:rsidR="00C9781F" w:rsidRPr="00D21F89" w:rsidRDefault="00C9781F" w:rsidP="00C9781F">
      <w:pPr>
        <w:keepNext/>
        <w:spacing w:before="240" w:after="240"/>
        <w:ind w:firstLine="0"/>
        <w:rPr>
          <w:rFonts w:ascii="Arial" w:hAnsi="Arial"/>
          <w:i/>
          <w:iCs/>
          <w:color w:val="000000"/>
          <w:spacing w:val="10"/>
          <w:kern w:val="28"/>
          <w:sz w:val="25"/>
          <w:szCs w:val="26"/>
        </w:rPr>
      </w:pPr>
      <w:r w:rsidRPr="00D21F89">
        <w:rPr>
          <w:rFonts w:ascii="Arial" w:hAnsi="Arial"/>
          <w:i/>
          <w:iCs/>
          <w:color w:val="000000"/>
          <w:spacing w:val="10"/>
          <w:kern w:val="28"/>
          <w:sz w:val="25"/>
          <w:szCs w:val="26"/>
        </w:rPr>
        <w:t>Descripción del procedimiento</w:t>
      </w:r>
    </w:p>
    <w:p w:rsidR="00C9781F" w:rsidRDefault="00C9781F" w:rsidP="00C9781F">
      <w:pPr>
        <w:pStyle w:val="texto"/>
        <w:tabs>
          <w:tab w:val="clear" w:pos="2835"/>
          <w:tab w:val="clear" w:pos="3969"/>
          <w:tab w:val="clear" w:pos="5103"/>
          <w:tab w:val="clear" w:pos="6237"/>
          <w:tab w:val="clear" w:pos="7371"/>
        </w:tabs>
        <w:spacing w:before="120"/>
        <w:rPr>
          <w:szCs w:val="26"/>
        </w:rPr>
      </w:pPr>
      <w:r>
        <w:rPr>
          <w:szCs w:val="26"/>
        </w:rPr>
        <w:t>A continuación describimos brevemente cada fase en la que se divide este procedimiento incluyendo asimismo el correspondiente a las recetas en papel:</w:t>
      </w:r>
    </w:p>
    <w:p w:rsidR="00C9781F" w:rsidRPr="00FD3D55" w:rsidRDefault="00C9781F" w:rsidP="002303D6">
      <w:pPr>
        <w:pStyle w:val="texto"/>
        <w:numPr>
          <w:ilvl w:val="0"/>
          <w:numId w:val="5"/>
        </w:numPr>
        <w:tabs>
          <w:tab w:val="clear" w:pos="2835"/>
          <w:tab w:val="clear" w:pos="3969"/>
          <w:tab w:val="clear" w:pos="5103"/>
          <w:tab w:val="clear" w:pos="6237"/>
          <w:tab w:val="clear" w:pos="7371"/>
        </w:tabs>
        <w:spacing w:before="240" w:after="120"/>
        <w:ind w:left="0" w:firstLine="284"/>
        <w:rPr>
          <w:b/>
          <w:szCs w:val="26"/>
        </w:rPr>
      </w:pPr>
      <w:r w:rsidRPr="00FD3D55">
        <w:rPr>
          <w:b/>
          <w:szCs w:val="26"/>
        </w:rPr>
        <w:t>Carga de datos relativos a medicamentos en los sistemas</w:t>
      </w:r>
    </w:p>
    <w:p w:rsidR="00C9781F" w:rsidRDefault="00C9781F" w:rsidP="00C9781F">
      <w:pPr>
        <w:pStyle w:val="texto"/>
        <w:tabs>
          <w:tab w:val="clear" w:pos="2835"/>
          <w:tab w:val="clear" w:pos="3969"/>
          <w:tab w:val="clear" w:pos="5103"/>
          <w:tab w:val="clear" w:pos="6237"/>
          <w:tab w:val="clear" w:pos="7371"/>
        </w:tabs>
        <w:spacing w:before="120"/>
        <w:rPr>
          <w:szCs w:val="26"/>
        </w:rPr>
      </w:pPr>
      <w:r>
        <w:rPr>
          <w:szCs w:val="26"/>
        </w:rPr>
        <w:t>El Ministerio de Sanidad, Consumo y Bienestar Social actualiza mensua</w:t>
      </w:r>
      <w:r>
        <w:rPr>
          <w:szCs w:val="26"/>
        </w:rPr>
        <w:t>l</w:t>
      </w:r>
      <w:r>
        <w:rPr>
          <w:szCs w:val="26"/>
        </w:rPr>
        <w:t>mente los medicamentos que pueden ser prescritos (financiables o no), sus dif</w:t>
      </w:r>
      <w:r>
        <w:rPr>
          <w:szCs w:val="26"/>
        </w:rPr>
        <w:t>e</w:t>
      </w:r>
      <w:r>
        <w:rPr>
          <w:szCs w:val="26"/>
        </w:rPr>
        <w:t xml:space="preserve">rentes precios y otras características como su requisito de visado (aspecto que se detalla en la página 20 de este informe. Esta información es remitida a las comunidades autónomas y a los colegios oficiales de farmacéuticos para que la incorporen a sus sistemas en un conjunto de ficheros denominado </w:t>
      </w:r>
      <w:r w:rsidR="00445899">
        <w:rPr>
          <w:szCs w:val="26"/>
        </w:rPr>
        <w:t>Nomenclátor</w:t>
      </w:r>
      <w:r>
        <w:rPr>
          <w:szCs w:val="26"/>
        </w:rPr>
        <w:t xml:space="preserve">. </w:t>
      </w:r>
    </w:p>
    <w:p w:rsidR="00C9781F" w:rsidRDefault="00C9781F" w:rsidP="00C9781F">
      <w:pPr>
        <w:pStyle w:val="texto"/>
        <w:tabs>
          <w:tab w:val="clear" w:pos="2835"/>
          <w:tab w:val="clear" w:pos="3969"/>
          <w:tab w:val="clear" w:pos="5103"/>
          <w:tab w:val="clear" w:pos="6237"/>
          <w:tab w:val="clear" w:pos="7371"/>
        </w:tabs>
        <w:spacing w:before="120"/>
        <w:rPr>
          <w:szCs w:val="26"/>
        </w:rPr>
      </w:pPr>
      <w:r>
        <w:rPr>
          <w:szCs w:val="26"/>
        </w:rPr>
        <w:t>E</w:t>
      </w:r>
      <w:r w:rsidRPr="00F83646">
        <w:rPr>
          <w:szCs w:val="26"/>
        </w:rPr>
        <w:t xml:space="preserve">n el caso de Navarra, </w:t>
      </w:r>
      <w:r>
        <w:rPr>
          <w:szCs w:val="26"/>
        </w:rPr>
        <w:t xml:space="preserve">una persona de perfil farmacéutico del Servicio de Gestión de la Prestación Farmacéutica es la encargada de adecuar técnicamente el </w:t>
      </w:r>
      <w:r w:rsidR="00445899">
        <w:rPr>
          <w:szCs w:val="26"/>
        </w:rPr>
        <w:t>Nomenclátor</w:t>
      </w:r>
      <w:r>
        <w:rPr>
          <w:szCs w:val="26"/>
        </w:rPr>
        <w:t xml:space="preserve"> para incorporarlo a </w:t>
      </w:r>
      <w:r w:rsidRPr="00F83646">
        <w:rPr>
          <w:szCs w:val="26"/>
        </w:rPr>
        <w:t>LAMIA a través de distintos procedimie</w:t>
      </w:r>
      <w:r w:rsidRPr="00F83646">
        <w:rPr>
          <w:szCs w:val="26"/>
        </w:rPr>
        <w:t>n</w:t>
      </w:r>
      <w:r w:rsidRPr="00F83646">
        <w:rPr>
          <w:szCs w:val="26"/>
        </w:rPr>
        <w:t xml:space="preserve">tos. </w:t>
      </w:r>
      <w:r>
        <w:rPr>
          <w:szCs w:val="26"/>
        </w:rPr>
        <w:t>Estos cambios son en unos casos automáticos y en otros manuales.</w:t>
      </w:r>
    </w:p>
    <w:p w:rsidR="00C9781F" w:rsidRPr="00FD3D55" w:rsidRDefault="00C9781F" w:rsidP="002303D6">
      <w:pPr>
        <w:pStyle w:val="texto"/>
        <w:numPr>
          <w:ilvl w:val="0"/>
          <w:numId w:val="5"/>
        </w:numPr>
        <w:tabs>
          <w:tab w:val="clear" w:pos="2835"/>
          <w:tab w:val="clear" w:pos="3969"/>
          <w:tab w:val="clear" w:pos="5103"/>
          <w:tab w:val="clear" w:pos="6237"/>
          <w:tab w:val="clear" w:pos="7371"/>
        </w:tabs>
        <w:spacing w:before="240" w:after="120"/>
        <w:ind w:left="0" w:firstLine="284"/>
        <w:rPr>
          <w:b/>
          <w:szCs w:val="26"/>
        </w:rPr>
      </w:pPr>
      <w:r w:rsidRPr="00FD3D55">
        <w:rPr>
          <w:b/>
          <w:szCs w:val="26"/>
        </w:rPr>
        <w:t>Carga de datos relativos al porcentaje de aportación de cada ciud</w:t>
      </w:r>
      <w:r w:rsidRPr="00FD3D55">
        <w:rPr>
          <w:b/>
          <w:szCs w:val="26"/>
        </w:rPr>
        <w:t>a</w:t>
      </w:r>
      <w:r w:rsidRPr="00FD3D55">
        <w:rPr>
          <w:b/>
          <w:szCs w:val="26"/>
        </w:rPr>
        <w:t>dano en los sistemas</w:t>
      </w:r>
    </w:p>
    <w:p w:rsidR="00C9781F" w:rsidRDefault="00C9781F" w:rsidP="00C9781F">
      <w:pPr>
        <w:pStyle w:val="texto"/>
        <w:tabs>
          <w:tab w:val="clear" w:pos="2835"/>
          <w:tab w:val="clear" w:pos="3969"/>
          <w:tab w:val="clear" w:pos="5103"/>
          <w:tab w:val="clear" w:pos="6237"/>
          <w:tab w:val="clear" w:pos="7371"/>
        </w:tabs>
        <w:spacing w:before="120"/>
        <w:rPr>
          <w:szCs w:val="26"/>
        </w:rPr>
      </w:pPr>
      <w:r w:rsidRPr="0048550E">
        <w:rPr>
          <w:szCs w:val="26"/>
        </w:rPr>
        <w:t xml:space="preserve">En octubre de cada año, </w:t>
      </w:r>
      <w:r>
        <w:rPr>
          <w:szCs w:val="26"/>
        </w:rPr>
        <w:t>las administraciones tributarias</w:t>
      </w:r>
      <w:r w:rsidRPr="0048550E">
        <w:rPr>
          <w:szCs w:val="26"/>
        </w:rPr>
        <w:t xml:space="preserve"> de las comunidades autónomas remiten </w:t>
      </w:r>
      <w:r>
        <w:rPr>
          <w:szCs w:val="26"/>
        </w:rPr>
        <w:t>al INSS</w:t>
      </w:r>
      <w:r w:rsidRPr="0048550E">
        <w:rPr>
          <w:szCs w:val="26"/>
        </w:rPr>
        <w:t xml:space="preserve"> información</w:t>
      </w:r>
      <w:r>
        <w:rPr>
          <w:szCs w:val="26"/>
        </w:rPr>
        <w:t xml:space="preserve"> </w:t>
      </w:r>
      <w:r w:rsidRPr="0048550E">
        <w:rPr>
          <w:szCs w:val="26"/>
        </w:rPr>
        <w:t>sobre determinadas casillas de la d</w:t>
      </w:r>
      <w:r w:rsidRPr="0048550E">
        <w:rPr>
          <w:szCs w:val="26"/>
        </w:rPr>
        <w:t>e</w:t>
      </w:r>
      <w:r w:rsidRPr="0048550E">
        <w:rPr>
          <w:szCs w:val="26"/>
        </w:rPr>
        <w:t>claración de la renta de los ciudadanos.</w:t>
      </w:r>
    </w:p>
    <w:p w:rsidR="00C9781F" w:rsidRDefault="00C9781F" w:rsidP="00C9781F">
      <w:pPr>
        <w:pStyle w:val="texto"/>
        <w:tabs>
          <w:tab w:val="clear" w:pos="2835"/>
          <w:tab w:val="clear" w:pos="3969"/>
          <w:tab w:val="clear" w:pos="5103"/>
          <w:tab w:val="clear" w:pos="6237"/>
          <w:tab w:val="clear" w:pos="7371"/>
        </w:tabs>
        <w:spacing w:before="120"/>
        <w:rPr>
          <w:szCs w:val="26"/>
        </w:rPr>
      </w:pPr>
      <w:r w:rsidRPr="0048550E">
        <w:rPr>
          <w:szCs w:val="26"/>
        </w:rPr>
        <w:t xml:space="preserve">Uniendo esta información con la </w:t>
      </w:r>
      <w:r>
        <w:rPr>
          <w:szCs w:val="26"/>
        </w:rPr>
        <w:t xml:space="preserve">referida a cada persona sobre una posible incapacidad, la </w:t>
      </w:r>
      <w:r w:rsidRPr="0048550E">
        <w:rPr>
          <w:szCs w:val="26"/>
        </w:rPr>
        <w:t xml:space="preserve">edad y situación laboral, </w:t>
      </w:r>
      <w:r>
        <w:rPr>
          <w:szCs w:val="26"/>
        </w:rPr>
        <w:t>el INSS</w:t>
      </w:r>
      <w:r w:rsidRPr="0048550E">
        <w:rPr>
          <w:szCs w:val="26"/>
        </w:rPr>
        <w:t xml:space="preserve"> obtiene el porcentaje de apo</w:t>
      </w:r>
      <w:r w:rsidRPr="0048550E">
        <w:rPr>
          <w:szCs w:val="26"/>
        </w:rPr>
        <w:t>r</w:t>
      </w:r>
      <w:r w:rsidRPr="0048550E">
        <w:rPr>
          <w:szCs w:val="26"/>
        </w:rPr>
        <w:t>tación individualizado. Esta actualización está preparada para la pri</w:t>
      </w:r>
      <w:r>
        <w:rPr>
          <w:szCs w:val="26"/>
        </w:rPr>
        <w:t>mera sem</w:t>
      </w:r>
      <w:r>
        <w:rPr>
          <w:szCs w:val="26"/>
        </w:rPr>
        <w:t>a</w:t>
      </w:r>
      <w:r>
        <w:rPr>
          <w:szCs w:val="26"/>
        </w:rPr>
        <w:lastRenderedPageBreak/>
        <w:t>na de diciembre, momento en el cual estos datos se transmiten desde este inst</w:t>
      </w:r>
      <w:r>
        <w:rPr>
          <w:szCs w:val="26"/>
        </w:rPr>
        <w:t>i</w:t>
      </w:r>
      <w:r>
        <w:rPr>
          <w:szCs w:val="26"/>
        </w:rPr>
        <w:t>tuto al ministerio competente en materia de sanidad, y éste lo remite a las c</w:t>
      </w:r>
      <w:r>
        <w:rPr>
          <w:szCs w:val="26"/>
        </w:rPr>
        <w:t>o</w:t>
      </w:r>
      <w:r>
        <w:rPr>
          <w:szCs w:val="26"/>
        </w:rPr>
        <w:t>munidades autónomas para que lo incorporen a sus sistemas. En concreto en Navarra, la aplicación LAKORA es la que contiene estos porcentajes.</w:t>
      </w:r>
    </w:p>
    <w:p w:rsidR="00C9781F" w:rsidRDefault="00C9781F" w:rsidP="00C9781F">
      <w:pPr>
        <w:pStyle w:val="texto"/>
        <w:tabs>
          <w:tab w:val="clear" w:pos="2835"/>
          <w:tab w:val="clear" w:pos="3969"/>
          <w:tab w:val="clear" w:pos="5103"/>
          <w:tab w:val="clear" w:pos="6237"/>
          <w:tab w:val="clear" w:pos="7371"/>
        </w:tabs>
        <w:spacing w:before="120"/>
        <w:rPr>
          <w:szCs w:val="26"/>
        </w:rPr>
      </w:pPr>
      <w:r>
        <w:rPr>
          <w:szCs w:val="26"/>
        </w:rPr>
        <w:t>Además de esta actualización anual general, diariamente se recalculan los porcentajes para determinados ciudadanos en función de la información del INSS sobre jubilaciones, pasos de beneficiario a titular, situación laboral, inv</w:t>
      </w:r>
      <w:r>
        <w:rPr>
          <w:szCs w:val="26"/>
        </w:rPr>
        <w:t>a</w:t>
      </w:r>
      <w:r>
        <w:rPr>
          <w:szCs w:val="26"/>
        </w:rPr>
        <w:t>lidez, etc., incorporándose en la aplicación citada.</w:t>
      </w:r>
    </w:p>
    <w:p w:rsidR="00C9781F" w:rsidRDefault="00C9781F" w:rsidP="00C9781F">
      <w:pPr>
        <w:pStyle w:val="texto"/>
        <w:tabs>
          <w:tab w:val="clear" w:pos="2835"/>
          <w:tab w:val="clear" w:pos="3969"/>
          <w:tab w:val="clear" w:pos="5103"/>
          <w:tab w:val="clear" w:pos="6237"/>
          <w:tab w:val="clear" w:pos="7371"/>
        </w:tabs>
        <w:spacing w:before="120"/>
        <w:rPr>
          <w:szCs w:val="26"/>
        </w:rPr>
      </w:pPr>
      <w:r>
        <w:rPr>
          <w:szCs w:val="26"/>
        </w:rPr>
        <w:t>Estas modificaciones se realizan diariamente en un proceso, que tiene una parte automática y otra manual. La parte manual es realizada por personal del SNS-O y se concentra en cambios debidos, entre otras causas, a posibles bajas del sistema por fallecimiento o pérdida del derecho de aseguramiento, perce</w:t>
      </w:r>
      <w:r>
        <w:rPr>
          <w:szCs w:val="26"/>
        </w:rPr>
        <w:t>p</w:t>
      </w:r>
      <w:r>
        <w:rPr>
          <w:szCs w:val="26"/>
        </w:rPr>
        <w:t xml:space="preserve">ción de la renta garantizada u otras prestaciones, traspasos a otras comunidades autónomas, pasos de beneficiario a titular o cambio de titularidad. </w:t>
      </w:r>
    </w:p>
    <w:p w:rsidR="00C9781F" w:rsidRDefault="00C9781F" w:rsidP="00C9781F">
      <w:pPr>
        <w:pStyle w:val="texto"/>
        <w:tabs>
          <w:tab w:val="clear" w:pos="2835"/>
          <w:tab w:val="clear" w:pos="3969"/>
          <w:tab w:val="clear" w:pos="5103"/>
          <w:tab w:val="clear" w:pos="6237"/>
          <w:tab w:val="clear" w:pos="7371"/>
        </w:tabs>
        <w:spacing w:before="120"/>
        <w:rPr>
          <w:szCs w:val="26"/>
        </w:rPr>
      </w:pPr>
      <w:r>
        <w:rPr>
          <w:szCs w:val="26"/>
        </w:rPr>
        <w:t>LAKORA transmite los datos de porcentajes de aportación a todos los sist</w:t>
      </w:r>
      <w:r>
        <w:rPr>
          <w:szCs w:val="26"/>
        </w:rPr>
        <w:t>e</w:t>
      </w:r>
      <w:r>
        <w:rPr>
          <w:szCs w:val="26"/>
        </w:rPr>
        <w:t>mas clínicos que precisan de esta información: LAMIA, ATENEA, HCI, etc.</w:t>
      </w:r>
    </w:p>
    <w:p w:rsidR="00C9781F" w:rsidRPr="00FD3D55" w:rsidRDefault="00C9781F" w:rsidP="002303D6">
      <w:pPr>
        <w:pStyle w:val="texto"/>
        <w:numPr>
          <w:ilvl w:val="0"/>
          <w:numId w:val="5"/>
        </w:numPr>
        <w:tabs>
          <w:tab w:val="clear" w:pos="2835"/>
          <w:tab w:val="clear" w:pos="3969"/>
          <w:tab w:val="clear" w:pos="5103"/>
          <w:tab w:val="clear" w:pos="6237"/>
          <w:tab w:val="clear" w:pos="7371"/>
        </w:tabs>
        <w:spacing w:before="240" w:after="120"/>
        <w:ind w:left="0" w:firstLine="284"/>
        <w:rPr>
          <w:b/>
          <w:szCs w:val="26"/>
        </w:rPr>
      </w:pPr>
      <w:r w:rsidRPr="00FD3D55">
        <w:rPr>
          <w:b/>
          <w:szCs w:val="26"/>
        </w:rPr>
        <w:t>Prescripción</w:t>
      </w:r>
    </w:p>
    <w:p w:rsidR="00C9781F" w:rsidRDefault="00C9781F" w:rsidP="00C9781F">
      <w:pPr>
        <w:pStyle w:val="texto"/>
        <w:tabs>
          <w:tab w:val="clear" w:pos="2835"/>
          <w:tab w:val="clear" w:pos="3969"/>
          <w:tab w:val="clear" w:pos="5103"/>
          <w:tab w:val="clear" w:pos="6237"/>
          <w:tab w:val="clear" w:pos="7371"/>
        </w:tabs>
        <w:rPr>
          <w:szCs w:val="26"/>
        </w:rPr>
      </w:pPr>
      <w:r>
        <w:rPr>
          <w:szCs w:val="26"/>
        </w:rPr>
        <w:t xml:space="preserve">Como ya hemos mencionado, la práctica totalidad del gasto derivado de la prestación farmacéutica se origina por la receta electrónica. </w:t>
      </w:r>
    </w:p>
    <w:p w:rsidR="00C9781F" w:rsidRDefault="00C9781F" w:rsidP="00C9781F">
      <w:pPr>
        <w:pStyle w:val="texto"/>
        <w:tabs>
          <w:tab w:val="clear" w:pos="2835"/>
          <w:tab w:val="clear" w:pos="3969"/>
          <w:tab w:val="clear" w:pos="5103"/>
          <w:tab w:val="clear" w:pos="6237"/>
          <w:tab w:val="clear" w:pos="7371"/>
        </w:tabs>
        <w:rPr>
          <w:szCs w:val="26"/>
        </w:rPr>
      </w:pPr>
      <w:r>
        <w:rPr>
          <w:szCs w:val="26"/>
        </w:rPr>
        <w:t>El paciente acude a la consulta, ya sea de Atención Primaria o Especializada, y el personal facultativo decide qué tratamiento necesita y firma la prescri</w:t>
      </w:r>
      <w:r>
        <w:rPr>
          <w:szCs w:val="26"/>
        </w:rPr>
        <w:t>p</w:t>
      </w:r>
      <w:r>
        <w:rPr>
          <w:szCs w:val="26"/>
        </w:rPr>
        <w:t>ción; a partir de este momento, el medicamento o producto puede ser dispens</w:t>
      </w:r>
      <w:r>
        <w:rPr>
          <w:szCs w:val="26"/>
        </w:rPr>
        <w:t>a</w:t>
      </w:r>
      <w:r>
        <w:rPr>
          <w:szCs w:val="26"/>
        </w:rPr>
        <w:t>do en cualquier oficina de farmacia, de Navarra o del resto del Estado, por la interoperabilidad existente entre comunidades autónomas.</w:t>
      </w:r>
    </w:p>
    <w:p w:rsidR="00C9781F" w:rsidRDefault="00C9781F" w:rsidP="00C9781F">
      <w:pPr>
        <w:pStyle w:val="texto"/>
        <w:tabs>
          <w:tab w:val="clear" w:pos="2835"/>
          <w:tab w:val="clear" w:pos="3969"/>
          <w:tab w:val="clear" w:pos="5103"/>
          <w:tab w:val="clear" w:pos="6237"/>
          <w:tab w:val="clear" w:pos="7371"/>
        </w:tabs>
        <w:rPr>
          <w:szCs w:val="26"/>
        </w:rPr>
      </w:pPr>
      <w:r>
        <w:rPr>
          <w:szCs w:val="26"/>
        </w:rPr>
        <w:t>Las prescripciones de medicamentos que el paciente debe tomar de forma crónica se realizan una sola vez y deben renovarse anualmente.</w:t>
      </w:r>
    </w:p>
    <w:p w:rsidR="00C9781F" w:rsidRDefault="00C9781F" w:rsidP="00C9781F">
      <w:pPr>
        <w:pStyle w:val="texto"/>
        <w:tabs>
          <w:tab w:val="clear" w:pos="2835"/>
          <w:tab w:val="clear" w:pos="3969"/>
          <w:tab w:val="clear" w:pos="5103"/>
          <w:tab w:val="clear" w:pos="6237"/>
          <w:tab w:val="clear" w:pos="7371"/>
        </w:tabs>
        <w:rPr>
          <w:szCs w:val="26"/>
        </w:rPr>
      </w:pPr>
      <w:r>
        <w:rPr>
          <w:szCs w:val="26"/>
        </w:rPr>
        <w:t>El personal facultativo debe imprimir la hoja de tratamiento en la que se i</w:t>
      </w:r>
      <w:r>
        <w:rPr>
          <w:szCs w:val="26"/>
        </w:rPr>
        <w:t>n</w:t>
      </w:r>
      <w:r>
        <w:rPr>
          <w:szCs w:val="26"/>
        </w:rPr>
        <w:t>dica el medicamento o producto prescrito, cómo se debe administrar y su dur</w:t>
      </w:r>
      <w:r>
        <w:rPr>
          <w:szCs w:val="26"/>
        </w:rPr>
        <w:t>a</w:t>
      </w:r>
      <w:r>
        <w:rPr>
          <w:szCs w:val="26"/>
        </w:rPr>
        <w:t xml:space="preserve">ción. </w:t>
      </w:r>
    </w:p>
    <w:p w:rsidR="00C9781F" w:rsidRDefault="00C9781F" w:rsidP="00C9781F">
      <w:pPr>
        <w:pStyle w:val="texto"/>
        <w:tabs>
          <w:tab w:val="clear" w:pos="2835"/>
          <w:tab w:val="clear" w:pos="3969"/>
          <w:tab w:val="clear" w:pos="5103"/>
          <w:tab w:val="clear" w:pos="6237"/>
          <w:tab w:val="clear" w:pos="7371"/>
        </w:tabs>
        <w:rPr>
          <w:szCs w:val="26"/>
        </w:rPr>
      </w:pPr>
      <w:r>
        <w:rPr>
          <w:szCs w:val="26"/>
        </w:rPr>
        <w:t xml:space="preserve">Además de la receta electrónica, otra forma de prescribir es a través de  las recetas en papel. Este procedimiento se utiliza en los siguientes casos: </w:t>
      </w:r>
    </w:p>
    <w:p w:rsidR="00C9781F" w:rsidRPr="00851F14" w:rsidRDefault="00C9781F" w:rsidP="002303D6">
      <w:pPr>
        <w:pStyle w:val="texto"/>
        <w:numPr>
          <w:ilvl w:val="0"/>
          <w:numId w:val="7"/>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851F14">
        <w:rPr>
          <w:rFonts w:cs="Arial"/>
        </w:rPr>
        <w:t xml:space="preserve">Personal facultativo </w:t>
      </w:r>
      <w:r w:rsidR="00E110B2">
        <w:rPr>
          <w:rFonts w:cs="Arial"/>
        </w:rPr>
        <w:t>que se jubila procedente del SNS-O</w:t>
      </w:r>
      <w:r w:rsidRPr="000D6BEF">
        <w:rPr>
          <w:rFonts w:cs="Arial"/>
          <w:vertAlign w:val="superscript"/>
        </w:rPr>
        <w:footnoteReference w:id="2"/>
      </w:r>
      <w:r w:rsidRPr="000D6BEF">
        <w:rPr>
          <w:rFonts w:cs="Arial"/>
          <w:vertAlign w:val="superscript"/>
        </w:rPr>
        <w:t xml:space="preserve"> </w:t>
      </w:r>
      <w:r w:rsidRPr="00851F14">
        <w:rPr>
          <w:rFonts w:cs="Arial"/>
        </w:rPr>
        <w:t>que dispone de talonarios en papel pudiendo prescribir a ellos mismos o a familiares conv</w:t>
      </w:r>
      <w:r w:rsidRPr="00851F14">
        <w:rPr>
          <w:rFonts w:cs="Arial"/>
        </w:rPr>
        <w:t>i</w:t>
      </w:r>
      <w:r w:rsidRPr="00851F14">
        <w:rPr>
          <w:rFonts w:cs="Arial"/>
        </w:rPr>
        <w:t>vientes.</w:t>
      </w:r>
    </w:p>
    <w:p w:rsidR="00C9781F" w:rsidRPr="00851F14" w:rsidRDefault="00C9781F" w:rsidP="002303D6">
      <w:pPr>
        <w:pStyle w:val="texto"/>
        <w:numPr>
          <w:ilvl w:val="0"/>
          <w:numId w:val="7"/>
        </w:numPr>
        <w:tabs>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sidRPr="00851F14">
        <w:rPr>
          <w:rFonts w:cs="Arial"/>
        </w:rPr>
        <w:lastRenderedPageBreak/>
        <w:t>Personal facultativo en activo (u ocupando cargos de gestión) que solicita talonarios con el mismo fin.</w:t>
      </w:r>
    </w:p>
    <w:p w:rsidR="00C9781F" w:rsidRPr="00851F14" w:rsidRDefault="00C9781F" w:rsidP="002303D6">
      <w:pPr>
        <w:pStyle w:val="texto"/>
        <w:numPr>
          <w:ilvl w:val="0"/>
          <w:numId w:val="7"/>
        </w:numPr>
        <w:tabs>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sidRPr="00851F14">
        <w:rPr>
          <w:rFonts w:cs="Arial"/>
        </w:rPr>
        <w:t>Visitas domiciliarias a pacientes.</w:t>
      </w:r>
    </w:p>
    <w:p w:rsidR="00C9781F" w:rsidRPr="00851F14" w:rsidRDefault="00C9781F" w:rsidP="002303D6">
      <w:pPr>
        <w:pStyle w:val="texto"/>
        <w:numPr>
          <w:ilvl w:val="0"/>
          <w:numId w:val="7"/>
        </w:numPr>
        <w:tabs>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sidRPr="00851F14">
        <w:rPr>
          <w:rFonts w:cs="Arial"/>
        </w:rPr>
        <w:t>Personal facultativo de residencias de personas mayores.</w:t>
      </w:r>
    </w:p>
    <w:p w:rsidR="00C9781F" w:rsidRPr="00851F14" w:rsidRDefault="00C9781F" w:rsidP="002303D6">
      <w:pPr>
        <w:pStyle w:val="texto"/>
        <w:numPr>
          <w:ilvl w:val="0"/>
          <w:numId w:val="7"/>
        </w:numPr>
        <w:tabs>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sidRPr="00851F14">
        <w:rPr>
          <w:rFonts w:cs="Arial"/>
        </w:rPr>
        <w:t>Fórmulas magistrales y extractos.</w:t>
      </w:r>
    </w:p>
    <w:p w:rsidR="00C9781F" w:rsidRPr="00851F14" w:rsidRDefault="00C9781F" w:rsidP="002303D6">
      <w:pPr>
        <w:pStyle w:val="texto"/>
        <w:numPr>
          <w:ilvl w:val="0"/>
          <w:numId w:val="7"/>
        </w:numPr>
        <w:tabs>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sidRPr="00851F14">
        <w:rPr>
          <w:rFonts w:cs="Arial"/>
        </w:rPr>
        <w:t>Vacunas antialérgicas.</w:t>
      </w:r>
    </w:p>
    <w:p w:rsidR="00C9781F" w:rsidRPr="00851F14" w:rsidRDefault="00C9781F" w:rsidP="002303D6">
      <w:pPr>
        <w:pStyle w:val="texto"/>
        <w:numPr>
          <w:ilvl w:val="0"/>
          <w:numId w:val="7"/>
        </w:numPr>
        <w:tabs>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sidRPr="00851F14">
        <w:rPr>
          <w:rFonts w:cs="Arial"/>
        </w:rPr>
        <w:t>Si el paciente no tiene código CIPNA pero tiene TIS (o no en su caso).</w:t>
      </w:r>
    </w:p>
    <w:p w:rsidR="00C9781F" w:rsidRPr="00851F14" w:rsidRDefault="00C9781F" w:rsidP="002303D6">
      <w:pPr>
        <w:pStyle w:val="texto"/>
        <w:numPr>
          <w:ilvl w:val="0"/>
          <w:numId w:val="7"/>
        </w:numPr>
        <w:tabs>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sidRPr="00851F14">
        <w:rPr>
          <w:rFonts w:cs="Arial"/>
        </w:rPr>
        <w:t>Pacientes provenientes de mutualidades (MUFACE, ISFAS y MUGEJU) con porcentajes de aportación establecidos.</w:t>
      </w:r>
    </w:p>
    <w:p w:rsidR="00C9781F" w:rsidRPr="00851F14" w:rsidRDefault="00C9781F" w:rsidP="002303D6">
      <w:pPr>
        <w:pStyle w:val="texto"/>
        <w:numPr>
          <w:ilvl w:val="0"/>
          <w:numId w:val="7"/>
        </w:numPr>
        <w:tabs>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sidRPr="00851F14">
        <w:rPr>
          <w:rFonts w:cs="Arial"/>
        </w:rPr>
        <w:t>Prescripción de algunos medicamentos que aún no tienen código nacional.</w:t>
      </w:r>
    </w:p>
    <w:p w:rsidR="00C9781F" w:rsidRDefault="00C9781F" w:rsidP="002303D6">
      <w:pPr>
        <w:pStyle w:val="texto"/>
        <w:numPr>
          <w:ilvl w:val="0"/>
          <w:numId w:val="7"/>
        </w:numPr>
        <w:tabs>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sidRPr="00851F14">
        <w:rPr>
          <w:rFonts w:cs="Arial"/>
        </w:rPr>
        <w:t xml:space="preserve">Aquellos casos en los que los medicamentos o productos sean para cubrir una contingencia por accidente de trabajo o enfermedad profesional. </w:t>
      </w:r>
    </w:p>
    <w:p w:rsidR="00E110B2" w:rsidRPr="00851F14" w:rsidRDefault="00E110B2" w:rsidP="002303D6">
      <w:pPr>
        <w:pStyle w:val="texto"/>
        <w:numPr>
          <w:ilvl w:val="0"/>
          <w:numId w:val="7"/>
        </w:numPr>
        <w:tabs>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Pr>
          <w:rFonts w:cs="Arial"/>
        </w:rPr>
        <w:t>Campaña sanitaria.</w:t>
      </w:r>
    </w:p>
    <w:p w:rsidR="00C9781F" w:rsidRPr="00FD3D55" w:rsidRDefault="00C9781F" w:rsidP="002303D6">
      <w:pPr>
        <w:pStyle w:val="texto"/>
        <w:numPr>
          <w:ilvl w:val="0"/>
          <w:numId w:val="5"/>
        </w:numPr>
        <w:tabs>
          <w:tab w:val="clear" w:pos="2835"/>
          <w:tab w:val="clear" w:pos="3969"/>
          <w:tab w:val="clear" w:pos="5103"/>
          <w:tab w:val="clear" w:pos="6237"/>
          <w:tab w:val="clear" w:pos="7371"/>
        </w:tabs>
        <w:spacing w:before="240" w:after="120"/>
        <w:ind w:left="0" w:firstLine="284"/>
        <w:rPr>
          <w:b/>
          <w:szCs w:val="26"/>
        </w:rPr>
      </w:pPr>
      <w:r w:rsidRPr="00FD3D55">
        <w:rPr>
          <w:b/>
          <w:szCs w:val="26"/>
        </w:rPr>
        <w:t>Visado</w:t>
      </w:r>
    </w:p>
    <w:p w:rsidR="00C9781F" w:rsidRDefault="00C9781F" w:rsidP="00C9781F">
      <w:pPr>
        <w:pStyle w:val="texto"/>
        <w:tabs>
          <w:tab w:val="clear" w:pos="2835"/>
          <w:tab w:val="clear" w:pos="3969"/>
          <w:tab w:val="clear" w:pos="5103"/>
          <w:tab w:val="clear" w:pos="6237"/>
          <w:tab w:val="clear" w:pos="7371"/>
        </w:tabs>
        <w:rPr>
          <w:szCs w:val="26"/>
        </w:rPr>
      </w:pPr>
      <w:r>
        <w:rPr>
          <w:szCs w:val="26"/>
        </w:rPr>
        <w:t>Existen algunos medicamentos que, tras ser prescritos por el personal facu</w:t>
      </w:r>
      <w:r>
        <w:rPr>
          <w:szCs w:val="26"/>
        </w:rPr>
        <w:t>l</w:t>
      </w:r>
      <w:r>
        <w:rPr>
          <w:szCs w:val="26"/>
        </w:rPr>
        <w:t>tativo, precisan pasar por la fase de visado. Existen los siguientes tipos de vis</w:t>
      </w:r>
      <w:r>
        <w:rPr>
          <w:szCs w:val="26"/>
        </w:rPr>
        <w:t>a</w:t>
      </w:r>
      <w:r>
        <w:rPr>
          <w:szCs w:val="26"/>
        </w:rPr>
        <w:t xml:space="preserve">do: </w:t>
      </w:r>
    </w:p>
    <w:p w:rsidR="00C9781F" w:rsidRDefault="00C9781F" w:rsidP="002303D6">
      <w:pPr>
        <w:pStyle w:val="texto"/>
        <w:numPr>
          <w:ilvl w:val="0"/>
          <w:numId w:val="6"/>
        </w:numPr>
        <w:tabs>
          <w:tab w:val="clear" w:pos="2835"/>
          <w:tab w:val="clear" w:pos="3969"/>
          <w:tab w:val="clear" w:pos="5103"/>
          <w:tab w:val="clear" w:pos="6237"/>
          <w:tab w:val="clear" w:pos="7371"/>
          <w:tab w:val="left" w:pos="567"/>
        </w:tabs>
        <w:ind w:left="0" w:firstLine="284"/>
        <w:rPr>
          <w:szCs w:val="26"/>
        </w:rPr>
      </w:pPr>
      <w:r w:rsidRPr="00FD3D55">
        <w:rPr>
          <w:szCs w:val="26"/>
        </w:rPr>
        <w:t>Visado clínico</w:t>
      </w:r>
    </w:p>
    <w:p w:rsidR="00C9781F" w:rsidRDefault="00C9781F" w:rsidP="00C9781F">
      <w:pPr>
        <w:pStyle w:val="texto"/>
        <w:tabs>
          <w:tab w:val="clear" w:pos="2835"/>
          <w:tab w:val="clear" w:pos="3969"/>
          <w:tab w:val="clear" w:pos="5103"/>
          <w:tab w:val="clear" w:pos="6237"/>
          <w:tab w:val="clear" w:pos="7371"/>
        </w:tabs>
        <w:rPr>
          <w:szCs w:val="26"/>
        </w:rPr>
      </w:pPr>
      <w:r>
        <w:rPr>
          <w:szCs w:val="26"/>
        </w:rPr>
        <w:t>S</w:t>
      </w:r>
      <w:r w:rsidRPr="0090437F">
        <w:rPr>
          <w:szCs w:val="26"/>
        </w:rPr>
        <w:t xml:space="preserve">e corresponde con medicamentos que son de </w:t>
      </w:r>
      <w:r>
        <w:rPr>
          <w:szCs w:val="26"/>
        </w:rPr>
        <w:t xml:space="preserve">autorización previa obligatoria por requerir un control sanitario especial </w:t>
      </w:r>
      <w:r w:rsidRPr="0090437F">
        <w:rPr>
          <w:szCs w:val="26"/>
        </w:rPr>
        <w:t>por tener un coste al</w:t>
      </w:r>
      <w:r>
        <w:rPr>
          <w:szCs w:val="26"/>
        </w:rPr>
        <w:t>to</w:t>
      </w:r>
      <w:r w:rsidRPr="0090437F">
        <w:rPr>
          <w:szCs w:val="26"/>
        </w:rPr>
        <w:t xml:space="preserve"> o tener indic</w:t>
      </w:r>
      <w:r w:rsidRPr="0090437F">
        <w:rPr>
          <w:szCs w:val="26"/>
        </w:rPr>
        <w:t>a</w:t>
      </w:r>
      <w:r w:rsidRPr="0090437F">
        <w:rPr>
          <w:szCs w:val="26"/>
        </w:rPr>
        <w:t xml:space="preserve">ciones muy específicas. Esta característica se </w:t>
      </w:r>
      <w:r>
        <w:rPr>
          <w:szCs w:val="26"/>
        </w:rPr>
        <w:t>especifica mensualmente</w:t>
      </w:r>
      <w:r w:rsidRPr="0090437F">
        <w:rPr>
          <w:szCs w:val="26"/>
        </w:rPr>
        <w:t xml:space="preserve"> en el </w:t>
      </w:r>
      <w:r w:rsidR="00445899">
        <w:rPr>
          <w:szCs w:val="26"/>
        </w:rPr>
        <w:t>Nomenclátor</w:t>
      </w:r>
      <w:r>
        <w:rPr>
          <w:szCs w:val="26"/>
        </w:rPr>
        <w:t>.</w:t>
      </w:r>
    </w:p>
    <w:p w:rsidR="00C9781F" w:rsidRPr="0090437F" w:rsidRDefault="00C9781F" w:rsidP="00C9781F">
      <w:pPr>
        <w:pStyle w:val="texto"/>
        <w:tabs>
          <w:tab w:val="clear" w:pos="2835"/>
          <w:tab w:val="clear" w:pos="3969"/>
          <w:tab w:val="clear" w:pos="5103"/>
          <w:tab w:val="clear" w:pos="6237"/>
          <w:tab w:val="clear" w:pos="7371"/>
        </w:tabs>
        <w:rPr>
          <w:szCs w:val="26"/>
        </w:rPr>
      </w:pPr>
      <w:r>
        <w:rPr>
          <w:szCs w:val="26"/>
        </w:rPr>
        <w:t>En estos casos, la solicitud de visado se genera automáticamente en el sist</w:t>
      </w:r>
      <w:r>
        <w:rPr>
          <w:szCs w:val="26"/>
        </w:rPr>
        <w:t>e</w:t>
      </w:r>
      <w:r>
        <w:rPr>
          <w:szCs w:val="26"/>
        </w:rPr>
        <w:t xml:space="preserve">ma, y </w:t>
      </w:r>
      <w:r w:rsidRPr="0090437F">
        <w:rPr>
          <w:szCs w:val="26"/>
        </w:rPr>
        <w:t>hasta que el personal encargado de autorizar</w:t>
      </w:r>
      <w:r>
        <w:rPr>
          <w:szCs w:val="26"/>
        </w:rPr>
        <w:t xml:space="preserve"> dicha petición</w:t>
      </w:r>
      <w:r w:rsidRPr="0090437F">
        <w:rPr>
          <w:szCs w:val="26"/>
        </w:rPr>
        <w:t xml:space="preserve"> no </w:t>
      </w:r>
      <w:r>
        <w:rPr>
          <w:szCs w:val="26"/>
        </w:rPr>
        <w:t>lo haga</w:t>
      </w:r>
      <w:r w:rsidRPr="0090437F">
        <w:rPr>
          <w:szCs w:val="26"/>
        </w:rPr>
        <w:t>, el medicamento no se puede dispensar.</w:t>
      </w:r>
    </w:p>
    <w:p w:rsidR="00C9781F" w:rsidRPr="00FD3D55" w:rsidRDefault="00C9781F" w:rsidP="002303D6">
      <w:pPr>
        <w:pStyle w:val="texto"/>
        <w:numPr>
          <w:ilvl w:val="0"/>
          <w:numId w:val="6"/>
        </w:numPr>
        <w:tabs>
          <w:tab w:val="clear" w:pos="2835"/>
          <w:tab w:val="clear" w:pos="3969"/>
          <w:tab w:val="clear" w:pos="5103"/>
          <w:tab w:val="clear" w:pos="6237"/>
          <w:tab w:val="clear" w:pos="7371"/>
          <w:tab w:val="left" w:pos="567"/>
        </w:tabs>
        <w:ind w:left="0" w:firstLine="284"/>
        <w:rPr>
          <w:szCs w:val="26"/>
        </w:rPr>
      </w:pPr>
      <w:r>
        <w:rPr>
          <w:szCs w:val="26"/>
        </w:rPr>
        <w:t xml:space="preserve"> </w:t>
      </w:r>
      <w:r w:rsidRPr="00FD3D55">
        <w:rPr>
          <w:szCs w:val="26"/>
        </w:rPr>
        <w:t>Visado administrativo</w:t>
      </w:r>
    </w:p>
    <w:p w:rsidR="00C9781F" w:rsidRDefault="00C9781F" w:rsidP="00C9781F">
      <w:pPr>
        <w:pStyle w:val="texto"/>
        <w:tabs>
          <w:tab w:val="clear" w:pos="2835"/>
          <w:tab w:val="clear" w:pos="3969"/>
          <w:tab w:val="clear" w:pos="5103"/>
          <w:tab w:val="clear" w:pos="6237"/>
          <w:tab w:val="clear" w:pos="7371"/>
        </w:tabs>
        <w:rPr>
          <w:szCs w:val="26"/>
        </w:rPr>
      </w:pPr>
      <w:r>
        <w:rPr>
          <w:szCs w:val="26"/>
        </w:rPr>
        <w:t xml:space="preserve">Se aplica en Navarra para </w:t>
      </w:r>
      <w:r w:rsidR="00E110B2">
        <w:rPr>
          <w:szCs w:val="26"/>
        </w:rPr>
        <w:t xml:space="preserve">la financiación de determinados </w:t>
      </w:r>
      <w:r>
        <w:rPr>
          <w:szCs w:val="26"/>
        </w:rPr>
        <w:t>medicamentos i</w:t>
      </w:r>
      <w:r>
        <w:rPr>
          <w:szCs w:val="26"/>
        </w:rPr>
        <w:t>n</w:t>
      </w:r>
      <w:r>
        <w:rPr>
          <w:szCs w:val="26"/>
        </w:rPr>
        <w:t xml:space="preserve">dicados para </w:t>
      </w:r>
      <w:r w:rsidR="00E110B2">
        <w:rPr>
          <w:szCs w:val="26"/>
        </w:rPr>
        <w:t>algun</w:t>
      </w:r>
      <w:r>
        <w:rPr>
          <w:szCs w:val="26"/>
        </w:rPr>
        <w:t xml:space="preserve">as patologías o grupos de riesgo si se cumplen determinados requisitos especificados por el ministerio. </w:t>
      </w:r>
    </w:p>
    <w:p w:rsidR="00C9781F" w:rsidRDefault="00C9781F" w:rsidP="00C9781F">
      <w:pPr>
        <w:pStyle w:val="texto"/>
        <w:tabs>
          <w:tab w:val="clear" w:pos="2835"/>
          <w:tab w:val="clear" w:pos="3969"/>
          <w:tab w:val="clear" w:pos="5103"/>
          <w:tab w:val="clear" w:pos="6237"/>
          <w:tab w:val="clear" w:pos="7371"/>
        </w:tabs>
        <w:rPr>
          <w:szCs w:val="26"/>
        </w:rPr>
      </w:pPr>
      <w:r>
        <w:rPr>
          <w:szCs w:val="26"/>
        </w:rPr>
        <w:t>Si el personal facultativo considera que se cumplen estos requisitos lo indica expresamente en su prescripción</w:t>
      </w:r>
      <w:r w:rsidR="003838FC">
        <w:rPr>
          <w:szCs w:val="26"/>
        </w:rPr>
        <w:t xml:space="preserve"> solicitando el visado</w:t>
      </w:r>
      <w:r>
        <w:rPr>
          <w:szCs w:val="26"/>
        </w:rPr>
        <w:t>. A diferencia del caso anterior, estos medicamentos siempre se podrán dispensar por las oficinas de farmacia independientemente de si se ha producido o no la autorización; en c</w:t>
      </w:r>
      <w:r>
        <w:rPr>
          <w:szCs w:val="26"/>
        </w:rPr>
        <w:t>a</w:t>
      </w:r>
      <w:r>
        <w:rPr>
          <w:szCs w:val="26"/>
        </w:rPr>
        <w:t xml:space="preserve">so de que no se haya producido la autorización, el paciente </w:t>
      </w:r>
      <w:r w:rsidR="003838FC">
        <w:rPr>
          <w:szCs w:val="26"/>
        </w:rPr>
        <w:t>abonaría el cien por cien del precio del medicamento</w:t>
      </w:r>
      <w:r>
        <w:rPr>
          <w:szCs w:val="26"/>
        </w:rPr>
        <w:t>.</w:t>
      </w:r>
    </w:p>
    <w:p w:rsidR="00C9781F" w:rsidRDefault="00C9781F" w:rsidP="00C9781F">
      <w:pPr>
        <w:pStyle w:val="texto"/>
        <w:tabs>
          <w:tab w:val="clear" w:pos="2835"/>
          <w:tab w:val="clear" w:pos="3969"/>
          <w:tab w:val="clear" w:pos="5103"/>
          <w:tab w:val="clear" w:pos="6237"/>
          <w:tab w:val="clear" w:pos="7371"/>
        </w:tabs>
        <w:rPr>
          <w:szCs w:val="26"/>
        </w:rPr>
      </w:pPr>
      <w:r>
        <w:rPr>
          <w:szCs w:val="26"/>
        </w:rPr>
        <w:lastRenderedPageBreak/>
        <w:t>El procedimiento para autorizar el visado, que se realiza en un plazo de 24 horas, es el mismo: siete personas con categoría de auxiliar administrativo</w:t>
      </w:r>
      <w:r w:rsidR="003F62F0">
        <w:rPr>
          <w:szCs w:val="26"/>
        </w:rPr>
        <w:t xml:space="preserve"> con formación específica</w:t>
      </w:r>
      <w:r>
        <w:rPr>
          <w:szCs w:val="26"/>
        </w:rPr>
        <w:t xml:space="preserve"> (con el apoyo de </w:t>
      </w:r>
      <w:r w:rsidR="003F62F0">
        <w:rPr>
          <w:szCs w:val="26"/>
        </w:rPr>
        <w:t>dos</w:t>
      </w:r>
      <w:r>
        <w:rPr>
          <w:szCs w:val="26"/>
        </w:rPr>
        <w:t xml:space="preserve"> persona</w:t>
      </w:r>
      <w:r w:rsidR="003F62F0">
        <w:rPr>
          <w:szCs w:val="26"/>
        </w:rPr>
        <w:t>s</w:t>
      </w:r>
      <w:r>
        <w:rPr>
          <w:szCs w:val="26"/>
        </w:rPr>
        <w:t xml:space="preserve"> </w:t>
      </w:r>
      <w:r w:rsidR="003F62F0">
        <w:rPr>
          <w:szCs w:val="26"/>
        </w:rPr>
        <w:t xml:space="preserve">con formación </w:t>
      </w:r>
      <w:r>
        <w:rPr>
          <w:szCs w:val="26"/>
        </w:rPr>
        <w:t>de enferm</w:t>
      </w:r>
      <w:r>
        <w:rPr>
          <w:szCs w:val="26"/>
        </w:rPr>
        <w:t>e</w:t>
      </w:r>
      <w:r>
        <w:rPr>
          <w:szCs w:val="26"/>
        </w:rPr>
        <w:t xml:space="preserve">ría), pertenecientes al Servicio de </w:t>
      </w:r>
      <w:r w:rsidR="003F62F0">
        <w:rPr>
          <w:szCs w:val="26"/>
        </w:rPr>
        <w:t xml:space="preserve">Gestión de </w:t>
      </w:r>
      <w:r>
        <w:rPr>
          <w:szCs w:val="26"/>
        </w:rPr>
        <w:t>Prestaciones y Conciertos, se e</w:t>
      </w:r>
      <w:r>
        <w:rPr>
          <w:szCs w:val="26"/>
        </w:rPr>
        <w:t>n</w:t>
      </w:r>
      <w:r>
        <w:rPr>
          <w:szCs w:val="26"/>
        </w:rPr>
        <w:t>cargan de revisar las peticiones de visado accediendo a la historia clínica del paciente para recabar información y proponer la autorización o denegación del visado.</w:t>
      </w:r>
    </w:p>
    <w:p w:rsidR="00C9781F" w:rsidRDefault="00C9781F" w:rsidP="00C9781F">
      <w:pPr>
        <w:pStyle w:val="texto"/>
        <w:tabs>
          <w:tab w:val="clear" w:pos="2835"/>
          <w:tab w:val="clear" w:pos="3969"/>
          <w:tab w:val="clear" w:pos="5103"/>
          <w:tab w:val="clear" w:pos="6237"/>
          <w:tab w:val="clear" w:pos="7371"/>
        </w:tabs>
        <w:rPr>
          <w:szCs w:val="26"/>
        </w:rPr>
      </w:pPr>
      <w:r>
        <w:rPr>
          <w:szCs w:val="26"/>
        </w:rPr>
        <w:t>Las propuestas de autorización de visado son firmadas por cinco personas facultativas con perfil de inspector del Servicio de</w:t>
      </w:r>
      <w:r w:rsidR="003F62F0">
        <w:rPr>
          <w:szCs w:val="26"/>
        </w:rPr>
        <w:t xml:space="preserve"> Gestión de</w:t>
      </w:r>
      <w:r>
        <w:rPr>
          <w:szCs w:val="26"/>
        </w:rPr>
        <w:t xml:space="preserve"> Prestaciones y Conciertos. </w:t>
      </w:r>
    </w:p>
    <w:p w:rsidR="00C9781F" w:rsidRDefault="00C9781F" w:rsidP="00C9781F">
      <w:pPr>
        <w:pStyle w:val="texto"/>
        <w:tabs>
          <w:tab w:val="clear" w:pos="2835"/>
          <w:tab w:val="clear" w:pos="3969"/>
          <w:tab w:val="clear" w:pos="5103"/>
          <w:tab w:val="clear" w:pos="6237"/>
          <w:tab w:val="clear" w:pos="7371"/>
        </w:tabs>
        <w:rPr>
          <w:szCs w:val="26"/>
        </w:rPr>
      </w:pPr>
      <w:r>
        <w:rPr>
          <w:szCs w:val="26"/>
        </w:rPr>
        <w:t>Si se propone denegar la solicitud de visado</w:t>
      </w:r>
      <w:r w:rsidR="003F62F0">
        <w:rPr>
          <w:szCs w:val="26"/>
        </w:rPr>
        <w:t xml:space="preserve"> o se solicita más información al respecto</w:t>
      </w:r>
      <w:r>
        <w:rPr>
          <w:szCs w:val="26"/>
        </w:rPr>
        <w:t>, se debe indicar el motivo y se comunica al peticionario, que recibirá un aviso cuando vuelva a entrar a la aplicación de historia clínica; esta persona podrá añadir más información o datos al revisor para que considere su decisión.</w:t>
      </w:r>
      <w:r w:rsidR="003F62F0">
        <w:rPr>
          <w:szCs w:val="26"/>
        </w:rPr>
        <w:t xml:space="preserve"> Todos estos casos son revisados por el personal con perfil de inspector.</w:t>
      </w:r>
      <w:r>
        <w:rPr>
          <w:szCs w:val="26"/>
        </w:rPr>
        <w:t xml:space="preserve"> </w:t>
      </w:r>
    </w:p>
    <w:p w:rsidR="00C9781F" w:rsidRPr="00FD3D55" w:rsidRDefault="00C9781F" w:rsidP="002303D6">
      <w:pPr>
        <w:pStyle w:val="texto"/>
        <w:numPr>
          <w:ilvl w:val="0"/>
          <w:numId w:val="6"/>
        </w:numPr>
        <w:tabs>
          <w:tab w:val="clear" w:pos="2835"/>
          <w:tab w:val="clear" w:pos="3969"/>
          <w:tab w:val="clear" w:pos="5103"/>
          <w:tab w:val="clear" w:pos="6237"/>
          <w:tab w:val="clear" w:pos="7371"/>
          <w:tab w:val="left" w:pos="567"/>
        </w:tabs>
        <w:ind w:left="0" w:firstLine="284"/>
        <w:rPr>
          <w:szCs w:val="26"/>
        </w:rPr>
      </w:pPr>
      <w:r w:rsidRPr="00FD3D55">
        <w:rPr>
          <w:szCs w:val="26"/>
        </w:rPr>
        <w:t xml:space="preserve"> Visado de productos absorbentes </w:t>
      </w:r>
    </w:p>
    <w:p w:rsidR="00C9781F" w:rsidRDefault="00C9781F" w:rsidP="00C9781F">
      <w:pPr>
        <w:pStyle w:val="texto"/>
        <w:tabs>
          <w:tab w:val="clear" w:pos="2835"/>
          <w:tab w:val="clear" w:pos="3969"/>
          <w:tab w:val="clear" w:pos="5103"/>
          <w:tab w:val="clear" w:pos="6237"/>
          <w:tab w:val="clear" w:pos="7371"/>
        </w:tabs>
        <w:rPr>
          <w:szCs w:val="26"/>
        </w:rPr>
      </w:pPr>
      <w:r>
        <w:rPr>
          <w:szCs w:val="26"/>
        </w:rPr>
        <w:t>El visado de estos productos sigue un procedimiento diferente al anterior. En este caso, se tramitan desde la Unidad de Gestión Administrativa de la Subd</w:t>
      </w:r>
      <w:r>
        <w:rPr>
          <w:szCs w:val="26"/>
        </w:rPr>
        <w:t>i</w:t>
      </w:r>
      <w:r>
        <w:rPr>
          <w:szCs w:val="26"/>
        </w:rPr>
        <w:t>rección de Farmacia, ya que históricamente existía un concurso para su adqu</w:t>
      </w:r>
      <w:r>
        <w:rPr>
          <w:szCs w:val="26"/>
        </w:rPr>
        <w:t>i</w:t>
      </w:r>
      <w:r>
        <w:rPr>
          <w:szCs w:val="26"/>
        </w:rPr>
        <w:t xml:space="preserve">sición gestionado por esta unidad, y al dejar de llevarlo a cabo, han seguido realizando su gestión desde este servicio.  </w:t>
      </w:r>
    </w:p>
    <w:p w:rsidR="00C9781F" w:rsidRDefault="00C9781F" w:rsidP="00C9781F">
      <w:pPr>
        <w:pStyle w:val="texto"/>
        <w:tabs>
          <w:tab w:val="clear" w:pos="2835"/>
          <w:tab w:val="clear" w:pos="3969"/>
          <w:tab w:val="clear" w:pos="5103"/>
          <w:tab w:val="clear" w:pos="6237"/>
          <w:tab w:val="clear" w:pos="7371"/>
        </w:tabs>
        <w:rPr>
          <w:szCs w:val="26"/>
        </w:rPr>
      </w:pPr>
      <w:r>
        <w:rPr>
          <w:szCs w:val="26"/>
        </w:rPr>
        <w:t>El personal encargado de tramitar el visado también pertenece a la categoría de auxiliar administrativo (diez personas), si bien, en este caso, no existe la f</w:t>
      </w:r>
      <w:r>
        <w:rPr>
          <w:szCs w:val="26"/>
        </w:rPr>
        <w:t>i</w:t>
      </w:r>
      <w:r>
        <w:rPr>
          <w:szCs w:val="26"/>
        </w:rPr>
        <w:t xml:space="preserve">gura de inspector que posteriormente valide la autorización realizada. </w:t>
      </w:r>
    </w:p>
    <w:p w:rsidR="00C9781F" w:rsidRPr="00FD3D55" w:rsidRDefault="00C9781F" w:rsidP="002303D6">
      <w:pPr>
        <w:pStyle w:val="texto"/>
        <w:numPr>
          <w:ilvl w:val="0"/>
          <w:numId w:val="5"/>
        </w:numPr>
        <w:tabs>
          <w:tab w:val="clear" w:pos="2835"/>
          <w:tab w:val="clear" w:pos="3969"/>
          <w:tab w:val="clear" w:pos="5103"/>
          <w:tab w:val="clear" w:pos="6237"/>
          <w:tab w:val="clear" w:pos="7371"/>
        </w:tabs>
        <w:spacing w:before="240" w:after="120"/>
        <w:ind w:left="0" w:firstLine="284"/>
        <w:rPr>
          <w:b/>
          <w:szCs w:val="26"/>
        </w:rPr>
      </w:pPr>
      <w:r w:rsidRPr="00FD3D55">
        <w:rPr>
          <w:b/>
          <w:szCs w:val="26"/>
        </w:rPr>
        <w:t>Dispensación</w:t>
      </w:r>
    </w:p>
    <w:p w:rsidR="00C9781F" w:rsidRDefault="00C9781F" w:rsidP="00C9781F">
      <w:pPr>
        <w:pStyle w:val="texto"/>
        <w:tabs>
          <w:tab w:val="clear" w:pos="2835"/>
          <w:tab w:val="clear" w:pos="3969"/>
          <w:tab w:val="clear" w:pos="5103"/>
          <w:tab w:val="clear" w:pos="6237"/>
          <w:tab w:val="clear" w:pos="7371"/>
        </w:tabs>
        <w:spacing w:before="120"/>
        <w:rPr>
          <w:szCs w:val="26"/>
        </w:rPr>
      </w:pPr>
      <w:r>
        <w:rPr>
          <w:szCs w:val="26"/>
        </w:rPr>
        <w:t>Una vez prescrita la medicación o el producto correspondiente, el paciente acude a la farmacia para que se lo dispensen.</w:t>
      </w:r>
    </w:p>
    <w:p w:rsidR="00C9781F" w:rsidRDefault="00C9781F" w:rsidP="00C9781F">
      <w:pPr>
        <w:pStyle w:val="texto"/>
        <w:tabs>
          <w:tab w:val="clear" w:pos="2835"/>
          <w:tab w:val="clear" w:pos="3969"/>
          <w:tab w:val="clear" w:pos="5103"/>
          <w:tab w:val="clear" w:pos="6237"/>
          <w:tab w:val="clear" w:pos="7371"/>
        </w:tabs>
        <w:spacing w:before="120" w:after="120"/>
        <w:rPr>
          <w:szCs w:val="26"/>
        </w:rPr>
      </w:pPr>
      <w:r>
        <w:rPr>
          <w:szCs w:val="26"/>
        </w:rPr>
        <w:t>El personal de farmacia puede acceder a los medicamentos que tiene pe</w:t>
      </w:r>
      <w:r>
        <w:rPr>
          <w:szCs w:val="26"/>
        </w:rPr>
        <w:t>n</w:t>
      </w:r>
      <w:r>
        <w:rPr>
          <w:szCs w:val="26"/>
        </w:rPr>
        <w:t>diente un paciente a través de la lectura de la tarjeta sanitaria o introduciendo manualmente el CIPNA (Código de Identificación Personal en Navarra), siendo esta última opción la utilizada mayoritariamente.</w:t>
      </w:r>
    </w:p>
    <w:p w:rsidR="00C9781F" w:rsidRDefault="00C9781F" w:rsidP="00C9781F">
      <w:pPr>
        <w:pStyle w:val="texto"/>
        <w:tabs>
          <w:tab w:val="clear" w:pos="2835"/>
          <w:tab w:val="clear" w:pos="3969"/>
          <w:tab w:val="clear" w:pos="5103"/>
          <w:tab w:val="clear" w:pos="6237"/>
          <w:tab w:val="clear" w:pos="7371"/>
        </w:tabs>
        <w:spacing w:before="120"/>
        <w:rPr>
          <w:szCs w:val="26"/>
        </w:rPr>
      </w:pPr>
      <w:r>
        <w:rPr>
          <w:szCs w:val="26"/>
        </w:rPr>
        <w:t>Identificado el medicamento que precisa el paciente, el personal de farmacia lo dispensa recortando previamente su cupón y adjuntándolo a una hoja. Al respecto, indicamos que desde febrero de 2019 ha entrado en vigor el Sistema Español de Verificación de Medicamentos (SEVEM) que implica la impleme</w:t>
      </w:r>
      <w:r>
        <w:rPr>
          <w:szCs w:val="26"/>
        </w:rPr>
        <w:t>n</w:t>
      </w:r>
      <w:r>
        <w:rPr>
          <w:szCs w:val="26"/>
        </w:rPr>
        <w:t>tación de un procedimiento de identificación y trazabilidad inequívoca de cada envase de medicamentos.</w:t>
      </w:r>
    </w:p>
    <w:p w:rsidR="00C9781F" w:rsidRDefault="00C9781F" w:rsidP="00C9781F">
      <w:pPr>
        <w:pStyle w:val="texto"/>
        <w:tabs>
          <w:tab w:val="clear" w:pos="2835"/>
          <w:tab w:val="clear" w:pos="3969"/>
          <w:tab w:val="clear" w:pos="5103"/>
          <w:tab w:val="clear" w:pos="6237"/>
          <w:tab w:val="clear" w:pos="7371"/>
        </w:tabs>
        <w:spacing w:before="120"/>
        <w:rPr>
          <w:szCs w:val="26"/>
        </w:rPr>
      </w:pPr>
      <w:r>
        <w:rPr>
          <w:szCs w:val="26"/>
        </w:rPr>
        <w:lastRenderedPageBreak/>
        <w:t>Es obligatorio suministrar al paciente el producto prescrito, aunque se puede sustituir por otro diferente a petición del paciente o si existe desabastecimiento o en caso de urgencia, si bien en ningún caso se podrá suministrar otro cuyo coste sea mayor, debiendo indicar siempr</w:t>
      </w:r>
      <w:r w:rsidR="003F62F0">
        <w:rPr>
          <w:szCs w:val="26"/>
        </w:rPr>
        <w:t>e el motivo de la sustitución.</w:t>
      </w:r>
    </w:p>
    <w:p w:rsidR="00C9781F" w:rsidRDefault="00C9781F" w:rsidP="00C9781F">
      <w:pPr>
        <w:pStyle w:val="texto"/>
        <w:tabs>
          <w:tab w:val="clear" w:pos="2835"/>
          <w:tab w:val="clear" w:pos="3969"/>
          <w:tab w:val="clear" w:pos="5103"/>
          <w:tab w:val="clear" w:pos="6237"/>
          <w:tab w:val="clear" w:pos="7371"/>
        </w:tabs>
        <w:spacing w:before="120"/>
        <w:rPr>
          <w:szCs w:val="26"/>
        </w:rPr>
      </w:pPr>
      <w:r>
        <w:rPr>
          <w:szCs w:val="26"/>
        </w:rPr>
        <w:t>El procedimiento descrito hasta el momento se corresponde con la receta electrónica; en caso de que el paciente acuda a la farmacia con una receta en papel, éste la entrega en la farmacia y el medicamento/producto es dispensado. En caso de que la receta no contenga información sobre el porcentaje de apo</w:t>
      </w:r>
      <w:r>
        <w:rPr>
          <w:szCs w:val="26"/>
        </w:rPr>
        <w:t>r</w:t>
      </w:r>
      <w:r>
        <w:rPr>
          <w:szCs w:val="26"/>
        </w:rPr>
        <w:t xml:space="preserve">tación del paciente, la normativa indica que se debe aplicar el 50 por ciento. La información referida a </w:t>
      </w:r>
      <w:r w:rsidR="003F62F0">
        <w:rPr>
          <w:szCs w:val="26"/>
        </w:rPr>
        <w:t>las</w:t>
      </w:r>
      <w:r>
        <w:rPr>
          <w:szCs w:val="26"/>
        </w:rPr>
        <w:t xml:space="preserve"> dispensaciones</w:t>
      </w:r>
      <w:r w:rsidR="003F62F0">
        <w:rPr>
          <w:szCs w:val="26"/>
        </w:rPr>
        <w:t xml:space="preserve"> procedentes de las recetas hechas a mano</w:t>
      </w:r>
      <w:r>
        <w:rPr>
          <w:szCs w:val="26"/>
        </w:rPr>
        <w:t xml:space="preserve"> no se registra en LAMIA</w:t>
      </w:r>
      <w:r w:rsidR="003F62F0">
        <w:rPr>
          <w:szCs w:val="26"/>
        </w:rPr>
        <w:t>, si bien, está previsto que estos datos se inco</w:t>
      </w:r>
      <w:r w:rsidR="003F62F0">
        <w:rPr>
          <w:szCs w:val="26"/>
        </w:rPr>
        <w:t>r</w:t>
      </w:r>
      <w:r w:rsidR="003F62F0">
        <w:rPr>
          <w:szCs w:val="26"/>
        </w:rPr>
        <w:t>poren a esta aplicación en un plazo máximo de 12 meses desde la publicación del nuevo acuerdo marco</w:t>
      </w:r>
      <w:r>
        <w:rPr>
          <w:szCs w:val="26"/>
        </w:rPr>
        <w:t>. A partir de aquí el proceso es el mismo que en el</w:t>
      </w:r>
      <w:r w:rsidR="003F62F0">
        <w:rPr>
          <w:szCs w:val="26"/>
        </w:rPr>
        <w:t xml:space="preserve"> c</w:t>
      </w:r>
      <w:r w:rsidR="003F62F0">
        <w:rPr>
          <w:szCs w:val="26"/>
        </w:rPr>
        <w:t>a</w:t>
      </w:r>
      <w:r w:rsidR="003F62F0">
        <w:rPr>
          <w:szCs w:val="26"/>
        </w:rPr>
        <w:t>so de la receta electrónica.</w:t>
      </w:r>
    </w:p>
    <w:p w:rsidR="00C9781F" w:rsidRPr="00FD3D55" w:rsidRDefault="00C9781F" w:rsidP="002303D6">
      <w:pPr>
        <w:pStyle w:val="texto"/>
        <w:numPr>
          <w:ilvl w:val="0"/>
          <w:numId w:val="5"/>
        </w:numPr>
        <w:tabs>
          <w:tab w:val="clear" w:pos="2835"/>
          <w:tab w:val="clear" w:pos="3969"/>
          <w:tab w:val="clear" w:pos="5103"/>
          <w:tab w:val="clear" w:pos="6237"/>
          <w:tab w:val="clear" w:pos="7371"/>
        </w:tabs>
        <w:spacing w:before="240" w:after="120"/>
        <w:ind w:left="0" w:firstLine="284"/>
        <w:rPr>
          <w:b/>
          <w:szCs w:val="26"/>
        </w:rPr>
      </w:pPr>
      <w:r w:rsidRPr="00FD3D55">
        <w:rPr>
          <w:b/>
          <w:szCs w:val="26"/>
        </w:rPr>
        <w:t>Facturación</w:t>
      </w:r>
    </w:p>
    <w:p w:rsidR="00C9781F" w:rsidRDefault="00C9781F" w:rsidP="00C9781F">
      <w:pPr>
        <w:pStyle w:val="texto"/>
        <w:tabs>
          <w:tab w:val="clear" w:pos="2835"/>
          <w:tab w:val="clear" w:pos="3969"/>
          <w:tab w:val="clear" w:pos="5103"/>
          <w:tab w:val="clear" w:pos="6237"/>
          <w:tab w:val="clear" w:pos="7371"/>
        </w:tabs>
        <w:spacing w:before="120"/>
        <w:rPr>
          <w:szCs w:val="26"/>
        </w:rPr>
      </w:pPr>
      <w:r>
        <w:rPr>
          <w:szCs w:val="26"/>
        </w:rPr>
        <w:t>Al finalizar el mes, las farmacias cumplimentan manual o automáticamente un resumen de su factura en el que se indica el número de recetas y cupones p</w:t>
      </w:r>
      <w:r>
        <w:rPr>
          <w:szCs w:val="26"/>
        </w:rPr>
        <w:t>a</w:t>
      </w:r>
      <w:r>
        <w:rPr>
          <w:szCs w:val="26"/>
        </w:rPr>
        <w:t>ra cada grupo de facturación (recetas electrónicas, recetas en papel y dentro de éstas para mutuas, vacunas, etc.).</w:t>
      </w:r>
    </w:p>
    <w:p w:rsidR="00C9781F" w:rsidRDefault="00C9781F" w:rsidP="00C9781F">
      <w:pPr>
        <w:pStyle w:val="texto"/>
        <w:tabs>
          <w:tab w:val="clear" w:pos="2835"/>
          <w:tab w:val="clear" w:pos="3969"/>
          <w:tab w:val="clear" w:pos="5103"/>
          <w:tab w:val="clear" w:pos="6237"/>
          <w:tab w:val="clear" w:pos="7371"/>
        </w:tabs>
        <w:spacing w:before="120"/>
        <w:rPr>
          <w:szCs w:val="26"/>
        </w:rPr>
      </w:pPr>
      <w:r>
        <w:rPr>
          <w:szCs w:val="26"/>
        </w:rPr>
        <w:t>Una empresa externa es la encargada de digitalizar las recetas en papel (ga</w:t>
      </w:r>
      <w:r>
        <w:rPr>
          <w:szCs w:val="26"/>
        </w:rPr>
        <w:t>s</w:t>
      </w:r>
      <w:r>
        <w:rPr>
          <w:szCs w:val="26"/>
        </w:rPr>
        <w:t>to asumido por las oficinas de farmacia) y las hojas de cupones (gasto asumido por el SNS-O) de cada farmacia. Posteriormente, elabora, para el día 10 del mes siguiente al que corresponda la factura, un archivo con información refer</w:t>
      </w:r>
      <w:r>
        <w:rPr>
          <w:szCs w:val="26"/>
        </w:rPr>
        <w:t>i</w:t>
      </w:r>
      <w:r>
        <w:rPr>
          <w:szCs w:val="26"/>
        </w:rPr>
        <w:t xml:space="preserve">da a: importe total de la factura, dispensaciones de la receta electrónica según los precios del </w:t>
      </w:r>
      <w:r w:rsidR="00445899">
        <w:rPr>
          <w:szCs w:val="26"/>
        </w:rPr>
        <w:t>Nomenclátor</w:t>
      </w:r>
      <w:r>
        <w:rPr>
          <w:szCs w:val="26"/>
        </w:rPr>
        <w:t xml:space="preserve"> contenidos en su servidor, descuentos que se deben realizar en aplicación de la normativa existente, y abonos que se deben hacer a determinadas farmacias por aplicación de un índice corrector</w:t>
      </w:r>
      <w:r w:rsidR="00B53A0A">
        <w:rPr>
          <w:rStyle w:val="Refdenotaalpie"/>
          <w:szCs w:val="26"/>
        </w:rPr>
        <w:footnoteReference w:id="3"/>
      </w:r>
      <w:r>
        <w:rPr>
          <w:szCs w:val="26"/>
        </w:rPr>
        <w:t xml:space="preserve">. </w:t>
      </w:r>
    </w:p>
    <w:p w:rsidR="00C9781F" w:rsidRPr="00FD3D55" w:rsidRDefault="00C9781F" w:rsidP="002303D6">
      <w:pPr>
        <w:pStyle w:val="texto"/>
        <w:numPr>
          <w:ilvl w:val="0"/>
          <w:numId w:val="5"/>
        </w:numPr>
        <w:tabs>
          <w:tab w:val="clear" w:pos="2835"/>
          <w:tab w:val="clear" w:pos="3969"/>
          <w:tab w:val="clear" w:pos="5103"/>
          <w:tab w:val="clear" w:pos="6237"/>
          <w:tab w:val="clear" w:pos="7371"/>
        </w:tabs>
        <w:spacing w:before="240" w:after="120"/>
        <w:ind w:left="0" w:firstLine="284"/>
        <w:rPr>
          <w:b/>
          <w:szCs w:val="26"/>
        </w:rPr>
      </w:pPr>
      <w:r w:rsidRPr="00FD3D55">
        <w:rPr>
          <w:b/>
          <w:szCs w:val="26"/>
        </w:rPr>
        <w:t>Contabilización y pago</w:t>
      </w:r>
    </w:p>
    <w:p w:rsidR="00C9781F" w:rsidRDefault="00C9781F" w:rsidP="00C9781F">
      <w:pPr>
        <w:pStyle w:val="texto"/>
        <w:tabs>
          <w:tab w:val="clear" w:pos="2835"/>
          <w:tab w:val="clear" w:pos="3969"/>
          <w:tab w:val="clear" w:pos="5103"/>
          <w:tab w:val="clear" w:pos="6237"/>
          <w:tab w:val="clear" w:pos="7371"/>
        </w:tabs>
        <w:spacing w:before="120"/>
        <w:rPr>
          <w:szCs w:val="26"/>
        </w:rPr>
      </w:pPr>
      <w:r>
        <w:rPr>
          <w:szCs w:val="26"/>
        </w:rPr>
        <w:t>El archivo anterior es remitido por la empresa externa al COFNA, y este lo transmite al Servicio de Gestión de la Prestación Farmacéutica. En este m</w:t>
      </w:r>
      <w:r>
        <w:rPr>
          <w:szCs w:val="26"/>
        </w:rPr>
        <w:t>o</w:t>
      </w:r>
      <w:r>
        <w:rPr>
          <w:szCs w:val="26"/>
        </w:rPr>
        <w:t>mento aún no se tiene el soporte informático de las recetas en papel, pero si su importe está comprendido dentro de un intervalo aproximado de (300.000-400.000) euros, se le da el visto bueno y se procede a su contabilización y pago al COFNA.</w:t>
      </w:r>
    </w:p>
    <w:p w:rsidR="00C9781F" w:rsidRDefault="00C9781F" w:rsidP="00C9781F">
      <w:pPr>
        <w:pStyle w:val="texto"/>
        <w:tabs>
          <w:tab w:val="clear" w:pos="2835"/>
          <w:tab w:val="clear" w:pos="3969"/>
          <w:tab w:val="clear" w:pos="5103"/>
          <w:tab w:val="clear" w:pos="6237"/>
          <w:tab w:val="clear" w:pos="7371"/>
        </w:tabs>
        <w:spacing w:before="120"/>
        <w:rPr>
          <w:szCs w:val="26"/>
        </w:rPr>
      </w:pPr>
      <w:r>
        <w:rPr>
          <w:szCs w:val="26"/>
        </w:rPr>
        <w:t>A la fecha de redacción de esta memoria, estas “facturas a cuenta” no se r</w:t>
      </w:r>
      <w:r>
        <w:rPr>
          <w:szCs w:val="26"/>
        </w:rPr>
        <w:t>e</w:t>
      </w:r>
      <w:r>
        <w:rPr>
          <w:szCs w:val="26"/>
        </w:rPr>
        <w:t>gistran por el COFNA en el registro de f</w:t>
      </w:r>
      <w:r w:rsidRPr="00EF38AD">
        <w:rPr>
          <w:szCs w:val="26"/>
        </w:rPr>
        <w:t xml:space="preserve">acturas </w:t>
      </w:r>
      <w:r>
        <w:rPr>
          <w:szCs w:val="26"/>
        </w:rPr>
        <w:t>e</w:t>
      </w:r>
      <w:r w:rsidRPr="00EF38AD">
        <w:rPr>
          <w:szCs w:val="26"/>
        </w:rPr>
        <w:t>lectrónicas de la Administr</w:t>
      </w:r>
      <w:r w:rsidRPr="00EF38AD">
        <w:rPr>
          <w:szCs w:val="26"/>
        </w:rPr>
        <w:t>a</w:t>
      </w:r>
      <w:r w:rsidRPr="00EF38AD">
        <w:rPr>
          <w:szCs w:val="26"/>
        </w:rPr>
        <w:lastRenderedPageBreak/>
        <w:t>ción General del Estado</w:t>
      </w:r>
      <w:r>
        <w:rPr>
          <w:szCs w:val="26"/>
        </w:rPr>
        <w:t xml:space="preserve"> (FACE), sino que es un proceso que el SNS-O hace manualmente; al respecto, está previsto que el nuevo acuerdo marco que regule las relaciones con el COFNA contemple esta obligación.</w:t>
      </w:r>
    </w:p>
    <w:p w:rsidR="00C9781F" w:rsidRPr="00FD3D55" w:rsidRDefault="00C9781F" w:rsidP="002303D6">
      <w:pPr>
        <w:pStyle w:val="texto"/>
        <w:numPr>
          <w:ilvl w:val="0"/>
          <w:numId w:val="5"/>
        </w:numPr>
        <w:tabs>
          <w:tab w:val="clear" w:pos="2835"/>
          <w:tab w:val="clear" w:pos="3969"/>
          <w:tab w:val="clear" w:pos="5103"/>
          <w:tab w:val="clear" w:pos="6237"/>
          <w:tab w:val="clear" w:pos="7371"/>
        </w:tabs>
        <w:spacing w:before="240" w:after="120"/>
        <w:ind w:left="0" w:firstLine="284"/>
        <w:rPr>
          <w:b/>
          <w:szCs w:val="26"/>
        </w:rPr>
      </w:pPr>
      <w:r w:rsidRPr="00FD3D55">
        <w:rPr>
          <w:b/>
          <w:szCs w:val="26"/>
        </w:rPr>
        <w:t xml:space="preserve">Cotejos </w:t>
      </w:r>
    </w:p>
    <w:p w:rsidR="00C9781F" w:rsidRPr="006E7FB3" w:rsidRDefault="00C9781F" w:rsidP="00C9781F">
      <w:pPr>
        <w:pStyle w:val="texto"/>
        <w:tabs>
          <w:tab w:val="clear" w:pos="2835"/>
          <w:tab w:val="clear" w:pos="3969"/>
          <w:tab w:val="clear" w:pos="5103"/>
          <w:tab w:val="clear" w:pos="6237"/>
          <w:tab w:val="clear" w:pos="7371"/>
        </w:tabs>
        <w:spacing w:before="120"/>
        <w:rPr>
          <w:szCs w:val="26"/>
        </w:rPr>
      </w:pPr>
      <w:r>
        <w:rPr>
          <w:szCs w:val="26"/>
        </w:rPr>
        <w:t>El día 15 de cada mes, el COFNA remite al SNS-O otro</w:t>
      </w:r>
      <w:r w:rsidRPr="006E7FB3">
        <w:rPr>
          <w:szCs w:val="26"/>
        </w:rPr>
        <w:t xml:space="preserve"> fichero</w:t>
      </w:r>
      <w:r>
        <w:rPr>
          <w:szCs w:val="26"/>
        </w:rPr>
        <w:t xml:space="preserve"> elaborado por la empresa externa con</w:t>
      </w:r>
      <w:r w:rsidRPr="006E7FB3">
        <w:rPr>
          <w:szCs w:val="26"/>
        </w:rPr>
        <w:t xml:space="preserve"> la </w:t>
      </w:r>
      <w:r>
        <w:rPr>
          <w:szCs w:val="26"/>
        </w:rPr>
        <w:t>digitalización de los cupones,</w:t>
      </w:r>
      <w:r w:rsidRPr="006E7FB3">
        <w:rPr>
          <w:szCs w:val="26"/>
        </w:rPr>
        <w:t xml:space="preserve"> la</w:t>
      </w:r>
      <w:r>
        <w:rPr>
          <w:szCs w:val="26"/>
        </w:rPr>
        <w:t xml:space="preserve"> información completa de las recetas en</w:t>
      </w:r>
      <w:r w:rsidRPr="006E7FB3">
        <w:rPr>
          <w:szCs w:val="26"/>
        </w:rPr>
        <w:t xml:space="preserve"> papel, </w:t>
      </w:r>
      <w:r>
        <w:rPr>
          <w:szCs w:val="26"/>
        </w:rPr>
        <w:t>y</w:t>
      </w:r>
      <w:r w:rsidRPr="006E7FB3">
        <w:rPr>
          <w:szCs w:val="26"/>
        </w:rPr>
        <w:t xml:space="preserve"> otros datos </w:t>
      </w:r>
      <w:r>
        <w:rPr>
          <w:szCs w:val="26"/>
        </w:rPr>
        <w:t>de</w:t>
      </w:r>
      <w:r w:rsidRPr="006E7FB3">
        <w:rPr>
          <w:szCs w:val="26"/>
        </w:rPr>
        <w:t xml:space="preserve"> gestión</w:t>
      </w:r>
      <w:r>
        <w:rPr>
          <w:szCs w:val="26"/>
        </w:rPr>
        <w:t xml:space="preserve"> (personal facultativo prescriptor, pacientes, etc.).</w:t>
      </w:r>
      <w:r w:rsidRPr="006E7FB3">
        <w:rPr>
          <w:szCs w:val="26"/>
        </w:rPr>
        <w:t xml:space="preserve"> </w:t>
      </w:r>
    </w:p>
    <w:p w:rsidR="00C9781F" w:rsidRPr="006E7FB3" w:rsidRDefault="00C9781F" w:rsidP="00C9781F">
      <w:pPr>
        <w:pStyle w:val="texto"/>
        <w:tabs>
          <w:tab w:val="clear" w:pos="2835"/>
          <w:tab w:val="clear" w:pos="3969"/>
          <w:tab w:val="clear" w:pos="5103"/>
          <w:tab w:val="clear" w:pos="6237"/>
          <w:tab w:val="clear" w:pos="7371"/>
        </w:tabs>
        <w:spacing w:before="120"/>
        <w:rPr>
          <w:szCs w:val="26"/>
        </w:rPr>
      </w:pPr>
      <w:r>
        <w:rPr>
          <w:szCs w:val="26"/>
        </w:rPr>
        <w:t>Parte de e</w:t>
      </w:r>
      <w:r w:rsidRPr="006E7FB3">
        <w:rPr>
          <w:szCs w:val="26"/>
        </w:rPr>
        <w:t xml:space="preserve">ste fichero se utiliza para realizar </w:t>
      </w:r>
      <w:r>
        <w:rPr>
          <w:szCs w:val="26"/>
        </w:rPr>
        <w:t xml:space="preserve">determinadas comprobaciones en el módulo de LAMIA de facturación-cotejos y en la aplicación </w:t>
      </w:r>
      <w:proofErr w:type="spellStart"/>
      <w:r>
        <w:rPr>
          <w:szCs w:val="26"/>
        </w:rPr>
        <w:t>Tableau</w:t>
      </w:r>
      <w:proofErr w:type="spellEnd"/>
      <w:r>
        <w:rPr>
          <w:szCs w:val="26"/>
        </w:rPr>
        <w:t xml:space="preserve"> que permite analizar un data </w:t>
      </w:r>
      <w:proofErr w:type="spellStart"/>
      <w:r>
        <w:rPr>
          <w:szCs w:val="26"/>
        </w:rPr>
        <w:t>warehouse</w:t>
      </w:r>
      <w:proofErr w:type="spellEnd"/>
      <w:r>
        <w:rPr>
          <w:rStyle w:val="Refdenotaalpie"/>
          <w:szCs w:val="26"/>
        </w:rPr>
        <w:footnoteReference w:id="4"/>
      </w:r>
      <w:r>
        <w:rPr>
          <w:szCs w:val="26"/>
        </w:rPr>
        <w:t xml:space="preserve"> de información relacionada con la prest</w:t>
      </w:r>
      <w:r>
        <w:rPr>
          <w:szCs w:val="26"/>
        </w:rPr>
        <w:t>a</w:t>
      </w:r>
      <w:r>
        <w:rPr>
          <w:szCs w:val="26"/>
        </w:rPr>
        <w:t>ción farmacéutica</w:t>
      </w:r>
      <w:r w:rsidRPr="006E7FB3">
        <w:rPr>
          <w:szCs w:val="26"/>
        </w:rPr>
        <w:t>.</w:t>
      </w:r>
    </w:p>
    <w:p w:rsidR="00C9781F" w:rsidRDefault="00C9781F" w:rsidP="00C9781F">
      <w:pPr>
        <w:pStyle w:val="texto"/>
        <w:tabs>
          <w:tab w:val="clear" w:pos="2835"/>
          <w:tab w:val="clear" w:pos="3969"/>
          <w:tab w:val="clear" w:pos="5103"/>
          <w:tab w:val="clear" w:pos="6237"/>
          <w:tab w:val="clear" w:pos="7371"/>
        </w:tabs>
        <w:spacing w:before="120"/>
        <w:rPr>
          <w:szCs w:val="26"/>
        </w:rPr>
      </w:pPr>
      <w:r>
        <w:rPr>
          <w:szCs w:val="26"/>
        </w:rPr>
        <w:t>Todas las recetas en papel</w:t>
      </w:r>
      <w:r w:rsidRPr="006E7FB3">
        <w:rPr>
          <w:szCs w:val="26"/>
        </w:rPr>
        <w:t xml:space="preserve"> son remitidas al Servicio de Gestión de la Prest</w:t>
      </w:r>
      <w:r w:rsidRPr="006E7FB3">
        <w:rPr>
          <w:szCs w:val="26"/>
        </w:rPr>
        <w:t>a</w:t>
      </w:r>
      <w:r w:rsidRPr="006E7FB3">
        <w:rPr>
          <w:szCs w:val="26"/>
        </w:rPr>
        <w:t>ción Farmacéutica.</w:t>
      </w:r>
      <w:r>
        <w:rPr>
          <w:szCs w:val="26"/>
        </w:rPr>
        <w:t xml:space="preserve"> De estas, las c</w:t>
      </w:r>
      <w:r w:rsidRPr="006E7FB3">
        <w:rPr>
          <w:szCs w:val="26"/>
        </w:rPr>
        <w:t>orrespondientes a fórmulas magistrales, v</w:t>
      </w:r>
      <w:r w:rsidRPr="006E7FB3">
        <w:rPr>
          <w:szCs w:val="26"/>
        </w:rPr>
        <w:t>a</w:t>
      </w:r>
      <w:r w:rsidRPr="006E7FB3">
        <w:rPr>
          <w:szCs w:val="26"/>
        </w:rPr>
        <w:t xml:space="preserve">cunas antialérgicas y otros medicamentos sin cupón precinto, cuyos precios no están establecidos en el </w:t>
      </w:r>
      <w:r w:rsidR="00445899">
        <w:rPr>
          <w:szCs w:val="26"/>
        </w:rPr>
        <w:t>Nomenclátor</w:t>
      </w:r>
      <w:r w:rsidRPr="006E7FB3">
        <w:rPr>
          <w:szCs w:val="26"/>
        </w:rPr>
        <w:t>, son revisadas en su totalidad.</w:t>
      </w:r>
    </w:p>
    <w:p w:rsidR="00C9781F" w:rsidRPr="00FD3D55" w:rsidRDefault="00C9781F" w:rsidP="002303D6">
      <w:pPr>
        <w:pStyle w:val="texto"/>
        <w:numPr>
          <w:ilvl w:val="0"/>
          <w:numId w:val="5"/>
        </w:numPr>
        <w:tabs>
          <w:tab w:val="clear" w:pos="2835"/>
          <w:tab w:val="clear" w:pos="3969"/>
          <w:tab w:val="clear" w:pos="5103"/>
          <w:tab w:val="clear" w:pos="6237"/>
          <w:tab w:val="clear" w:pos="7371"/>
        </w:tabs>
        <w:spacing w:before="240" w:after="120"/>
        <w:ind w:left="0" w:firstLine="284"/>
        <w:rPr>
          <w:b/>
          <w:szCs w:val="26"/>
        </w:rPr>
      </w:pPr>
      <w:r w:rsidRPr="00FD3D55">
        <w:rPr>
          <w:b/>
          <w:szCs w:val="26"/>
        </w:rPr>
        <w:t xml:space="preserve">Tratamiento de las discrepancias obtenidas </w:t>
      </w:r>
    </w:p>
    <w:p w:rsidR="00C9781F" w:rsidRDefault="00C9781F" w:rsidP="00C9781F">
      <w:pPr>
        <w:pStyle w:val="texto"/>
        <w:tabs>
          <w:tab w:val="clear" w:pos="2835"/>
          <w:tab w:val="clear" w:pos="3969"/>
          <w:tab w:val="clear" w:pos="5103"/>
          <w:tab w:val="clear" w:pos="6237"/>
          <w:tab w:val="clear" w:pos="7371"/>
        </w:tabs>
        <w:spacing w:before="120"/>
        <w:rPr>
          <w:szCs w:val="26"/>
        </w:rPr>
      </w:pPr>
      <w:r>
        <w:rPr>
          <w:szCs w:val="26"/>
        </w:rPr>
        <w:t>Los cotejos anteriores se realizan en un plazo aproximado de tres meses. O</w:t>
      </w:r>
      <w:r>
        <w:rPr>
          <w:szCs w:val="26"/>
        </w:rPr>
        <w:t>b</w:t>
      </w:r>
      <w:r>
        <w:rPr>
          <w:szCs w:val="26"/>
        </w:rPr>
        <w:t xml:space="preserve">tenidas las discrepancias correspondientes, se lleva a cabo una reunión conjunta entre el SNS-O y el COFNA, en donde se revisan individualmente todas ellas. </w:t>
      </w:r>
    </w:p>
    <w:p w:rsidR="00C9781F" w:rsidRDefault="00C9781F" w:rsidP="00C9781F">
      <w:pPr>
        <w:pStyle w:val="texto"/>
        <w:tabs>
          <w:tab w:val="clear" w:pos="2835"/>
          <w:tab w:val="clear" w:pos="3969"/>
          <w:tab w:val="clear" w:pos="5103"/>
          <w:tab w:val="clear" w:pos="6237"/>
          <w:tab w:val="clear" w:pos="7371"/>
        </w:tabs>
        <w:spacing w:before="120"/>
        <w:rPr>
          <w:szCs w:val="26"/>
        </w:rPr>
      </w:pPr>
      <w:r>
        <w:rPr>
          <w:szCs w:val="26"/>
        </w:rPr>
        <w:t>Se comunica a cada farmacia sus discrepancias, en su caso, y se da un plazo de 15 días para que la subsane. Transcurrido este plazo, las partes se vuelven a reunir, y se decide definitivamente sobre las discrepancias detectadas inicia</w:t>
      </w:r>
      <w:r>
        <w:rPr>
          <w:szCs w:val="26"/>
        </w:rPr>
        <w:t>l</w:t>
      </w:r>
      <w:r>
        <w:rPr>
          <w:szCs w:val="26"/>
        </w:rPr>
        <w:t xml:space="preserve">mente. </w:t>
      </w:r>
    </w:p>
    <w:p w:rsidR="00C9781F" w:rsidRDefault="00C9781F" w:rsidP="00C9781F">
      <w:pPr>
        <w:pStyle w:val="texto"/>
        <w:tabs>
          <w:tab w:val="clear" w:pos="2835"/>
          <w:tab w:val="clear" w:pos="3969"/>
          <w:tab w:val="clear" w:pos="5103"/>
          <w:tab w:val="clear" w:pos="6237"/>
          <w:tab w:val="clear" w:pos="7371"/>
        </w:tabs>
        <w:spacing w:before="120" w:after="240"/>
        <w:rPr>
          <w:szCs w:val="26"/>
        </w:rPr>
      </w:pPr>
      <w:r>
        <w:rPr>
          <w:szCs w:val="26"/>
        </w:rPr>
        <w:t>La modificación del importe de la factura de un mes concreto se incorpora a la factura de alguno de los tres meses siguientes.</w:t>
      </w:r>
    </w:p>
    <w:p w:rsidR="00C9781F" w:rsidRPr="0018721D" w:rsidRDefault="00C9781F" w:rsidP="00C9781F">
      <w:pPr>
        <w:keepNext/>
        <w:spacing w:before="240" w:after="120"/>
        <w:ind w:firstLine="0"/>
        <w:rPr>
          <w:rFonts w:ascii="Arial" w:hAnsi="Arial"/>
          <w:i/>
          <w:iCs/>
          <w:color w:val="000000"/>
          <w:spacing w:val="10"/>
          <w:kern w:val="28"/>
          <w:sz w:val="25"/>
          <w:szCs w:val="26"/>
        </w:rPr>
      </w:pPr>
      <w:r w:rsidRPr="0018721D">
        <w:rPr>
          <w:rFonts w:ascii="Arial" w:hAnsi="Arial"/>
          <w:i/>
          <w:iCs/>
          <w:color w:val="000000"/>
          <w:spacing w:val="10"/>
          <w:kern w:val="28"/>
          <w:sz w:val="25"/>
          <w:szCs w:val="26"/>
        </w:rPr>
        <w:t>Análisis del procedimiento</w:t>
      </w:r>
    </w:p>
    <w:p w:rsidR="00C9781F" w:rsidRPr="004C44C0" w:rsidRDefault="00C9781F" w:rsidP="00C9781F">
      <w:pPr>
        <w:pStyle w:val="texto"/>
        <w:tabs>
          <w:tab w:val="clear" w:pos="2835"/>
          <w:tab w:val="clear" w:pos="3969"/>
          <w:tab w:val="clear" w:pos="5103"/>
          <w:tab w:val="clear" w:pos="6237"/>
          <w:tab w:val="clear" w:pos="7371"/>
        </w:tabs>
        <w:spacing w:before="120" w:after="120"/>
        <w:rPr>
          <w:szCs w:val="26"/>
        </w:rPr>
      </w:pPr>
      <w:r w:rsidRPr="004C44C0">
        <w:rPr>
          <w:szCs w:val="26"/>
        </w:rPr>
        <w:t xml:space="preserve">Hemos analizado el diseño del procedimiento de la gestión de la prestación farmacéutica, la configuración de LAMIA y las interfaces entre las distintas aplicaciones informáticas utilizadas, para identificar los riesgos existentes y </w:t>
      </w:r>
      <w:r>
        <w:rPr>
          <w:szCs w:val="26"/>
        </w:rPr>
        <w:t xml:space="preserve">examinar </w:t>
      </w:r>
      <w:r w:rsidRPr="004C44C0">
        <w:rPr>
          <w:szCs w:val="26"/>
        </w:rPr>
        <w:t>los contro</w:t>
      </w:r>
      <w:r>
        <w:rPr>
          <w:szCs w:val="26"/>
        </w:rPr>
        <w:t>les implantados para mitigarlos, a través del análisis de 35 controles y la realización de 27 pruebas sustantivas.</w:t>
      </w:r>
    </w:p>
    <w:p w:rsidR="00C9781F" w:rsidRDefault="00C9781F" w:rsidP="00C9781F">
      <w:pPr>
        <w:spacing w:after="0"/>
        <w:ind w:firstLine="0"/>
        <w:jc w:val="left"/>
        <w:rPr>
          <w:spacing w:val="6"/>
          <w:sz w:val="26"/>
          <w:szCs w:val="26"/>
        </w:rPr>
      </w:pPr>
      <w:r>
        <w:rPr>
          <w:szCs w:val="26"/>
        </w:rPr>
        <w:br w:type="page"/>
      </w:r>
    </w:p>
    <w:p w:rsidR="00C9781F" w:rsidRDefault="00C9781F" w:rsidP="00C9781F">
      <w:pPr>
        <w:pStyle w:val="texto"/>
        <w:tabs>
          <w:tab w:val="clear" w:pos="2835"/>
          <w:tab w:val="clear" w:pos="3969"/>
          <w:tab w:val="clear" w:pos="5103"/>
          <w:tab w:val="clear" w:pos="6237"/>
          <w:tab w:val="clear" w:pos="7371"/>
        </w:tabs>
        <w:spacing w:before="120" w:after="240"/>
        <w:rPr>
          <w:szCs w:val="26"/>
        </w:rPr>
      </w:pPr>
      <w:r w:rsidRPr="004C44C0">
        <w:rPr>
          <w:szCs w:val="26"/>
        </w:rPr>
        <w:lastRenderedPageBreak/>
        <w:t>Hemos realizado</w:t>
      </w:r>
      <w:r>
        <w:rPr>
          <w:szCs w:val="26"/>
        </w:rPr>
        <w:t xml:space="preserve"> </w:t>
      </w:r>
      <w:r w:rsidRPr="004C44C0">
        <w:rPr>
          <w:szCs w:val="26"/>
        </w:rPr>
        <w:t>análisis masivos de datos para efectuar validaciones que nos permitieran verificar el funcionamiento de los controles estableci</w:t>
      </w:r>
      <w:r>
        <w:rPr>
          <w:szCs w:val="26"/>
        </w:rPr>
        <w:t>dos en el proceso de gestión; los registros que hemos analizado son los que se enumeran en el siguiente cuadro:</w:t>
      </w:r>
    </w:p>
    <w:tbl>
      <w:tblPr>
        <w:tblStyle w:val="Tablaconcuadrcula"/>
        <w:tblW w:w="8789"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4192"/>
        <w:gridCol w:w="3038"/>
        <w:gridCol w:w="1559"/>
      </w:tblGrid>
      <w:tr w:rsidR="00C9781F" w:rsidRPr="00F939D6" w:rsidTr="00B53A0A">
        <w:trPr>
          <w:trHeight w:val="255"/>
        </w:trPr>
        <w:tc>
          <w:tcPr>
            <w:tcW w:w="4192" w:type="dxa"/>
            <w:tcBorders>
              <w:bottom w:val="single" w:sz="4" w:space="0" w:color="auto"/>
            </w:tcBorders>
            <w:shd w:val="clear" w:color="auto" w:fill="B8CCE4" w:themeFill="accent1" w:themeFillTint="66"/>
            <w:vAlign w:val="center"/>
          </w:tcPr>
          <w:p w:rsidR="00C9781F" w:rsidRPr="00F939D6" w:rsidRDefault="00C9781F" w:rsidP="00B53A0A">
            <w:pPr>
              <w:spacing w:after="0"/>
              <w:ind w:firstLine="0"/>
              <w:jc w:val="left"/>
              <w:rPr>
                <w:rFonts w:ascii="Arial" w:hAnsi="Arial" w:cs="Arial"/>
                <w:sz w:val="18"/>
                <w:szCs w:val="18"/>
              </w:rPr>
            </w:pPr>
          </w:p>
        </w:tc>
        <w:tc>
          <w:tcPr>
            <w:tcW w:w="3038" w:type="dxa"/>
            <w:tcBorders>
              <w:bottom w:val="single" w:sz="4" w:space="0" w:color="auto"/>
            </w:tcBorders>
            <w:shd w:val="clear" w:color="auto" w:fill="B8CCE4" w:themeFill="accent1" w:themeFillTint="66"/>
            <w:vAlign w:val="center"/>
          </w:tcPr>
          <w:p w:rsidR="00C9781F" w:rsidRPr="00F939D6" w:rsidRDefault="00C9781F" w:rsidP="00B53A0A">
            <w:pPr>
              <w:spacing w:after="0"/>
              <w:ind w:firstLine="0"/>
              <w:jc w:val="right"/>
              <w:rPr>
                <w:rFonts w:ascii="Arial" w:hAnsi="Arial" w:cs="Arial"/>
                <w:sz w:val="18"/>
                <w:szCs w:val="18"/>
              </w:rPr>
            </w:pPr>
            <w:r w:rsidRPr="00F939D6">
              <w:rPr>
                <w:rFonts w:ascii="Arial" w:hAnsi="Arial" w:cs="Arial"/>
                <w:sz w:val="18"/>
                <w:szCs w:val="18"/>
              </w:rPr>
              <w:t>Total  2013-2018</w:t>
            </w:r>
            <w:r>
              <w:rPr>
                <w:rFonts w:ascii="Arial" w:hAnsi="Arial" w:cs="Arial"/>
                <w:sz w:val="18"/>
                <w:szCs w:val="18"/>
              </w:rPr>
              <w:t>*</w:t>
            </w:r>
          </w:p>
        </w:tc>
        <w:tc>
          <w:tcPr>
            <w:tcW w:w="1559" w:type="dxa"/>
            <w:tcBorders>
              <w:bottom w:val="single" w:sz="4" w:space="0" w:color="auto"/>
            </w:tcBorders>
            <w:shd w:val="clear" w:color="auto" w:fill="B8CCE4" w:themeFill="accent1" w:themeFillTint="66"/>
            <w:vAlign w:val="center"/>
          </w:tcPr>
          <w:p w:rsidR="00C9781F" w:rsidRPr="00F939D6" w:rsidRDefault="00C9781F" w:rsidP="00B53A0A">
            <w:pPr>
              <w:spacing w:after="0"/>
              <w:ind w:firstLine="0"/>
              <w:jc w:val="right"/>
              <w:rPr>
                <w:rFonts w:ascii="Arial" w:hAnsi="Arial" w:cs="Arial"/>
                <w:sz w:val="18"/>
                <w:szCs w:val="18"/>
              </w:rPr>
            </w:pPr>
            <w:r w:rsidRPr="00F939D6">
              <w:rPr>
                <w:rFonts w:ascii="Arial" w:hAnsi="Arial" w:cs="Arial"/>
                <w:sz w:val="18"/>
                <w:szCs w:val="18"/>
              </w:rPr>
              <w:t>2018</w:t>
            </w:r>
          </w:p>
        </w:tc>
      </w:tr>
      <w:tr w:rsidR="00C9781F" w:rsidTr="00B53A0A">
        <w:trPr>
          <w:trHeight w:val="284"/>
        </w:trPr>
        <w:tc>
          <w:tcPr>
            <w:tcW w:w="4192" w:type="dxa"/>
            <w:tcBorders>
              <w:bottom w:val="single" w:sz="2" w:space="0" w:color="auto"/>
            </w:tcBorders>
            <w:vAlign w:val="center"/>
          </w:tcPr>
          <w:p w:rsidR="00C9781F" w:rsidRPr="00F939D6" w:rsidRDefault="00C9781F" w:rsidP="00B53A0A">
            <w:pPr>
              <w:spacing w:after="0"/>
              <w:ind w:firstLine="0"/>
              <w:jc w:val="left"/>
              <w:rPr>
                <w:rFonts w:ascii="Arial Narrow" w:hAnsi="Arial Narrow"/>
                <w:szCs w:val="26"/>
              </w:rPr>
            </w:pPr>
            <w:r w:rsidRPr="00F939D6">
              <w:rPr>
                <w:rFonts w:ascii="Arial Narrow" w:hAnsi="Arial Narrow"/>
                <w:szCs w:val="26"/>
              </w:rPr>
              <w:t>Prescripciones</w:t>
            </w:r>
          </w:p>
        </w:tc>
        <w:tc>
          <w:tcPr>
            <w:tcW w:w="3038" w:type="dxa"/>
            <w:tcBorders>
              <w:bottom w:val="single" w:sz="2" w:space="0" w:color="auto"/>
            </w:tcBorders>
            <w:vAlign w:val="center"/>
          </w:tcPr>
          <w:p w:rsidR="00C9781F" w:rsidRPr="00F939D6" w:rsidRDefault="00C9781F" w:rsidP="00B53A0A">
            <w:pPr>
              <w:spacing w:after="0"/>
              <w:ind w:firstLine="0"/>
              <w:jc w:val="right"/>
              <w:rPr>
                <w:rFonts w:ascii="Arial Narrow" w:hAnsi="Arial Narrow"/>
                <w:szCs w:val="26"/>
              </w:rPr>
            </w:pPr>
            <w:r w:rsidRPr="00F939D6">
              <w:rPr>
                <w:rFonts w:ascii="Arial Narrow" w:hAnsi="Arial Narrow"/>
                <w:szCs w:val="26"/>
              </w:rPr>
              <w:t>15.227.446</w:t>
            </w:r>
          </w:p>
        </w:tc>
        <w:tc>
          <w:tcPr>
            <w:tcW w:w="1559" w:type="dxa"/>
            <w:tcBorders>
              <w:bottom w:val="single" w:sz="2" w:space="0" w:color="auto"/>
            </w:tcBorders>
            <w:vAlign w:val="center"/>
          </w:tcPr>
          <w:p w:rsidR="00C9781F" w:rsidRPr="00F939D6" w:rsidRDefault="00C9781F" w:rsidP="00B53A0A">
            <w:pPr>
              <w:spacing w:after="0"/>
              <w:ind w:firstLine="0"/>
              <w:jc w:val="right"/>
              <w:rPr>
                <w:rFonts w:ascii="Arial Narrow" w:hAnsi="Arial Narrow"/>
                <w:szCs w:val="26"/>
              </w:rPr>
            </w:pPr>
            <w:r w:rsidRPr="00F939D6">
              <w:rPr>
                <w:rFonts w:ascii="Arial Narrow" w:hAnsi="Arial Narrow"/>
                <w:szCs w:val="26"/>
              </w:rPr>
              <w:t>3.747.158</w:t>
            </w:r>
          </w:p>
        </w:tc>
      </w:tr>
      <w:tr w:rsidR="00C9781F" w:rsidTr="00B53A0A">
        <w:trPr>
          <w:trHeight w:val="284"/>
        </w:trPr>
        <w:tc>
          <w:tcPr>
            <w:tcW w:w="4192" w:type="dxa"/>
            <w:tcBorders>
              <w:top w:val="single" w:sz="2" w:space="0" w:color="auto"/>
              <w:bottom w:val="single" w:sz="2" w:space="0" w:color="auto"/>
            </w:tcBorders>
            <w:vAlign w:val="center"/>
          </w:tcPr>
          <w:p w:rsidR="00C9781F" w:rsidRPr="00F939D6" w:rsidRDefault="00C9781F" w:rsidP="00B53A0A">
            <w:pPr>
              <w:spacing w:after="0"/>
              <w:ind w:firstLine="0"/>
              <w:jc w:val="left"/>
              <w:rPr>
                <w:rFonts w:ascii="Arial Narrow" w:hAnsi="Arial Narrow"/>
                <w:szCs w:val="26"/>
              </w:rPr>
            </w:pPr>
            <w:r w:rsidRPr="00F939D6">
              <w:rPr>
                <w:rFonts w:ascii="Arial Narrow" w:hAnsi="Arial Narrow"/>
                <w:szCs w:val="26"/>
              </w:rPr>
              <w:t>Recetas</w:t>
            </w:r>
          </w:p>
        </w:tc>
        <w:tc>
          <w:tcPr>
            <w:tcW w:w="3038" w:type="dxa"/>
            <w:tcBorders>
              <w:top w:val="single" w:sz="2" w:space="0" w:color="auto"/>
              <w:bottom w:val="single" w:sz="2" w:space="0" w:color="auto"/>
            </w:tcBorders>
            <w:vAlign w:val="center"/>
          </w:tcPr>
          <w:p w:rsidR="00C9781F" w:rsidRPr="00F939D6" w:rsidRDefault="00C9781F" w:rsidP="00B53A0A">
            <w:pPr>
              <w:spacing w:after="0"/>
              <w:ind w:firstLine="0"/>
              <w:jc w:val="right"/>
              <w:rPr>
                <w:rFonts w:ascii="Arial Narrow" w:hAnsi="Arial Narrow"/>
                <w:szCs w:val="26"/>
              </w:rPr>
            </w:pPr>
            <w:r w:rsidRPr="00F939D6">
              <w:rPr>
                <w:rFonts w:ascii="Arial Narrow" w:hAnsi="Arial Narrow"/>
                <w:szCs w:val="26"/>
              </w:rPr>
              <w:t>32.321.273</w:t>
            </w:r>
          </w:p>
        </w:tc>
        <w:tc>
          <w:tcPr>
            <w:tcW w:w="1559" w:type="dxa"/>
            <w:tcBorders>
              <w:top w:val="single" w:sz="2" w:space="0" w:color="auto"/>
              <w:bottom w:val="single" w:sz="2" w:space="0" w:color="auto"/>
            </w:tcBorders>
            <w:vAlign w:val="center"/>
          </w:tcPr>
          <w:p w:rsidR="00C9781F" w:rsidRPr="00F939D6" w:rsidRDefault="00C9781F" w:rsidP="00B53A0A">
            <w:pPr>
              <w:spacing w:after="0"/>
              <w:ind w:firstLine="0"/>
              <w:jc w:val="right"/>
              <w:rPr>
                <w:rFonts w:ascii="Arial Narrow" w:hAnsi="Arial Narrow"/>
                <w:szCs w:val="26"/>
              </w:rPr>
            </w:pPr>
            <w:r w:rsidRPr="00F939D6">
              <w:rPr>
                <w:rFonts w:ascii="Arial Narrow" w:hAnsi="Arial Narrow"/>
                <w:szCs w:val="26"/>
              </w:rPr>
              <w:t>12.962.906</w:t>
            </w:r>
          </w:p>
        </w:tc>
      </w:tr>
      <w:tr w:rsidR="00C9781F" w:rsidTr="00B53A0A">
        <w:trPr>
          <w:trHeight w:val="284"/>
        </w:trPr>
        <w:tc>
          <w:tcPr>
            <w:tcW w:w="4192" w:type="dxa"/>
            <w:tcBorders>
              <w:top w:val="single" w:sz="2" w:space="0" w:color="auto"/>
              <w:bottom w:val="single" w:sz="2" w:space="0" w:color="auto"/>
            </w:tcBorders>
            <w:vAlign w:val="center"/>
          </w:tcPr>
          <w:p w:rsidR="00C9781F" w:rsidRPr="00F939D6" w:rsidRDefault="00C9781F" w:rsidP="00B53A0A">
            <w:pPr>
              <w:spacing w:after="0"/>
              <w:ind w:firstLine="0"/>
              <w:jc w:val="left"/>
              <w:rPr>
                <w:rFonts w:ascii="Arial Narrow" w:hAnsi="Arial Narrow"/>
                <w:szCs w:val="26"/>
              </w:rPr>
            </w:pPr>
            <w:r w:rsidRPr="00F939D6">
              <w:rPr>
                <w:rFonts w:ascii="Arial Narrow" w:hAnsi="Arial Narrow"/>
                <w:szCs w:val="26"/>
              </w:rPr>
              <w:t>Visados</w:t>
            </w:r>
          </w:p>
        </w:tc>
        <w:tc>
          <w:tcPr>
            <w:tcW w:w="3038" w:type="dxa"/>
            <w:tcBorders>
              <w:top w:val="single" w:sz="2" w:space="0" w:color="auto"/>
              <w:bottom w:val="single" w:sz="2" w:space="0" w:color="auto"/>
            </w:tcBorders>
            <w:vAlign w:val="center"/>
          </w:tcPr>
          <w:p w:rsidR="00C9781F" w:rsidRPr="00F939D6" w:rsidRDefault="00C9781F" w:rsidP="00B53A0A">
            <w:pPr>
              <w:spacing w:after="0"/>
              <w:ind w:firstLine="0"/>
              <w:jc w:val="right"/>
              <w:rPr>
                <w:rFonts w:ascii="Arial Narrow" w:hAnsi="Arial Narrow"/>
                <w:szCs w:val="26"/>
              </w:rPr>
            </w:pPr>
            <w:r w:rsidRPr="00F939D6">
              <w:rPr>
                <w:rFonts w:ascii="Arial Narrow" w:hAnsi="Arial Narrow"/>
                <w:szCs w:val="26"/>
              </w:rPr>
              <w:t>350.720</w:t>
            </w:r>
          </w:p>
        </w:tc>
        <w:tc>
          <w:tcPr>
            <w:tcW w:w="1559" w:type="dxa"/>
            <w:tcBorders>
              <w:top w:val="single" w:sz="2" w:space="0" w:color="auto"/>
              <w:bottom w:val="single" w:sz="2" w:space="0" w:color="auto"/>
            </w:tcBorders>
            <w:vAlign w:val="center"/>
          </w:tcPr>
          <w:p w:rsidR="00C9781F" w:rsidRPr="00F939D6" w:rsidRDefault="00C9781F" w:rsidP="00B53A0A">
            <w:pPr>
              <w:spacing w:after="0"/>
              <w:ind w:firstLine="0"/>
              <w:jc w:val="right"/>
              <w:rPr>
                <w:rFonts w:ascii="Arial Narrow" w:hAnsi="Arial Narrow"/>
                <w:szCs w:val="26"/>
              </w:rPr>
            </w:pPr>
            <w:r w:rsidRPr="00F939D6">
              <w:rPr>
                <w:rFonts w:ascii="Arial Narrow" w:hAnsi="Arial Narrow"/>
                <w:szCs w:val="26"/>
              </w:rPr>
              <w:t>83.548</w:t>
            </w:r>
          </w:p>
        </w:tc>
      </w:tr>
      <w:tr w:rsidR="00C9781F" w:rsidTr="00B53A0A">
        <w:trPr>
          <w:trHeight w:val="284"/>
        </w:trPr>
        <w:tc>
          <w:tcPr>
            <w:tcW w:w="4192" w:type="dxa"/>
            <w:tcBorders>
              <w:top w:val="single" w:sz="2" w:space="0" w:color="auto"/>
              <w:bottom w:val="single" w:sz="2" w:space="0" w:color="auto"/>
            </w:tcBorders>
            <w:vAlign w:val="center"/>
          </w:tcPr>
          <w:p w:rsidR="00C9781F" w:rsidRPr="00F939D6" w:rsidRDefault="00C9781F" w:rsidP="00B53A0A">
            <w:pPr>
              <w:spacing w:after="0"/>
              <w:ind w:firstLine="0"/>
              <w:jc w:val="left"/>
              <w:rPr>
                <w:rFonts w:ascii="Arial Narrow" w:hAnsi="Arial Narrow"/>
                <w:szCs w:val="26"/>
              </w:rPr>
            </w:pPr>
            <w:r w:rsidRPr="00F939D6">
              <w:rPr>
                <w:rFonts w:ascii="Arial Narrow" w:hAnsi="Arial Narrow"/>
                <w:szCs w:val="26"/>
              </w:rPr>
              <w:t>Dispensaciones</w:t>
            </w:r>
            <w:r>
              <w:rPr>
                <w:rFonts w:ascii="Arial Narrow" w:hAnsi="Arial Narrow"/>
                <w:szCs w:val="26"/>
              </w:rPr>
              <w:t xml:space="preserve"> (no incluyen las de interoperabilidad)</w:t>
            </w:r>
          </w:p>
        </w:tc>
        <w:tc>
          <w:tcPr>
            <w:tcW w:w="3038" w:type="dxa"/>
            <w:tcBorders>
              <w:top w:val="single" w:sz="2" w:space="0" w:color="auto"/>
              <w:bottom w:val="single" w:sz="2" w:space="0" w:color="auto"/>
            </w:tcBorders>
            <w:vAlign w:val="center"/>
          </w:tcPr>
          <w:p w:rsidR="00C9781F" w:rsidRPr="00F939D6" w:rsidRDefault="00C9781F" w:rsidP="00B53A0A">
            <w:pPr>
              <w:spacing w:after="0"/>
              <w:ind w:firstLine="0"/>
              <w:jc w:val="right"/>
              <w:rPr>
                <w:rFonts w:ascii="Arial Narrow" w:hAnsi="Arial Narrow"/>
                <w:szCs w:val="26"/>
              </w:rPr>
            </w:pPr>
            <w:r w:rsidRPr="00F939D6">
              <w:rPr>
                <w:rFonts w:ascii="Arial Narrow" w:hAnsi="Arial Narrow"/>
                <w:szCs w:val="26"/>
              </w:rPr>
              <w:t>55.933.576</w:t>
            </w:r>
          </w:p>
        </w:tc>
        <w:tc>
          <w:tcPr>
            <w:tcW w:w="1559" w:type="dxa"/>
            <w:tcBorders>
              <w:top w:val="single" w:sz="2" w:space="0" w:color="auto"/>
              <w:bottom w:val="single" w:sz="2" w:space="0" w:color="auto"/>
            </w:tcBorders>
            <w:vAlign w:val="center"/>
          </w:tcPr>
          <w:p w:rsidR="00C9781F" w:rsidRPr="00F939D6" w:rsidRDefault="00C9781F" w:rsidP="00B53A0A">
            <w:pPr>
              <w:spacing w:after="0"/>
              <w:ind w:firstLine="0"/>
              <w:jc w:val="right"/>
              <w:rPr>
                <w:rFonts w:ascii="Arial Narrow" w:hAnsi="Arial Narrow"/>
                <w:szCs w:val="26"/>
              </w:rPr>
            </w:pPr>
            <w:r w:rsidRPr="00F939D6">
              <w:rPr>
                <w:rFonts w:ascii="Arial Narrow" w:hAnsi="Arial Narrow"/>
                <w:szCs w:val="26"/>
              </w:rPr>
              <w:t>10.447.111</w:t>
            </w:r>
          </w:p>
        </w:tc>
      </w:tr>
      <w:tr w:rsidR="00C9781F" w:rsidTr="00B53A0A">
        <w:trPr>
          <w:trHeight w:val="284"/>
        </w:trPr>
        <w:tc>
          <w:tcPr>
            <w:tcW w:w="4192" w:type="dxa"/>
            <w:tcBorders>
              <w:top w:val="single" w:sz="2" w:space="0" w:color="auto"/>
              <w:bottom w:val="single" w:sz="2" w:space="0" w:color="auto"/>
            </w:tcBorders>
            <w:vAlign w:val="center"/>
          </w:tcPr>
          <w:p w:rsidR="00C9781F" w:rsidRPr="00F939D6" w:rsidRDefault="00C9781F" w:rsidP="00B53A0A">
            <w:pPr>
              <w:spacing w:after="0"/>
              <w:ind w:firstLine="0"/>
              <w:jc w:val="left"/>
              <w:rPr>
                <w:rFonts w:ascii="Arial Narrow" w:hAnsi="Arial Narrow"/>
                <w:szCs w:val="26"/>
              </w:rPr>
            </w:pPr>
            <w:r w:rsidRPr="00F939D6">
              <w:rPr>
                <w:rFonts w:ascii="Arial Narrow" w:hAnsi="Arial Narrow"/>
                <w:szCs w:val="26"/>
              </w:rPr>
              <w:t>Accesos farmacias  prescripciones pacientes</w:t>
            </w:r>
          </w:p>
        </w:tc>
        <w:tc>
          <w:tcPr>
            <w:tcW w:w="3038" w:type="dxa"/>
            <w:tcBorders>
              <w:top w:val="single" w:sz="2" w:space="0" w:color="auto"/>
              <w:bottom w:val="single" w:sz="2" w:space="0" w:color="auto"/>
            </w:tcBorders>
            <w:vAlign w:val="center"/>
          </w:tcPr>
          <w:p w:rsidR="00C9781F" w:rsidRPr="00F939D6" w:rsidRDefault="00C9781F" w:rsidP="00B53A0A">
            <w:pPr>
              <w:spacing w:after="0"/>
              <w:ind w:firstLine="0"/>
              <w:jc w:val="right"/>
              <w:rPr>
                <w:rFonts w:ascii="Arial Narrow" w:hAnsi="Arial Narrow"/>
                <w:szCs w:val="26"/>
              </w:rPr>
            </w:pPr>
            <w:r w:rsidRPr="00F939D6">
              <w:rPr>
                <w:rFonts w:ascii="Arial Narrow" w:hAnsi="Arial Narrow"/>
                <w:szCs w:val="26"/>
              </w:rPr>
              <w:t>42.031.546</w:t>
            </w:r>
          </w:p>
        </w:tc>
        <w:tc>
          <w:tcPr>
            <w:tcW w:w="1559" w:type="dxa"/>
            <w:tcBorders>
              <w:top w:val="single" w:sz="2" w:space="0" w:color="auto"/>
              <w:bottom w:val="single" w:sz="2" w:space="0" w:color="auto"/>
            </w:tcBorders>
            <w:vAlign w:val="center"/>
          </w:tcPr>
          <w:p w:rsidR="00C9781F" w:rsidRPr="00F939D6" w:rsidRDefault="00C9781F" w:rsidP="00B53A0A">
            <w:pPr>
              <w:spacing w:after="0"/>
              <w:ind w:firstLine="0"/>
              <w:jc w:val="right"/>
              <w:rPr>
                <w:rFonts w:ascii="Arial Narrow" w:hAnsi="Arial Narrow"/>
                <w:szCs w:val="26"/>
              </w:rPr>
            </w:pPr>
            <w:r w:rsidRPr="00F939D6">
              <w:rPr>
                <w:rFonts w:ascii="Arial Narrow" w:hAnsi="Arial Narrow"/>
                <w:szCs w:val="26"/>
              </w:rPr>
              <w:t>7.992.919</w:t>
            </w:r>
          </w:p>
        </w:tc>
      </w:tr>
      <w:tr w:rsidR="00C9781F" w:rsidTr="00B53A0A">
        <w:trPr>
          <w:trHeight w:val="284"/>
        </w:trPr>
        <w:tc>
          <w:tcPr>
            <w:tcW w:w="4192" w:type="dxa"/>
            <w:tcBorders>
              <w:top w:val="single" w:sz="2" w:space="0" w:color="auto"/>
            </w:tcBorders>
            <w:vAlign w:val="center"/>
          </w:tcPr>
          <w:p w:rsidR="00C9781F" w:rsidRPr="00F939D6" w:rsidRDefault="00C9781F" w:rsidP="00B53A0A">
            <w:pPr>
              <w:spacing w:after="0"/>
              <w:ind w:firstLine="0"/>
              <w:jc w:val="left"/>
              <w:rPr>
                <w:rFonts w:ascii="Arial Narrow" w:hAnsi="Arial Narrow"/>
                <w:szCs w:val="26"/>
              </w:rPr>
            </w:pPr>
            <w:r w:rsidRPr="00F939D6">
              <w:rPr>
                <w:rFonts w:ascii="Arial Narrow" w:hAnsi="Arial Narrow"/>
                <w:szCs w:val="26"/>
              </w:rPr>
              <w:t>Histórico de precios</w:t>
            </w:r>
          </w:p>
        </w:tc>
        <w:tc>
          <w:tcPr>
            <w:tcW w:w="3038" w:type="dxa"/>
            <w:tcBorders>
              <w:top w:val="single" w:sz="2" w:space="0" w:color="auto"/>
            </w:tcBorders>
            <w:vAlign w:val="center"/>
          </w:tcPr>
          <w:p w:rsidR="00C9781F" w:rsidRPr="00F939D6" w:rsidRDefault="00C9781F" w:rsidP="00B53A0A">
            <w:pPr>
              <w:spacing w:after="0"/>
              <w:ind w:firstLine="0"/>
              <w:jc w:val="right"/>
              <w:rPr>
                <w:rFonts w:ascii="Arial Narrow" w:hAnsi="Arial Narrow"/>
                <w:szCs w:val="26"/>
              </w:rPr>
            </w:pPr>
            <w:r w:rsidRPr="00F939D6">
              <w:rPr>
                <w:rFonts w:ascii="Arial Narrow" w:hAnsi="Arial Narrow"/>
                <w:szCs w:val="26"/>
              </w:rPr>
              <w:t>4.998.672</w:t>
            </w:r>
          </w:p>
        </w:tc>
        <w:tc>
          <w:tcPr>
            <w:tcW w:w="1559" w:type="dxa"/>
            <w:tcBorders>
              <w:top w:val="single" w:sz="2" w:space="0" w:color="auto"/>
            </w:tcBorders>
            <w:vAlign w:val="center"/>
          </w:tcPr>
          <w:p w:rsidR="00C9781F" w:rsidRPr="00F939D6" w:rsidRDefault="00C9781F" w:rsidP="00A70353">
            <w:pPr>
              <w:spacing w:after="0"/>
              <w:ind w:firstLine="0"/>
              <w:jc w:val="right"/>
              <w:rPr>
                <w:rFonts w:ascii="Arial Narrow" w:hAnsi="Arial Narrow"/>
                <w:szCs w:val="26"/>
              </w:rPr>
            </w:pPr>
            <w:r w:rsidRPr="00A70353">
              <w:rPr>
                <w:rFonts w:ascii="Arial Narrow" w:hAnsi="Arial Narrow"/>
                <w:szCs w:val="26"/>
              </w:rPr>
              <w:t>879</w:t>
            </w:r>
            <w:r w:rsidR="00A70353" w:rsidRPr="00A70353">
              <w:rPr>
                <w:rFonts w:ascii="Arial Narrow" w:hAnsi="Arial Narrow"/>
                <w:szCs w:val="26"/>
              </w:rPr>
              <w:t>.</w:t>
            </w:r>
            <w:r w:rsidRPr="00A70353">
              <w:rPr>
                <w:rFonts w:ascii="Arial Narrow" w:hAnsi="Arial Narrow"/>
                <w:szCs w:val="26"/>
              </w:rPr>
              <w:t>594</w:t>
            </w:r>
          </w:p>
        </w:tc>
      </w:tr>
      <w:tr w:rsidR="00C9781F" w:rsidTr="00B53A0A">
        <w:trPr>
          <w:trHeight w:val="284"/>
        </w:trPr>
        <w:tc>
          <w:tcPr>
            <w:tcW w:w="4192" w:type="dxa"/>
            <w:vAlign w:val="center"/>
          </w:tcPr>
          <w:p w:rsidR="00C9781F" w:rsidRDefault="00C9781F" w:rsidP="00B53A0A">
            <w:pPr>
              <w:spacing w:after="0"/>
              <w:ind w:firstLine="0"/>
              <w:jc w:val="left"/>
              <w:rPr>
                <w:szCs w:val="26"/>
              </w:rPr>
            </w:pPr>
          </w:p>
        </w:tc>
        <w:tc>
          <w:tcPr>
            <w:tcW w:w="3038" w:type="dxa"/>
            <w:vAlign w:val="center"/>
          </w:tcPr>
          <w:p w:rsidR="00C9781F" w:rsidRDefault="00C9781F" w:rsidP="00B53A0A">
            <w:pPr>
              <w:spacing w:after="0"/>
              <w:ind w:firstLine="0"/>
              <w:jc w:val="right"/>
              <w:rPr>
                <w:szCs w:val="26"/>
              </w:rPr>
            </w:pPr>
          </w:p>
        </w:tc>
        <w:tc>
          <w:tcPr>
            <w:tcW w:w="1559" w:type="dxa"/>
            <w:vAlign w:val="center"/>
          </w:tcPr>
          <w:p w:rsidR="00C9781F" w:rsidRDefault="00C9781F" w:rsidP="00B53A0A">
            <w:pPr>
              <w:spacing w:after="0"/>
              <w:ind w:firstLine="0"/>
              <w:jc w:val="right"/>
              <w:rPr>
                <w:szCs w:val="26"/>
              </w:rPr>
            </w:pPr>
          </w:p>
        </w:tc>
      </w:tr>
      <w:tr w:rsidR="00C9781F" w:rsidRPr="00F939D6" w:rsidTr="00B53A0A">
        <w:trPr>
          <w:trHeight w:val="255"/>
        </w:trPr>
        <w:tc>
          <w:tcPr>
            <w:tcW w:w="4192" w:type="dxa"/>
            <w:shd w:val="clear" w:color="auto" w:fill="B8CCE4" w:themeFill="accent1" w:themeFillTint="66"/>
            <w:vAlign w:val="center"/>
          </w:tcPr>
          <w:p w:rsidR="00C9781F" w:rsidRPr="00F939D6" w:rsidRDefault="00C9781F" w:rsidP="00B53A0A">
            <w:pPr>
              <w:spacing w:after="0"/>
              <w:ind w:firstLine="0"/>
              <w:jc w:val="left"/>
              <w:rPr>
                <w:rFonts w:ascii="Arial" w:hAnsi="Arial" w:cs="Arial"/>
                <w:sz w:val="18"/>
                <w:szCs w:val="18"/>
              </w:rPr>
            </w:pPr>
          </w:p>
        </w:tc>
        <w:tc>
          <w:tcPr>
            <w:tcW w:w="3038" w:type="dxa"/>
            <w:shd w:val="clear" w:color="auto" w:fill="B8CCE4" w:themeFill="accent1" w:themeFillTint="66"/>
            <w:vAlign w:val="center"/>
          </w:tcPr>
          <w:p w:rsidR="00C9781F" w:rsidRPr="00F939D6" w:rsidRDefault="00C9781F" w:rsidP="00B53A0A">
            <w:pPr>
              <w:spacing w:after="0"/>
              <w:ind w:firstLine="0"/>
              <w:jc w:val="right"/>
              <w:rPr>
                <w:rFonts w:ascii="Arial" w:hAnsi="Arial" w:cs="Arial"/>
                <w:sz w:val="18"/>
                <w:szCs w:val="18"/>
              </w:rPr>
            </w:pPr>
            <w:r w:rsidRPr="00F939D6">
              <w:rPr>
                <w:rFonts w:ascii="Arial" w:hAnsi="Arial" w:cs="Arial"/>
                <w:sz w:val="18"/>
                <w:szCs w:val="18"/>
              </w:rPr>
              <w:t>Histórico cambios</w:t>
            </w:r>
          </w:p>
        </w:tc>
        <w:tc>
          <w:tcPr>
            <w:tcW w:w="1559" w:type="dxa"/>
            <w:shd w:val="clear" w:color="auto" w:fill="B8CCE4" w:themeFill="accent1" w:themeFillTint="66"/>
            <w:vAlign w:val="center"/>
          </w:tcPr>
          <w:p w:rsidR="00C9781F" w:rsidRPr="00F939D6" w:rsidRDefault="00C9781F" w:rsidP="00B53A0A">
            <w:pPr>
              <w:spacing w:after="0"/>
              <w:ind w:firstLine="0"/>
              <w:jc w:val="right"/>
              <w:rPr>
                <w:rFonts w:ascii="Arial" w:hAnsi="Arial" w:cs="Arial"/>
                <w:sz w:val="18"/>
                <w:szCs w:val="18"/>
              </w:rPr>
            </w:pPr>
            <w:r w:rsidRPr="00F939D6">
              <w:rPr>
                <w:rFonts w:ascii="Arial" w:hAnsi="Arial" w:cs="Arial"/>
                <w:sz w:val="18"/>
                <w:szCs w:val="18"/>
              </w:rPr>
              <w:t>Datos actuales</w:t>
            </w:r>
          </w:p>
        </w:tc>
      </w:tr>
      <w:tr w:rsidR="00C9781F" w:rsidRPr="00F939D6" w:rsidTr="00B53A0A">
        <w:trPr>
          <w:trHeight w:val="284"/>
        </w:trPr>
        <w:tc>
          <w:tcPr>
            <w:tcW w:w="4192" w:type="dxa"/>
            <w:tcBorders>
              <w:bottom w:val="single" w:sz="4" w:space="0" w:color="auto"/>
            </w:tcBorders>
            <w:vAlign w:val="center"/>
          </w:tcPr>
          <w:p w:rsidR="00C9781F" w:rsidRPr="00F939D6" w:rsidRDefault="00C9781F" w:rsidP="00B53A0A">
            <w:pPr>
              <w:spacing w:after="0"/>
              <w:ind w:firstLine="0"/>
              <w:jc w:val="left"/>
              <w:rPr>
                <w:rFonts w:ascii="Arial Narrow" w:hAnsi="Arial Narrow"/>
                <w:szCs w:val="26"/>
              </w:rPr>
            </w:pPr>
            <w:r w:rsidRPr="00F939D6">
              <w:rPr>
                <w:rFonts w:ascii="Arial Narrow" w:hAnsi="Arial Narrow"/>
                <w:szCs w:val="26"/>
              </w:rPr>
              <w:t>TSI</w:t>
            </w:r>
          </w:p>
        </w:tc>
        <w:tc>
          <w:tcPr>
            <w:tcW w:w="3038" w:type="dxa"/>
            <w:tcBorders>
              <w:bottom w:val="single" w:sz="4" w:space="0" w:color="auto"/>
            </w:tcBorders>
            <w:vAlign w:val="center"/>
          </w:tcPr>
          <w:p w:rsidR="00C9781F" w:rsidRPr="00F939D6" w:rsidRDefault="00C9781F" w:rsidP="00B53A0A">
            <w:pPr>
              <w:spacing w:after="0"/>
              <w:ind w:firstLine="0"/>
              <w:jc w:val="right"/>
              <w:rPr>
                <w:rFonts w:ascii="Arial Narrow" w:hAnsi="Arial Narrow"/>
                <w:szCs w:val="26"/>
              </w:rPr>
            </w:pPr>
            <w:r w:rsidRPr="00F939D6">
              <w:rPr>
                <w:rFonts w:ascii="Arial Narrow" w:hAnsi="Arial Narrow"/>
                <w:szCs w:val="26"/>
              </w:rPr>
              <w:t>2.075.404</w:t>
            </w:r>
          </w:p>
        </w:tc>
        <w:tc>
          <w:tcPr>
            <w:tcW w:w="1559" w:type="dxa"/>
            <w:tcBorders>
              <w:bottom w:val="single" w:sz="4" w:space="0" w:color="auto"/>
            </w:tcBorders>
            <w:vAlign w:val="center"/>
          </w:tcPr>
          <w:p w:rsidR="00C9781F" w:rsidRPr="00F939D6" w:rsidRDefault="00C9781F" w:rsidP="00B53A0A">
            <w:pPr>
              <w:spacing w:after="0"/>
              <w:ind w:firstLine="0"/>
              <w:jc w:val="right"/>
              <w:rPr>
                <w:rFonts w:ascii="Arial Narrow" w:hAnsi="Arial Narrow"/>
                <w:szCs w:val="26"/>
              </w:rPr>
            </w:pPr>
            <w:r w:rsidRPr="00F939D6">
              <w:rPr>
                <w:rFonts w:ascii="Arial Narrow" w:hAnsi="Arial Narrow"/>
                <w:szCs w:val="26"/>
              </w:rPr>
              <w:t>785.</w:t>
            </w:r>
            <w:r>
              <w:rPr>
                <w:rFonts w:ascii="Arial Narrow" w:hAnsi="Arial Narrow"/>
                <w:szCs w:val="26"/>
              </w:rPr>
              <w:t>444</w:t>
            </w:r>
          </w:p>
        </w:tc>
      </w:tr>
    </w:tbl>
    <w:p w:rsidR="00C9781F" w:rsidRPr="0018721D" w:rsidRDefault="00C9781F" w:rsidP="00C9781F">
      <w:pPr>
        <w:spacing w:before="60" w:after="0"/>
        <w:ind w:firstLine="0"/>
        <w:jc w:val="left"/>
        <w:rPr>
          <w:rFonts w:ascii="Arial" w:hAnsi="Arial" w:cs="Arial"/>
          <w:sz w:val="16"/>
          <w:szCs w:val="16"/>
        </w:rPr>
      </w:pPr>
      <w:r w:rsidRPr="0018721D">
        <w:rPr>
          <w:rFonts w:ascii="Arial" w:hAnsi="Arial" w:cs="Arial"/>
          <w:sz w:val="16"/>
          <w:szCs w:val="16"/>
        </w:rPr>
        <w:t>*</w:t>
      </w:r>
      <w:r>
        <w:rPr>
          <w:rFonts w:ascii="Arial" w:hAnsi="Arial" w:cs="Arial"/>
          <w:sz w:val="16"/>
          <w:szCs w:val="16"/>
        </w:rPr>
        <w:t xml:space="preserve"> </w:t>
      </w:r>
      <w:r w:rsidRPr="0018721D">
        <w:rPr>
          <w:rFonts w:ascii="Arial" w:hAnsi="Arial" w:cs="Arial"/>
          <w:sz w:val="16"/>
          <w:szCs w:val="16"/>
        </w:rPr>
        <w:t>Hay que tener en cuenta que la receta electrónica entró en pleno funcionamiento a partir de 2017</w:t>
      </w:r>
      <w:r>
        <w:rPr>
          <w:rFonts w:ascii="Arial" w:hAnsi="Arial" w:cs="Arial"/>
          <w:sz w:val="16"/>
          <w:szCs w:val="16"/>
        </w:rPr>
        <w:t>.</w:t>
      </w:r>
    </w:p>
    <w:p w:rsidR="00C9781F" w:rsidRPr="004C44C0" w:rsidRDefault="00C9781F" w:rsidP="00C9781F">
      <w:pPr>
        <w:pStyle w:val="texto"/>
        <w:tabs>
          <w:tab w:val="clear" w:pos="2835"/>
          <w:tab w:val="clear" w:pos="3969"/>
          <w:tab w:val="clear" w:pos="5103"/>
          <w:tab w:val="clear" w:pos="6237"/>
          <w:tab w:val="clear" w:pos="7371"/>
        </w:tabs>
        <w:spacing w:before="240" w:after="240"/>
        <w:rPr>
          <w:szCs w:val="26"/>
        </w:rPr>
      </w:pPr>
      <w:r w:rsidRPr="004C44C0">
        <w:rPr>
          <w:szCs w:val="26"/>
        </w:rPr>
        <w:t xml:space="preserve">Además, hemos </w:t>
      </w:r>
      <w:r>
        <w:rPr>
          <w:szCs w:val="26"/>
        </w:rPr>
        <w:t>revisado</w:t>
      </w:r>
      <w:r w:rsidRPr="004C44C0">
        <w:rPr>
          <w:szCs w:val="26"/>
        </w:rPr>
        <w:t xml:space="preserve"> la</w:t>
      </w:r>
      <w:r>
        <w:rPr>
          <w:szCs w:val="26"/>
        </w:rPr>
        <w:t xml:space="preserve">s facturas correspondientes a </w:t>
      </w:r>
      <w:r w:rsidRPr="004C44C0">
        <w:rPr>
          <w:szCs w:val="26"/>
        </w:rPr>
        <w:t xml:space="preserve"> noviembre de 2017 y agosto de 2018 cuyos principales datos son los siguientes:</w:t>
      </w:r>
    </w:p>
    <w:tbl>
      <w:tblPr>
        <w:tblStyle w:val="Tablaconcuadrcula"/>
        <w:tblW w:w="8897" w:type="dxa"/>
        <w:tblBorders>
          <w:left w:val="none" w:sz="0" w:space="0" w:color="auto"/>
          <w:right w:val="none" w:sz="0" w:space="0" w:color="auto"/>
          <w:insideV w:val="none" w:sz="0" w:space="0" w:color="auto"/>
        </w:tblBorders>
        <w:tblLook w:val="04A0" w:firstRow="1" w:lastRow="0" w:firstColumn="1" w:lastColumn="0" w:noHBand="0" w:noVBand="1"/>
      </w:tblPr>
      <w:tblGrid>
        <w:gridCol w:w="3895"/>
        <w:gridCol w:w="2406"/>
        <w:gridCol w:w="2596"/>
      </w:tblGrid>
      <w:tr w:rsidR="00C9781F" w:rsidRPr="00105EE7" w:rsidTr="00B53A0A">
        <w:trPr>
          <w:trHeight w:val="255"/>
        </w:trPr>
        <w:tc>
          <w:tcPr>
            <w:tcW w:w="3895" w:type="dxa"/>
            <w:shd w:val="clear" w:color="auto" w:fill="B8CCE4" w:themeFill="accent1" w:themeFillTint="66"/>
            <w:vAlign w:val="center"/>
          </w:tcPr>
          <w:p w:rsidR="00C9781F" w:rsidRPr="00105EE7"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p>
        </w:tc>
        <w:tc>
          <w:tcPr>
            <w:tcW w:w="2406" w:type="dxa"/>
            <w:shd w:val="clear" w:color="auto" w:fill="B8CCE4" w:themeFill="accent1" w:themeFillTint="66"/>
            <w:vAlign w:val="center"/>
          </w:tcPr>
          <w:p w:rsidR="00C9781F" w:rsidRPr="00105EE7"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105EE7">
              <w:rPr>
                <w:rFonts w:ascii="Arial" w:hAnsi="Arial" w:cs="Arial"/>
                <w:sz w:val="18"/>
                <w:szCs w:val="18"/>
              </w:rPr>
              <w:t>Factura noviembre 2017</w:t>
            </w:r>
          </w:p>
        </w:tc>
        <w:tc>
          <w:tcPr>
            <w:tcW w:w="2596" w:type="dxa"/>
            <w:shd w:val="clear" w:color="auto" w:fill="B8CCE4" w:themeFill="accent1" w:themeFillTint="66"/>
            <w:vAlign w:val="center"/>
          </w:tcPr>
          <w:p w:rsidR="00C9781F" w:rsidRPr="00105EE7"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105EE7">
              <w:rPr>
                <w:rFonts w:ascii="Arial" w:hAnsi="Arial" w:cs="Arial"/>
                <w:sz w:val="18"/>
                <w:szCs w:val="18"/>
              </w:rPr>
              <w:t>Factura agosto 2018</w:t>
            </w:r>
          </w:p>
        </w:tc>
      </w:tr>
      <w:tr w:rsidR="00C9781F" w:rsidRPr="00620DDB" w:rsidTr="00B53A0A">
        <w:trPr>
          <w:trHeight w:val="198"/>
        </w:trPr>
        <w:tc>
          <w:tcPr>
            <w:tcW w:w="3895" w:type="dxa"/>
            <w:tcBorders>
              <w:bottom w:val="single" w:sz="2" w:space="0" w:color="auto"/>
            </w:tcBorders>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620DDB">
              <w:rPr>
                <w:rFonts w:ascii="Arial Narrow" w:hAnsi="Arial Narrow"/>
                <w:sz w:val="20"/>
                <w:szCs w:val="20"/>
              </w:rPr>
              <w:t>Importe factura</w:t>
            </w:r>
          </w:p>
        </w:tc>
        <w:tc>
          <w:tcPr>
            <w:tcW w:w="2406" w:type="dxa"/>
            <w:tcBorders>
              <w:bottom w:val="single" w:sz="2" w:space="0" w:color="auto"/>
            </w:tcBorders>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620DDB">
              <w:rPr>
                <w:rFonts w:ascii="Arial Narrow" w:hAnsi="Arial Narrow"/>
                <w:sz w:val="20"/>
                <w:szCs w:val="20"/>
              </w:rPr>
              <w:t>12.040.607</w:t>
            </w:r>
          </w:p>
        </w:tc>
        <w:tc>
          <w:tcPr>
            <w:tcW w:w="2596" w:type="dxa"/>
            <w:tcBorders>
              <w:bottom w:val="single" w:sz="2" w:space="0" w:color="auto"/>
            </w:tcBorders>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620DDB">
              <w:rPr>
                <w:rFonts w:ascii="Arial Narrow" w:hAnsi="Arial Narrow"/>
                <w:sz w:val="20"/>
                <w:szCs w:val="20"/>
              </w:rPr>
              <w:t>12.250.588</w:t>
            </w:r>
          </w:p>
        </w:tc>
      </w:tr>
      <w:tr w:rsidR="00C9781F" w:rsidRPr="00620DDB" w:rsidTr="00B53A0A">
        <w:trPr>
          <w:trHeight w:val="198"/>
        </w:trPr>
        <w:tc>
          <w:tcPr>
            <w:tcW w:w="3895" w:type="dxa"/>
            <w:tcBorders>
              <w:top w:val="single" w:sz="2" w:space="0" w:color="auto"/>
              <w:bottom w:val="single" w:sz="2" w:space="0" w:color="auto"/>
            </w:tcBorders>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620DDB">
              <w:rPr>
                <w:rFonts w:ascii="Arial Narrow" w:hAnsi="Arial Narrow"/>
                <w:sz w:val="20"/>
                <w:szCs w:val="20"/>
              </w:rPr>
              <w:t>Descuentos y abonos</w:t>
            </w:r>
          </w:p>
        </w:tc>
        <w:tc>
          <w:tcPr>
            <w:tcW w:w="2406" w:type="dxa"/>
            <w:tcBorders>
              <w:top w:val="single" w:sz="2" w:space="0" w:color="auto"/>
              <w:bottom w:val="single" w:sz="2" w:space="0" w:color="auto"/>
            </w:tcBorders>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620DDB">
              <w:rPr>
                <w:rFonts w:ascii="Arial Narrow" w:hAnsi="Arial Narrow"/>
                <w:sz w:val="20"/>
                <w:szCs w:val="20"/>
              </w:rPr>
              <w:t>-478.441</w:t>
            </w:r>
          </w:p>
        </w:tc>
        <w:tc>
          <w:tcPr>
            <w:tcW w:w="2596" w:type="dxa"/>
            <w:tcBorders>
              <w:top w:val="single" w:sz="2" w:space="0" w:color="auto"/>
              <w:bottom w:val="single" w:sz="2" w:space="0" w:color="auto"/>
            </w:tcBorders>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620DDB">
              <w:rPr>
                <w:rFonts w:ascii="Arial Narrow" w:hAnsi="Arial Narrow"/>
                <w:sz w:val="20"/>
                <w:szCs w:val="20"/>
              </w:rPr>
              <w:t>-438.693</w:t>
            </w:r>
          </w:p>
        </w:tc>
      </w:tr>
      <w:tr w:rsidR="00C9781F" w:rsidRPr="00620DDB" w:rsidTr="00B53A0A">
        <w:trPr>
          <w:trHeight w:val="198"/>
        </w:trPr>
        <w:tc>
          <w:tcPr>
            <w:tcW w:w="3895" w:type="dxa"/>
            <w:tcBorders>
              <w:top w:val="single" w:sz="2" w:space="0" w:color="auto"/>
            </w:tcBorders>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620DDB">
              <w:rPr>
                <w:rFonts w:ascii="Arial Narrow" w:hAnsi="Arial Narrow"/>
                <w:sz w:val="20"/>
                <w:szCs w:val="20"/>
              </w:rPr>
              <w:t>Discrepancias factura de tres meses antes</w:t>
            </w:r>
          </w:p>
        </w:tc>
        <w:tc>
          <w:tcPr>
            <w:tcW w:w="2406" w:type="dxa"/>
            <w:tcBorders>
              <w:top w:val="single" w:sz="2" w:space="0" w:color="auto"/>
            </w:tcBorders>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620DDB">
              <w:rPr>
                <w:rFonts w:ascii="Arial Narrow" w:hAnsi="Arial Narrow"/>
                <w:sz w:val="20"/>
                <w:szCs w:val="20"/>
              </w:rPr>
              <w:t>-22.786</w:t>
            </w:r>
          </w:p>
        </w:tc>
        <w:tc>
          <w:tcPr>
            <w:tcW w:w="2596" w:type="dxa"/>
            <w:tcBorders>
              <w:top w:val="single" w:sz="2" w:space="0" w:color="auto"/>
            </w:tcBorders>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620DDB">
              <w:rPr>
                <w:rFonts w:ascii="Arial Narrow" w:hAnsi="Arial Narrow"/>
                <w:sz w:val="20"/>
                <w:szCs w:val="20"/>
              </w:rPr>
              <w:t>-10.584</w:t>
            </w:r>
          </w:p>
        </w:tc>
      </w:tr>
      <w:tr w:rsidR="00C9781F" w:rsidRPr="00105EE7" w:rsidTr="00B53A0A">
        <w:trPr>
          <w:trHeight w:val="255"/>
        </w:trPr>
        <w:tc>
          <w:tcPr>
            <w:tcW w:w="3895" w:type="dxa"/>
            <w:shd w:val="clear" w:color="auto" w:fill="B8CCE4" w:themeFill="accent1" w:themeFillTint="66"/>
            <w:vAlign w:val="center"/>
          </w:tcPr>
          <w:p w:rsidR="00C9781F" w:rsidRPr="00105EE7" w:rsidRDefault="00C9781F" w:rsidP="00B53A0A">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105EE7">
              <w:rPr>
                <w:rFonts w:ascii="Arial" w:hAnsi="Arial" w:cs="Arial"/>
                <w:sz w:val="18"/>
                <w:szCs w:val="18"/>
              </w:rPr>
              <w:t>Importe líquido (gasto presupuestario)</w:t>
            </w:r>
          </w:p>
        </w:tc>
        <w:tc>
          <w:tcPr>
            <w:tcW w:w="2406" w:type="dxa"/>
            <w:shd w:val="clear" w:color="auto" w:fill="B8CCE4" w:themeFill="accent1" w:themeFillTint="66"/>
            <w:vAlign w:val="center"/>
          </w:tcPr>
          <w:p w:rsidR="00C9781F" w:rsidRPr="00105EE7"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105EE7">
              <w:rPr>
                <w:rFonts w:ascii="Arial" w:hAnsi="Arial" w:cs="Arial"/>
                <w:sz w:val="18"/>
                <w:szCs w:val="18"/>
              </w:rPr>
              <w:t>11.539.380</w:t>
            </w:r>
          </w:p>
        </w:tc>
        <w:tc>
          <w:tcPr>
            <w:tcW w:w="2596" w:type="dxa"/>
            <w:shd w:val="clear" w:color="auto" w:fill="B8CCE4" w:themeFill="accent1" w:themeFillTint="66"/>
            <w:vAlign w:val="center"/>
          </w:tcPr>
          <w:p w:rsidR="00C9781F" w:rsidRPr="00105EE7"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105EE7">
              <w:rPr>
                <w:rFonts w:ascii="Arial" w:hAnsi="Arial" w:cs="Arial"/>
                <w:sz w:val="18"/>
                <w:szCs w:val="18"/>
              </w:rPr>
              <w:t>11.801.311</w:t>
            </w:r>
          </w:p>
        </w:tc>
      </w:tr>
      <w:tr w:rsidR="00C9781F" w:rsidRPr="00620DDB" w:rsidTr="00B53A0A">
        <w:trPr>
          <w:trHeight w:val="198"/>
        </w:trPr>
        <w:tc>
          <w:tcPr>
            <w:tcW w:w="3895" w:type="dxa"/>
            <w:tcBorders>
              <w:bottom w:val="single" w:sz="2" w:space="0" w:color="auto"/>
            </w:tcBorders>
            <w:shd w:val="clear" w:color="auto" w:fill="auto"/>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left"/>
              <w:rPr>
                <w:rFonts w:ascii="Arial Narrow" w:hAnsi="Arial Narrow" w:cs="Arial"/>
                <w:sz w:val="20"/>
                <w:szCs w:val="20"/>
              </w:rPr>
            </w:pPr>
            <w:r w:rsidRPr="00620DDB">
              <w:rPr>
                <w:rFonts w:ascii="Arial Narrow" w:hAnsi="Arial Narrow" w:cs="Arial"/>
                <w:sz w:val="20"/>
                <w:szCs w:val="20"/>
              </w:rPr>
              <w:t>Discrepancias a cobrar en facturas posteriores</w:t>
            </w:r>
          </w:p>
        </w:tc>
        <w:tc>
          <w:tcPr>
            <w:tcW w:w="2406" w:type="dxa"/>
            <w:tcBorders>
              <w:bottom w:val="single" w:sz="2" w:space="0" w:color="auto"/>
            </w:tcBorders>
            <w:shd w:val="clear" w:color="auto" w:fill="auto"/>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620DDB">
              <w:rPr>
                <w:rFonts w:ascii="Arial Narrow" w:hAnsi="Arial Narrow"/>
                <w:sz w:val="20"/>
                <w:szCs w:val="20"/>
              </w:rPr>
              <w:t>-13.903</w:t>
            </w:r>
          </w:p>
        </w:tc>
        <w:tc>
          <w:tcPr>
            <w:tcW w:w="2596" w:type="dxa"/>
            <w:tcBorders>
              <w:bottom w:val="single" w:sz="2" w:space="0" w:color="auto"/>
            </w:tcBorders>
            <w:shd w:val="clear" w:color="auto" w:fill="auto"/>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620DDB">
              <w:rPr>
                <w:rFonts w:ascii="Arial Narrow" w:hAnsi="Arial Narrow"/>
                <w:sz w:val="20"/>
                <w:szCs w:val="20"/>
              </w:rPr>
              <w:t>-11.906</w:t>
            </w:r>
          </w:p>
        </w:tc>
      </w:tr>
      <w:tr w:rsidR="00C9781F" w:rsidRPr="00620DDB" w:rsidTr="00B53A0A">
        <w:trPr>
          <w:trHeight w:val="198"/>
        </w:trPr>
        <w:tc>
          <w:tcPr>
            <w:tcW w:w="3895" w:type="dxa"/>
            <w:tcBorders>
              <w:top w:val="single" w:sz="2" w:space="0" w:color="auto"/>
              <w:bottom w:val="single" w:sz="2" w:space="0" w:color="auto"/>
            </w:tcBorders>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left"/>
              <w:rPr>
                <w:rFonts w:ascii="Arial Narrow" w:hAnsi="Arial Narrow" w:cs="Arial"/>
                <w:sz w:val="20"/>
                <w:szCs w:val="20"/>
              </w:rPr>
            </w:pPr>
            <w:r w:rsidRPr="00620DDB">
              <w:rPr>
                <w:rFonts w:ascii="Arial Narrow" w:hAnsi="Arial Narrow" w:cs="Arial"/>
                <w:sz w:val="20"/>
                <w:szCs w:val="20"/>
              </w:rPr>
              <w:t>Total recetas:</w:t>
            </w:r>
          </w:p>
          <w:p w:rsidR="00C9781F" w:rsidRPr="00620DDB" w:rsidRDefault="00C9781F" w:rsidP="00B53A0A">
            <w:pPr>
              <w:pStyle w:val="texto"/>
              <w:tabs>
                <w:tab w:val="clear" w:pos="2835"/>
                <w:tab w:val="clear" w:pos="3969"/>
                <w:tab w:val="clear" w:pos="5103"/>
                <w:tab w:val="clear" w:pos="6237"/>
                <w:tab w:val="clear" w:pos="7371"/>
              </w:tabs>
              <w:spacing w:after="0"/>
              <w:ind w:left="308" w:firstLine="0"/>
              <w:jc w:val="left"/>
              <w:rPr>
                <w:rFonts w:ascii="Arial Narrow" w:hAnsi="Arial Narrow"/>
                <w:sz w:val="20"/>
                <w:szCs w:val="20"/>
              </w:rPr>
            </w:pPr>
            <w:r w:rsidRPr="00620DDB">
              <w:rPr>
                <w:rFonts w:ascii="Arial Narrow" w:hAnsi="Arial Narrow"/>
                <w:sz w:val="20"/>
                <w:szCs w:val="20"/>
              </w:rPr>
              <w:t>Recetas electrónicas</w:t>
            </w:r>
          </w:p>
          <w:p w:rsidR="00C9781F" w:rsidRPr="00620DDB" w:rsidRDefault="00C9781F" w:rsidP="00B53A0A">
            <w:pPr>
              <w:pStyle w:val="texto"/>
              <w:tabs>
                <w:tab w:val="clear" w:pos="2835"/>
                <w:tab w:val="clear" w:pos="3969"/>
                <w:tab w:val="clear" w:pos="5103"/>
                <w:tab w:val="clear" w:pos="6237"/>
                <w:tab w:val="clear" w:pos="7371"/>
              </w:tabs>
              <w:spacing w:after="0"/>
              <w:ind w:left="308" w:firstLine="0"/>
              <w:jc w:val="left"/>
              <w:rPr>
                <w:rFonts w:ascii="Arial Narrow" w:hAnsi="Arial Narrow"/>
                <w:sz w:val="20"/>
                <w:szCs w:val="20"/>
              </w:rPr>
            </w:pPr>
            <w:r w:rsidRPr="00620DDB">
              <w:rPr>
                <w:rFonts w:ascii="Arial Narrow" w:hAnsi="Arial Narrow"/>
                <w:sz w:val="20"/>
                <w:szCs w:val="20"/>
              </w:rPr>
              <w:t>Recetas en papel</w:t>
            </w:r>
          </w:p>
        </w:tc>
        <w:tc>
          <w:tcPr>
            <w:tcW w:w="2406" w:type="dxa"/>
            <w:tcBorders>
              <w:top w:val="single" w:sz="2" w:space="0" w:color="auto"/>
              <w:bottom w:val="single" w:sz="2" w:space="0" w:color="auto"/>
            </w:tcBorders>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620DDB">
              <w:rPr>
                <w:rFonts w:ascii="Arial Narrow" w:hAnsi="Arial Narrow"/>
                <w:sz w:val="20"/>
                <w:szCs w:val="20"/>
              </w:rPr>
              <w:t>850.250</w:t>
            </w:r>
          </w:p>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sidRPr="00620DDB">
              <w:rPr>
                <w:rFonts w:ascii="Arial Narrow" w:hAnsi="Arial Narrow"/>
                <w:i/>
                <w:sz w:val="20"/>
                <w:szCs w:val="20"/>
              </w:rPr>
              <w:t>830.816</w:t>
            </w:r>
          </w:p>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620DDB">
              <w:rPr>
                <w:rFonts w:ascii="Arial Narrow" w:hAnsi="Arial Narrow"/>
                <w:i/>
                <w:sz w:val="20"/>
                <w:szCs w:val="20"/>
              </w:rPr>
              <w:t>19.434</w:t>
            </w:r>
          </w:p>
        </w:tc>
        <w:tc>
          <w:tcPr>
            <w:tcW w:w="2596" w:type="dxa"/>
            <w:tcBorders>
              <w:top w:val="single" w:sz="2" w:space="0" w:color="auto"/>
              <w:bottom w:val="single" w:sz="2" w:space="0" w:color="auto"/>
            </w:tcBorders>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620DDB">
              <w:rPr>
                <w:rFonts w:ascii="Arial Narrow" w:hAnsi="Arial Narrow"/>
                <w:sz w:val="20"/>
                <w:szCs w:val="20"/>
              </w:rPr>
              <w:t>852.383</w:t>
            </w:r>
          </w:p>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sidRPr="00620DDB">
              <w:rPr>
                <w:rFonts w:ascii="Arial Narrow" w:hAnsi="Arial Narrow"/>
                <w:i/>
                <w:sz w:val="20"/>
                <w:szCs w:val="20"/>
              </w:rPr>
              <w:t>833.286</w:t>
            </w:r>
          </w:p>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620DDB">
              <w:rPr>
                <w:rFonts w:ascii="Arial Narrow" w:hAnsi="Arial Narrow"/>
                <w:i/>
                <w:sz w:val="20"/>
                <w:szCs w:val="20"/>
              </w:rPr>
              <w:t>19.097</w:t>
            </w:r>
          </w:p>
        </w:tc>
      </w:tr>
      <w:tr w:rsidR="00C9781F" w:rsidRPr="00620DDB" w:rsidTr="00B53A0A">
        <w:trPr>
          <w:trHeight w:val="198"/>
        </w:trPr>
        <w:tc>
          <w:tcPr>
            <w:tcW w:w="3895" w:type="dxa"/>
            <w:tcBorders>
              <w:top w:val="single" w:sz="2" w:space="0" w:color="auto"/>
              <w:bottom w:val="single" w:sz="2" w:space="0" w:color="auto"/>
            </w:tcBorders>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left"/>
              <w:rPr>
                <w:rFonts w:ascii="Arial Narrow" w:hAnsi="Arial Narrow" w:cs="Arial"/>
                <w:sz w:val="20"/>
                <w:szCs w:val="20"/>
              </w:rPr>
            </w:pPr>
            <w:r w:rsidRPr="00620DDB">
              <w:rPr>
                <w:rFonts w:ascii="Arial Narrow" w:hAnsi="Arial Narrow" w:cs="Arial"/>
                <w:sz w:val="20"/>
                <w:szCs w:val="20"/>
              </w:rPr>
              <w:t>Total envases:</w:t>
            </w:r>
          </w:p>
          <w:p w:rsidR="00C9781F" w:rsidRPr="00620DDB" w:rsidRDefault="00C9781F" w:rsidP="00B53A0A">
            <w:pPr>
              <w:pStyle w:val="texto"/>
              <w:tabs>
                <w:tab w:val="clear" w:pos="2835"/>
                <w:tab w:val="clear" w:pos="3969"/>
                <w:tab w:val="clear" w:pos="5103"/>
                <w:tab w:val="clear" w:pos="6237"/>
                <w:tab w:val="clear" w:pos="7371"/>
              </w:tabs>
              <w:spacing w:after="0"/>
              <w:ind w:left="336" w:firstLine="0"/>
              <w:jc w:val="left"/>
              <w:rPr>
                <w:rFonts w:ascii="Arial Narrow" w:hAnsi="Arial Narrow"/>
                <w:i/>
                <w:sz w:val="20"/>
                <w:szCs w:val="20"/>
              </w:rPr>
            </w:pPr>
            <w:r w:rsidRPr="00620DDB">
              <w:rPr>
                <w:rFonts w:ascii="Arial Narrow" w:hAnsi="Arial Narrow"/>
                <w:i/>
                <w:sz w:val="20"/>
                <w:szCs w:val="20"/>
              </w:rPr>
              <w:t>Envases recetas electrónicas</w:t>
            </w:r>
          </w:p>
          <w:p w:rsidR="00C9781F" w:rsidRPr="00620DDB" w:rsidRDefault="00C9781F" w:rsidP="00B53A0A">
            <w:pPr>
              <w:pStyle w:val="texto"/>
              <w:tabs>
                <w:tab w:val="clear" w:pos="2835"/>
                <w:tab w:val="clear" w:pos="3969"/>
                <w:tab w:val="clear" w:pos="5103"/>
                <w:tab w:val="clear" w:pos="6237"/>
                <w:tab w:val="clear" w:pos="7371"/>
              </w:tabs>
              <w:spacing w:after="0"/>
              <w:ind w:left="336" w:firstLine="0"/>
              <w:jc w:val="left"/>
              <w:rPr>
                <w:rFonts w:ascii="Arial Narrow" w:hAnsi="Arial Narrow"/>
                <w:sz w:val="20"/>
                <w:szCs w:val="20"/>
              </w:rPr>
            </w:pPr>
            <w:r w:rsidRPr="00620DDB">
              <w:rPr>
                <w:rFonts w:ascii="Arial Narrow" w:hAnsi="Arial Narrow"/>
                <w:i/>
                <w:sz w:val="20"/>
                <w:szCs w:val="20"/>
              </w:rPr>
              <w:t>Envases recetas en papel</w:t>
            </w:r>
          </w:p>
        </w:tc>
        <w:tc>
          <w:tcPr>
            <w:tcW w:w="2406" w:type="dxa"/>
            <w:tcBorders>
              <w:top w:val="single" w:sz="2" w:space="0" w:color="auto"/>
              <w:bottom w:val="single" w:sz="2" w:space="0" w:color="auto"/>
            </w:tcBorders>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620DDB">
              <w:rPr>
                <w:rFonts w:ascii="Arial Narrow" w:hAnsi="Arial Narrow"/>
                <w:sz w:val="20"/>
                <w:szCs w:val="20"/>
              </w:rPr>
              <w:t>973.344</w:t>
            </w:r>
          </w:p>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sidRPr="00620DDB">
              <w:rPr>
                <w:rFonts w:ascii="Arial Narrow" w:hAnsi="Arial Narrow"/>
                <w:i/>
                <w:sz w:val="20"/>
                <w:szCs w:val="20"/>
              </w:rPr>
              <w:t>953.812</w:t>
            </w:r>
          </w:p>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620DDB">
              <w:rPr>
                <w:rFonts w:ascii="Arial Narrow" w:hAnsi="Arial Narrow"/>
                <w:i/>
                <w:sz w:val="20"/>
                <w:szCs w:val="20"/>
              </w:rPr>
              <w:t>19.532</w:t>
            </w:r>
          </w:p>
        </w:tc>
        <w:tc>
          <w:tcPr>
            <w:tcW w:w="2596" w:type="dxa"/>
            <w:tcBorders>
              <w:top w:val="single" w:sz="2" w:space="0" w:color="auto"/>
              <w:bottom w:val="single" w:sz="2" w:space="0" w:color="auto"/>
            </w:tcBorders>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620DDB">
              <w:rPr>
                <w:rFonts w:ascii="Arial Narrow" w:hAnsi="Arial Narrow"/>
                <w:sz w:val="20"/>
                <w:szCs w:val="20"/>
              </w:rPr>
              <w:t>978.425</w:t>
            </w:r>
          </w:p>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i/>
                <w:sz w:val="20"/>
                <w:szCs w:val="20"/>
              </w:rPr>
            </w:pPr>
            <w:r w:rsidRPr="00620DDB">
              <w:rPr>
                <w:rFonts w:ascii="Arial Narrow" w:hAnsi="Arial Narrow"/>
                <w:i/>
                <w:sz w:val="20"/>
                <w:szCs w:val="20"/>
              </w:rPr>
              <w:t>959.262</w:t>
            </w:r>
          </w:p>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620DDB">
              <w:rPr>
                <w:rFonts w:ascii="Arial Narrow" w:hAnsi="Arial Narrow"/>
                <w:i/>
                <w:sz w:val="20"/>
                <w:szCs w:val="20"/>
              </w:rPr>
              <w:t>19.163</w:t>
            </w:r>
          </w:p>
        </w:tc>
      </w:tr>
      <w:tr w:rsidR="00C9781F" w:rsidRPr="00620DDB" w:rsidTr="00B53A0A">
        <w:trPr>
          <w:trHeight w:val="198"/>
        </w:trPr>
        <w:tc>
          <w:tcPr>
            <w:tcW w:w="3895" w:type="dxa"/>
            <w:tcBorders>
              <w:top w:val="single" w:sz="2" w:space="0" w:color="auto"/>
            </w:tcBorders>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left"/>
              <w:rPr>
                <w:rFonts w:ascii="Arial Narrow" w:hAnsi="Arial Narrow" w:cs="Arial"/>
                <w:sz w:val="20"/>
                <w:szCs w:val="20"/>
              </w:rPr>
            </w:pPr>
            <w:r w:rsidRPr="00620DDB">
              <w:rPr>
                <w:rFonts w:ascii="Arial Narrow" w:hAnsi="Arial Narrow" w:cs="Arial"/>
                <w:sz w:val="20"/>
                <w:szCs w:val="20"/>
              </w:rPr>
              <w:t>Total registros analizados:</w:t>
            </w:r>
          </w:p>
          <w:p w:rsidR="00C9781F" w:rsidRPr="00620DDB" w:rsidRDefault="00C9781F" w:rsidP="00B53A0A">
            <w:pPr>
              <w:pStyle w:val="texto"/>
              <w:tabs>
                <w:tab w:val="clear" w:pos="2835"/>
                <w:tab w:val="clear" w:pos="3969"/>
                <w:tab w:val="clear" w:pos="5103"/>
                <w:tab w:val="clear" w:pos="6237"/>
                <w:tab w:val="clear" w:pos="7371"/>
              </w:tabs>
              <w:spacing w:after="0"/>
              <w:ind w:left="336" w:firstLine="0"/>
              <w:jc w:val="left"/>
              <w:rPr>
                <w:rFonts w:ascii="Arial Narrow" w:hAnsi="Arial Narrow" w:cs="Arial"/>
                <w:sz w:val="20"/>
                <w:szCs w:val="20"/>
              </w:rPr>
            </w:pPr>
            <w:r w:rsidRPr="00620DDB">
              <w:rPr>
                <w:rFonts w:ascii="Arial Narrow" w:hAnsi="Arial Narrow" w:cs="Arial"/>
                <w:sz w:val="20"/>
                <w:szCs w:val="20"/>
              </w:rPr>
              <w:t>Facturación</w:t>
            </w:r>
          </w:p>
          <w:p w:rsidR="00C9781F" w:rsidRPr="00620DDB" w:rsidRDefault="00445899" w:rsidP="00B53A0A">
            <w:pPr>
              <w:pStyle w:val="texto"/>
              <w:tabs>
                <w:tab w:val="clear" w:pos="2835"/>
                <w:tab w:val="clear" w:pos="3969"/>
                <w:tab w:val="clear" w:pos="5103"/>
                <w:tab w:val="clear" w:pos="6237"/>
                <w:tab w:val="clear" w:pos="7371"/>
              </w:tabs>
              <w:spacing w:after="0"/>
              <w:ind w:left="336" w:firstLine="0"/>
              <w:jc w:val="left"/>
              <w:rPr>
                <w:rFonts w:ascii="Arial Narrow" w:hAnsi="Arial Narrow" w:cs="Arial"/>
                <w:sz w:val="20"/>
                <w:szCs w:val="20"/>
              </w:rPr>
            </w:pPr>
            <w:r>
              <w:rPr>
                <w:rFonts w:ascii="Arial Narrow" w:hAnsi="Arial Narrow" w:cs="Arial"/>
                <w:sz w:val="20"/>
                <w:szCs w:val="20"/>
              </w:rPr>
              <w:t>Nomenclátor</w:t>
            </w:r>
          </w:p>
        </w:tc>
        <w:tc>
          <w:tcPr>
            <w:tcW w:w="2406" w:type="dxa"/>
            <w:tcBorders>
              <w:top w:val="single" w:sz="2" w:space="0" w:color="auto"/>
            </w:tcBorders>
            <w:vAlign w:val="center"/>
          </w:tcPr>
          <w:p w:rsidR="00C9781F" w:rsidRPr="00620DDB" w:rsidRDefault="00C9781F" w:rsidP="00B53A0A">
            <w:pPr>
              <w:pStyle w:val="texto"/>
              <w:tabs>
                <w:tab w:val="clear" w:pos="2835"/>
                <w:tab w:val="clear" w:pos="3969"/>
                <w:tab w:val="clear" w:pos="5103"/>
                <w:tab w:val="clear" w:pos="6237"/>
                <w:tab w:val="clear" w:pos="7371"/>
              </w:tabs>
              <w:spacing w:before="240" w:after="0"/>
              <w:ind w:firstLine="0"/>
              <w:jc w:val="right"/>
              <w:rPr>
                <w:rFonts w:ascii="Arial Narrow" w:hAnsi="Arial Narrow"/>
                <w:sz w:val="20"/>
                <w:szCs w:val="20"/>
              </w:rPr>
            </w:pPr>
            <w:r w:rsidRPr="00620DDB">
              <w:rPr>
                <w:rFonts w:ascii="Arial Narrow" w:hAnsi="Arial Narrow"/>
                <w:sz w:val="20"/>
                <w:szCs w:val="20"/>
              </w:rPr>
              <w:t>972.767</w:t>
            </w:r>
          </w:p>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620DDB">
              <w:rPr>
                <w:rFonts w:ascii="Arial Narrow" w:hAnsi="Arial Narrow"/>
                <w:sz w:val="20"/>
                <w:szCs w:val="20"/>
              </w:rPr>
              <w:t>64.292</w:t>
            </w:r>
          </w:p>
        </w:tc>
        <w:tc>
          <w:tcPr>
            <w:tcW w:w="2596" w:type="dxa"/>
            <w:tcBorders>
              <w:top w:val="single" w:sz="2" w:space="0" w:color="auto"/>
            </w:tcBorders>
            <w:vAlign w:val="center"/>
          </w:tcPr>
          <w:p w:rsidR="00C9781F" w:rsidRPr="00620DDB" w:rsidRDefault="00C9781F" w:rsidP="00B53A0A">
            <w:pPr>
              <w:pStyle w:val="texto"/>
              <w:tabs>
                <w:tab w:val="clear" w:pos="2835"/>
                <w:tab w:val="clear" w:pos="3969"/>
                <w:tab w:val="clear" w:pos="5103"/>
                <w:tab w:val="clear" w:pos="6237"/>
                <w:tab w:val="clear" w:pos="7371"/>
              </w:tabs>
              <w:spacing w:before="240" w:after="0"/>
              <w:ind w:firstLine="0"/>
              <w:jc w:val="right"/>
              <w:rPr>
                <w:rFonts w:ascii="Arial Narrow" w:hAnsi="Arial Narrow"/>
                <w:sz w:val="20"/>
                <w:szCs w:val="20"/>
              </w:rPr>
            </w:pPr>
            <w:r w:rsidRPr="00620DDB">
              <w:rPr>
                <w:rFonts w:ascii="Arial Narrow" w:hAnsi="Arial Narrow"/>
                <w:sz w:val="20"/>
                <w:szCs w:val="20"/>
              </w:rPr>
              <w:t>978.319</w:t>
            </w:r>
          </w:p>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620DDB">
              <w:rPr>
                <w:rFonts w:ascii="Arial Narrow" w:hAnsi="Arial Narrow"/>
                <w:sz w:val="20"/>
                <w:szCs w:val="20"/>
              </w:rPr>
              <w:t>66.176</w:t>
            </w:r>
          </w:p>
        </w:tc>
      </w:tr>
    </w:tbl>
    <w:p w:rsidR="00C9781F" w:rsidRPr="00A46740" w:rsidRDefault="00C9781F" w:rsidP="00C9781F">
      <w:pPr>
        <w:pStyle w:val="texto"/>
        <w:tabs>
          <w:tab w:val="clear" w:pos="2835"/>
          <w:tab w:val="clear" w:pos="3969"/>
          <w:tab w:val="clear" w:pos="5103"/>
          <w:tab w:val="clear" w:pos="6237"/>
          <w:tab w:val="clear" w:pos="7371"/>
        </w:tabs>
        <w:spacing w:before="240" w:after="240"/>
        <w:rPr>
          <w:szCs w:val="26"/>
        </w:rPr>
      </w:pPr>
      <w:r>
        <w:rPr>
          <w:szCs w:val="26"/>
        </w:rPr>
        <w:t>Los resultados de la revisión de los controles y de la realización de las pru</w:t>
      </w:r>
      <w:r>
        <w:rPr>
          <w:szCs w:val="26"/>
        </w:rPr>
        <w:t>e</w:t>
      </w:r>
      <w:r>
        <w:rPr>
          <w:szCs w:val="26"/>
        </w:rPr>
        <w:t>bas sustantivas son los siguientes</w:t>
      </w:r>
      <w:r w:rsidRPr="00A46740">
        <w:rPr>
          <w:szCs w:val="26"/>
        </w:rPr>
        <w:t>:</w:t>
      </w:r>
    </w:p>
    <w:tbl>
      <w:tblPr>
        <w:tblStyle w:val="Tablaconcuadrcula"/>
        <w:tblW w:w="10673"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997"/>
        <w:gridCol w:w="834"/>
        <w:gridCol w:w="1569"/>
        <w:gridCol w:w="902"/>
        <w:gridCol w:w="604"/>
        <w:gridCol w:w="1148"/>
        <w:gridCol w:w="1816"/>
        <w:gridCol w:w="1201"/>
        <w:gridCol w:w="602"/>
      </w:tblGrid>
      <w:tr w:rsidR="00C9781F" w:rsidRPr="00620DDB" w:rsidTr="00B53A0A">
        <w:trPr>
          <w:trHeight w:val="198"/>
          <w:jc w:val="center"/>
        </w:trPr>
        <w:tc>
          <w:tcPr>
            <w:tcW w:w="1997" w:type="dxa"/>
            <w:tcBorders>
              <w:bottom w:val="nil"/>
            </w:tcBorders>
            <w:shd w:val="clear" w:color="auto" w:fill="B8CCE4" w:themeFill="accent1" w:themeFillTint="66"/>
            <w:vAlign w:val="center"/>
          </w:tcPr>
          <w:p w:rsidR="00C9781F" w:rsidRPr="00620DDB" w:rsidRDefault="00C9781F" w:rsidP="00B53A0A">
            <w:pPr>
              <w:pStyle w:val="texto"/>
              <w:tabs>
                <w:tab w:val="clear" w:pos="2835"/>
                <w:tab w:val="clear" w:pos="3969"/>
                <w:tab w:val="clear" w:pos="5103"/>
                <w:tab w:val="clear" w:pos="6237"/>
                <w:tab w:val="clear" w:pos="7371"/>
              </w:tabs>
              <w:spacing w:after="0"/>
              <w:ind w:left="-118" w:right="-89" w:firstLine="0"/>
              <w:rPr>
                <w:rFonts w:ascii="Arial" w:hAnsi="Arial" w:cs="Arial"/>
                <w:sz w:val="16"/>
                <w:szCs w:val="16"/>
              </w:rPr>
            </w:pPr>
          </w:p>
        </w:tc>
        <w:tc>
          <w:tcPr>
            <w:tcW w:w="3909" w:type="dxa"/>
            <w:gridSpan w:val="4"/>
            <w:tcBorders>
              <w:bottom w:val="single" w:sz="2" w:space="0" w:color="auto"/>
              <w:right w:val="single" w:sz="2" w:space="0" w:color="auto"/>
            </w:tcBorders>
            <w:shd w:val="clear" w:color="auto" w:fill="B8CCE4" w:themeFill="accent1" w:themeFillTint="66"/>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center"/>
              <w:rPr>
                <w:rFonts w:ascii="Arial" w:hAnsi="Arial" w:cs="Arial"/>
                <w:sz w:val="16"/>
                <w:szCs w:val="16"/>
              </w:rPr>
            </w:pPr>
            <w:r w:rsidRPr="00620DDB">
              <w:rPr>
                <w:rFonts w:ascii="Arial" w:hAnsi="Arial" w:cs="Arial"/>
                <w:sz w:val="16"/>
                <w:szCs w:val="16"/>
              </w:rPr>
              <w:t>Controles revisados</w:t>
            </w:r>
          </w:p>
        </w:tc>
        <w:tc>
          <w:tcPr>
            <w:tcW w:w="4767" w:type="dxa"/>
            <w:gridSpan w:val="4"/>
            <w:tcBorders>
              <w:left w:val="single" w:sz="2" w:space="0" w:color="auto"/>
              <w:bottom w:val="single" w:sz="2" w:space="0" w:color="auto"/>
            </w:tcBorders>
            <w:shd w:val="clear" w:color="auto" w:fill="B8CCE4" w:themeFill="accent1" w:themeFillTint="66"/>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center"/>
              <w:rPr>
                <w:rFonts w:ascii="Arial" w:hAnsi="Arial" w:cs="Arial"/>
                <w:sz w:val="16"/>
                <w:szCs w:val="16"/>
              </w:rPr>
            </w:pPr>
            <w:r w:rsidRPr="00620DDB">
              <w:rPr>
                <w:rFonts w:ascii="Arial" w:hAnsi="Arial" w:cs="Arial"/>
                <w:sz w:val="16"/>
                <w:szCs w:val="16"/>
              </w:rPr>
              <w:t>Pruebas sustantivas realizadas</w:t>
            </w:r>
          </w:p>
        </w:tc>
      </w:tr>
      <w:tr w:rsidR="00C9781F" w:rsidRPr="00620DDB" w:rsidTr="00B53A0A">
        <w:trPr>
          <w:trHeight w:val="198"/>
          <w:jc w:val="center"/>
        </w:trPr>
        <w:tc>
          <w:tcPr>
            <w:tcW w:w="1997" w:type="dxa"/>
            <w:tcBorders>
              <w:top w:val="nil"/>
              <w:bottom w:val="single" w:sz="4" w:space="0" w:color="auto"/>
            </w:tcBorders>
            <w:shd w:val="clear" w:color="auto" w:fill="B8CCE4" w:themeFill="accent1" w:themeFillTint="66"/>
            <w:vAlign w:val="center"/>
          </w:tcPr>
          <w:p w:rsidR="00C9781F" w:rsidRPr="00620DDB" w:rsidRDefault="00C9781F" w:rsidP="00B53A0A">
            <w:pPr>
              <w:pStyle w:val="texto"/>
              <w:tabs>
                <w:tab w:val="clear" w:pos="2835"/>
                <w:tab w:val="clear" w:pos="3969"/>
                <w:tab w:val="clear" w:pos="5103"/>
                <w:tab w:val="clear" w:pos="6237"/>
                <w:tab w:val="clear" w:pos="7371"/>
              </w:tabs>
              <w:spacing w:after="0"/>
              <w:ind w:left="-118" w:right="-89" w:firstLine="0"/>
              <w:rPr>
                <w:rFonts w:ascii="Arial" w:hAnsi="Arial" w:cs="Arial"/>
                <w:sz w:val="16"/>
                <w:szCs w:val="16"/>
              </w:rPr>
            </w:pPr>
          </w:p>
        </w:tc>
        <w:tc>
          <w:tcPr>
            <w:tcW w:w="834" w:type="dxa"/>
            <w:tcBorders>
              <w:top w:val="single" w:sz="2" w:space="0" w:color="auto"/>
              <w:bottom w:val="single" w:sz="4" w:space="0" w:color="auto"/>
            </w:tcBorders>
            <w:shd w:val="clear" w:color="auto" w:fill="B8CCE4" w:themeFill="accent1" w:themeFillTint="66"/>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6"/>
                <w:szCs w:val="16"/>
              </w:rPr>
            </w:pPr>
            <w:r w:rsidRPr="00620DDB">
              <w:rPr>
                <w:rFonts w:ascii="Arial" w:hAnsi="Arial" w:cs="Arial"/>
                <w:sz w:val="16"/>
                <w:szCs w:val="16"/>
              </w:rPr>
              <w:t>Efectivo</w:t>
            </w:r>
          </w:p>
        </w:tc>
        <w:tc>
          <w:tcPr>
            <w:tcW w:w="1569" w:type="dxa"/>
            <w:tcBorders>
              <w:top w:val="single" w:sz="2" w:space="0" w:color="auto"/>
              <w:bottom w:val="single" w:sz="4" w:space="0" w:color="auto"/>
            </w:tcBorders>
            <w:shd w:val="clear" w:color="auto" w:fill="B8CCE4" w:themeFill="accent1" w:themeFillTint="66"/>
            <w:vAlign w:val="center"/>
          </w:tcPr>
          <w:p w:rsidR="00C9781F"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6"/>
                <w:szCs w:val="16"/>
              </w:rPr>
            </w:pPr>
            <w:r w:rsidRPr="00620DDB">
              <w:rPr>
                <w:rFonts w:ascii="Arial" w:hAnsi="Arial" w:cs="Arial"/>
                <w:sz w:val="16"/>
                <w:szCs w:val="16"/>
              </w:rPr>
              <w:t xml:space="preserve">Efectivo con </w:t>
            </w:r>
          </w:p>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6"/>
                <w:szCs w:val="16"/>
              </w:rPr>
            </w:pPr>
            <w:r w:rsidRPr="00620DDB">
              <w:rPr>
                <w:rFonts w:ascii="Arial" w:hAnsi="Arial" w:cs="Arial"/>
                <w:sz w:val="16"/>
                <w:szCs w:val="16"/>
              </w:rPr>
              <w:t>recomendaciones</w:t>
            </w:r>
          </w:p>
        </w:tc>
        <w:tc>
          <w:tcPr>
            <w:tcW w:w="902" w:type="dxa"/>
            <w:tcBorders>
              <w:top w:val="single" w:sz="2" w:space="0" w:color="auto"/>
              <w:bottom w:val="single" w:sz="4" w:space="0" w:color="auto"/>
            </w:tcBorders>
            <w:shd w:val="clear" w:color="auto" w:fill="B8CCE4" w:themeFill="accent1" w:themeFillTint="66"/>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6"/>
                <w:szCs w:val="16"/>
              </w:rPr>
            </w:pPr>
            <w:r w:rsidRPr="00620DDB">
              <w:rPr>
                <w:rFonts w:ascii="Arial" w:hAnsi="Arial" w:cs="Arial"/>
                <w:sz w:val="16"/>
                <w:szCs w:val="16"/>
              </w:rPr>
              <w:t>No</w:t>
            </w:r>
          </w:p>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6"/>
                <w:szCs w:val="16"/>
              </w:rPr>
            </w:pPr>
            <w:r w:rsidRPr="00620DDB">
              <w:rPr>
                <w:rFonts w:ascii="Arial" w:hAnsi="Arial" w:cs="Arial"/>
                <w:sz w:val="16"/>
                <w:szCs w:val="16"/>
              </w:rPr>
              <w:t>efectivos</w:t>
            </w:r>
          </w:p>
        </w:tc>
        <w:tc>
          <w:tcPr>
            <w:tcW w:w="604" w:type="dxa"/>
            <w:tcBorders>
              <w:top w:val="single" w:sz="2" w:space="0" w:color="auto"/>
              <w:bottom w:val="single" w:sz="4" w:space="0" w:color="auto"/>
              <w:right w:val="single" w:sz="2" w:space="0" w:color="auto"/>
            </w:tcBorders>
            <w:shd w:val="clear" w:color="auto" w:fill="B8CCE4" w:themeFill="accent1" w:themeFillTint="66"/>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6"/>
                <w:szCs w:val="16"/>
              </w:rPr>
            </w:pPr>
            <w:r w:rsidRPr="00620DDB">
              <w:rPr>
                <w:rFonts w:ascii="Arial" w:hAnsi="Arial" w:cs="Arial"/>
                <w:sz w:val="16"/>
                <w:szCs w:val="16"/>
              </w:rPr>
              <w:t>Total</w:t>
            </w:r>
          </w:p>
        </w:tc>
        <w:tc>
          <w:tcPr>
            <w:tcW w:w="1148" w:type="dxa"/>
            <w:tcBorders>
              <w:top w:val="single" w:sz="2" w:space="0" w:color="auto"/>
              <w:left w:val="single" w:sz="2" w:space="0" w:color="auto"/>
              <w:bottom w:val="single" w:sz="4" w:space="0" w:color="auto"/>
            </w:tcBorders>
            <w:shd w:val="clear" w:color="auto" w:fill="B8CCE4" w:themeFill="accent1" w:themeFillTint="66"/>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6"/>
                <w:szCs w:val="16"/>
              </w:rPr>
            </w:pPr>
            <w:r w:rsidRPr="00620DDB">
              <w:rPr>
                <w:rFonts w:ascii="Arial" w:hAnsi="Arial" w:cs="Arial"/>
                <w:sz w:val="16"/>
                <w:szCs w:val="16"/>
              </w:rPr>
              <w:t>Resultado satisfactorio</w:t>
            </w:r>
          </w:p>
        </w:tc>
        <w:tc>
          <w:tcPr>
            <w:tcW w:w="1816" w:type="dxa"/>
            <w:tcBorders>
              <w:top w:val="single" w:sz="2" w:space="0" w:color="auto"/>
              <w:bottom w:val="single" w:sz="4" w:space="0" w:color="auto"/>
            </w:tcBorders>
            <w:shd w:val="clear" w:color="auto" w:fill="B8CCE4" w:themeFill="accent1" w:themeFillTint="66"/>
            <w:vAlign w:val="center"/>
          </w:tcPr>
          <w:p w:rsidR="00C9781F" w:rsidRDefault="00C9781F" w:rsidP="00B53A0A">
            <w:pPr>
              <w:pStyle w:val="texto"/>
              <w:tabs>
                <w:tab w:val="clear" w:pos="2835"/>
                <w:tab w:val="clear" w:pos="3969"/>
                <w:tab w:val="clear" w:pos="5103"/>
                <w:tab w:val="clear" w:pos="6237"/>
                <w:tab w:val="clear" w:pos="7371"/>
              </w:tabs>
              <w:spacing w:after="0"/>
              <w:ind w:left="-85" w:right="-91" w:firstLine="0"/>
              <w:jc w:val="right"/>
              <w:rPr>
                <w:rFonts w:ascii="Arial" w:hAnsi="Arial" w:cs="Arial"/>
                <w:sz w:val="16"/>
                <w:szCs w:val="16"/>
              </w:rPr>
            </w:pPr>
            <w:r w:rsidRPr="00620DDB">
              <w:rPr>
                <w:rFonts w:ascii="Arial" w:hAnsi="Arial" w:cs="Arial"/>
                <w:sz w:val="16"/>
                <w:szCs w:val="16"/>
              </w:rPr>
              <w:t xml:space="preserve">Resultado satisfactorio </w:t>
            </w:r>
          </w:p>
          <w:p w:rsidR="00C9781F" w:rsidRPr="00620DDB" w:rsidRDefault="00C9781F" w:rsidP="00B53A0A">
            <w:pPr>
              <w:pStyle w:val="texto"/>
              <w:tabs>
                <w:tab w:val="clear" w:pos="2835"/>
                <w:tab w:val="clear" w:pos="3969"/>
                <w:tab w:val="clear" w:pos="5103"/>
                <w:tab w:val="clear" w:pos="6237"/>
                <w:tab w:val="clear" w:pos="7371"/>
              </w:tabs>
              <w:spacing w:after="0"/>
              <w:ind w:left="-85" w:right="-91" w:firstLine="0"/>
              <w:jc w:val="right"/>
              <w:rPr>
                <w:rFonts w:ascii="Arial" w:hAnsi="Arial" w:cs="Arial"/>
                <w:sz w:val="16"/>
                <w:szCs w:val="16"/>
              </w:rPr>
            </w:pPr>
            <w:r w:rsidRPr="00620DDB">
              <w:rPr>
                <w:rFonts w:ascii="Arial" w:hAnsi="Arial" w:cs="Arial"/>
                <w:sz w:val="16"/>
                <w:szCs w:val="16"/>
              </w:rPr>
              <w:t>con recomendaciones</w:t>
            </w:r>
          </w:p>
        </w:tc>
        <w:tc>
          <w:tcPr>
            <w:tcW w:w="1201" w:type="dxa"/>
            <w:tcBorders>
              <w:top w:val="single" w:sz="2" w:space="0" w:color="auto"/>
              <w:bottom w:val="single" w:sz="4" w:space="0" w:color="auto"/>
            </w:tcBorders>
            <w:shd w:val="clear" w:color="auto" w:fill="B8CCE4" w:themeFill="accent1" w:themeFillTint="66"/>
            <w:vAlign w:val="center"/>
          </w:tcPr>
          <w:p w:rsidR="00C9781F" w:rsidRDefault="00C9781F" w:rsidP="00B53A0A">
            <w:pPr>
              <w:pStyle w:val="texto"/>
              <w:tabs>
                <w:tab w:val="clear" w:pos="2835"/>
                <w:tab w:val="clear" w:pos="3969"/>
                <w:tab w:val="clear" w:pos="5103"/>
                <w:tab w:val="clear" w:pos="6237"/>
                <w:tab w:val="clear" w:pos="7371"/>
              </w:tabs>
              <w:spacing w:after="0"/>
              <w:ind w:left="-43" w:right="-78" w:firstLine="0"/>
              <w:jc w:val="right"/>
              <w:rPr>
                <w:rFonts w:ascii="Arial" w:hAnsi="Arial" w:cs="Arial"/>
                <w:sz w:val="16"/>
                <w:szCs w:val="16"/>
              </w:rPr>
            </w:pPr>
            <w:r w:rsidRPr="00620DDB">
              <w:rPr>
                <w:rFonts w:ascii="Arial" w:hAnsi="Arial" w:cs="Arial"/>
                <w:sz w:val="16"/>
                <w:szCs w:val="16"/>
              </w:rPr>
              <w:t>Resultado</w:t>
            </w:r>
            <w:r>
              <w:rPr>
                <w:rFonts w:ascii="Arial" w:hAnsi="Arial" w:cs="Arial"/>
                <w:sz w:val="16"/>
                <w:szCs w:val="16"/>
              </w:rPr>
              <w:t xml:space="preserve"> </w:t>
            </w:r>
            <w:r w:rsidRPr="00620DDB">
              <w:rPr>
                <w:rFonts w:ascii="Arial" w:hAnsi="Arial" w:cs="Arial"/>
                <w:sz w:val="16"/>
                <w:szCs w:val="16"/>
              </w:rPr>
              <w:t xml:space="preserve">no </w:t>
            </w:r>
          </w:p>
          <w:p w:rsidR="00C9781F" w:rsidRPr="00620DDB" w:rsidRDefault="00C9781F" w:rsidP="00B53A0A">
            <w:pPr>
              <w:pStyle w:val="texto"/>
              <w:tabs>
                <w:tab w:val="clear" w:pos="2835"/>
                <w:tab w:val="clear" w:pos="3969"/>
                <w:tab w:val="clear" w:pos="5103"/>
                <w:tab w:val="clear" w:pos="6237"/>
                <w:tab w:val="clear" w:pos="7371"/>
              </w:tabs>
              <w:spacing w:after="0"/>
              <w:ind w:left="-43" w:right="-78" w:firstLine="0"/>
              <w:jc w:val="right"/>
              <w:rPr>
                <w:rFonts w:ascii="Arial" w:hAnsi="Arial" w:cs="Arial"/>
                <w:sz w:val="16"/>
                <w:szCs w:val="16"/>
              </w:rPr>
            </w:pPr>
            <w:r w:rsidRPr="00620DDB">
              <w:rPr>
                <w:rFonts w:ascii="Arial" w:hAnsi="Arial" w:cs="Arial"/>
                <w:sz w:val="16"/>
                <w:szCs w:val="16"/>
              </w:rPr>
              <w:t>satisfactorio</w:t>
            </w:r>
          </w:p>
        </w:tc>
        <w:tc>
          <w:tcPr>
            <w:tcW w:w="602" w:type="dxa"/>
            <w:tcBorders>
              <w:top w:val="single" w:sz="2" w:space="0" w:color="auto"/>
              <w:bottom w:val="single" w:sz="4" w:space="0" w:color="auto"/>
            </w:tcBorders>
            <w:shd w:val="clear" w:color="auto" w:fill="B8CCE4" w:themeFill="accent1" w:themeFillTint="66"/>
            <w:vAlign w:val="center"/>
          </w:tcPr>
          <w:p w:rsidR="00C9781F" w:rsidRPr="00620DDB"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6"/>
                <w:szCs w:val="16"/>
              </w:rPr>
            </w:pPr>
            <w:r w:rsidRPr="00620DDB">
              <w:rPr>
                <w:rFonts w:ascii="Arial" w:hAnsi="Arial" w:cs="Arial"/>
                <w:sz w:val="16"/>
                <w:szCs w:val="16"/>
              </w:rPr>
              <w:t>Total</w:t>
            </w:r>
          </w:p>
        </w:tc>
      </w:tr>
      <w:tr w:rsidR="00C9781F" w:rsidRPr="00957D2A" w:rsidTr="00B53A0A">
        <w:trPr>
          <w:trHeight w:val="227"/>
          <w:jc w:val="center"/>
        </w:trPr>
        <w:tc>
          <w:tcPr>
            <w:tcW w:w="1997" w:type="dxa"/>
            <w:tcBorders>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left="-118" w:right="-89" w:firstLine="0"/>
              <w:jc w:val="left"/>
              <w:rPr>
                <w:rFonts w:ascii="Arial Narrow" w:hAnsi="Arial Narrow"/>
                <w:sz w:val="18"/>
                <w:szCs w:val="18"/>
              </w:rPr>
            </w:pPr>
            <w:r w:rsidRPr="00957D2A">
              <w:rPr>
                <w:rFonts w:ascii="Arial Narrow" w:hAnsi="Arial Narrow"/>
                <w:sz w:val="18"/>
                <w:szCs w:val="18"/>
              </w:rPr>
              <w:t>LAMIA, ATENEA y HCI</w:t>
            </w:r>
          </w:p>
        </w:tc>
        <w:tc>
          <w:tcPr>
            <w:tcW w:w="834" w:type="dxa"/>
            <w:tcBorders>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2</w:t>
            </w:r>
          </w:p>
        </w:tc>
        <w:tc>
          <w:tcPr>
            <w:tcW w:w="1569" w:type="dxa"/>
            <w:tcBorders>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5</w:t>
            </w:r>
          </w:p>
        </w:tc>
        <w:tc>
          <w:tcPr>
            <w:tcW w:w="902" w:type="dxa"/>
            <w:tcBorders>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5</w:t>
            </w:r>
          </w:p>
        </w:tc>
        <w:tc>
          <w:tcPr>
            <w:tcW w:w="604" w:type="dxa"/>
            <w:tcBorders>
              <w:bottom w:val="single" w:sz="2" w:space="0" w:color="auto"/>
              <w:right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12</w:t>
            </w:r>
          </w:p>
        </w:tc>
        <w:tc>
          <w:tcPr>
            <w:tcW w:w="1148" w:type="dxa"/>
            <w:tcBorders>
              <w:left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w:t>
            </w:r>
          </w:p>
        </w:tc>
        <w:tc>
          <w:tcPr>
            <w:tcW w:w="1816" w:type="dxa"/>
            <w:tcBorders>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left="-85" w:right="-91" w:firstLine="0"/>
              <w:jc w:val="right"/>
              <w:rPr>
                <w:rFonts w:ascii="Arial Narrow" w:hAnsi="Arial Narrow"/>
                <w:sz w:val="18"/>
                <w:szCs w:val="18"/>
              </w:rPr>
            </w:pPr>
            <w:r w:rsidRPr="00957D2A">
              <w:rPr>
                <w:rFonts w:ascii="Arial Narrow" w:hAnsi="Arial Narrow"/>
                <w:sz w:val="18"/>
                <w:szCs w:val="18"/>
              </w:rPr>
              <w:t>-</w:t>
            </w:r>
          </w:p>
        </w:tc>
        <w:tc>
          <w:tcPr>
            <w:tcW w:w="1201" w:type="dxa"/>
            <w:tcBorders>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right="-78" w:firstLine="0"/>
              <w:jc w:val="right"/>
              <w:rPr>
                <w:rFonts w:ascii="Arial Narrow" w:hAnsi="Arial Narrow"/>
                <w:sz w:val="18"/>
                <w:szCs w:val="18"/>
              </w:rPr>
            </w:pPr>
            <w:r w:rsidRPr="00957D2A">
              <w:rPr>
                <w:rFonts w:ascii="Arial Narrow" w:hAnsi="Arial Narrow"/>
                <w:sz w:val="18"/>
                <w:szCs w:val="18"/>
              </w:rPr>
              <w:t>-</w:t>
            </w:r>
          </w:p>
        </w:tc>
        <w:tc>
          <w:tcPr>
            <w:tcW w:w="602" w:type="dxa"/>
            <w:tcBorders>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w:t>
            </w:r>
          </w:p>
        </w:tc>
      </w:tr>
      <w:tr w:rsidR="00C9781F" w:rsidRPr="00957D2A" w:rsidTr="00B53A0A">
        <w:trPr>
          <w:trHeight w:val="227"/>
          <w:jc w:val="center"/>
        </w:trPr>
        <w:tc>
          <w:tcPr>
            <w:tcW w:w="1997"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left="-118" w:right="-89" w:firstLine="0"/>
              <w:jc w:val="left"/>
              <w:rPr>
                <w:rFonts w:ascii="Arial Narrow" w:hAnsi="Arial Narrow"/>
                <w:sz w:val="18"/>
                <w:szCs w:val="18"/>
              </w:rPr>
            </w:pPr>
            <w:r w:rsidRPr="00957D2A">
              <w:rPr>
                <w:rFonts w:ascii="Arial Narrow" w:hAnsi="Arial Narrow"/>
                <w:sz w:val="18"/>
                <w:szCs w:val="18"/>
              </w:rPr>
              <w:t xml:space="preserve">Carga datos </w:t>
            </w:r>
            <w:r w:rsidR="00445899">
              <w:rPr>
                <w:rFonts w:ascii="Arial Narrow" w:hAnsi="Arial Narrow"/>
                <w:sz w:val="18"/>
                <w:szCs w:val="18"/>
              </w:rPr>
              <w:t>Nomenclátor</w:t>
            </w:r>
          </w:p>
        </w:tc>
        <w:tc>
          <w:tcPr>
            <w:tcW w:w="834"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2</w:t>
            </w:r>
          </w:p>
        </w:tc>
        <w:tc>
          <w:tcPr>
            <w:tcW w:w="1569"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w:t>
            </w:r>
          </w:p>
        </w:tc>
        <w:tc>
          <w:tcPr>
            <w:tcW w:w="902"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p>
        </w:tc>
        <w:tc>
          <w:tcPr>
            <w:tcW w:w="604" w:type="dxa"/>
            <w:tcBorders>
              <w:top w:val="single" w:sz="2" w:space="0" w:color="auto"/>
              <w:bottom w:val="single" w:sz="2" w:space="0" w:color="auto"/>
              <w:right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2</w:t>
            </w:r>
          </w:p>
        </w:tc>
        <w:tc>
          <w:tcPr>
            <w:tcW w:w="1148" w:type="dxa"/>
            <w:tcBorders>
              <w:top w:val="single" w:sz="2" w:space="0" w:color="auto"/>
              <w:left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1</w:t>
            </w:r>
          </w:p>
        </w:tc>
        <w:tc>
          <w:tcPr>
            <w:tcW w:w="1816"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left="-85" w:right="-91" w:firstLine="0"/>
              <w:jc w:val="right"/>
              <w:rPr>
                <w:rFonts w:ascii="Arial Narrow" w:hAnsi="Arial Narrow"/>
                <w:sz w:val="18"/>
                <w:szCs w:val="18"/>
              </w:rPr>
            </w:pPr>
            <w:r w:rsidRPr="00957D2A">
              <w:rPr>
                <w:rFonts w:ascii="Arial Narrow" w:hAnsi="Arial Narrow"/>
                <w:sz w:val="18"/>
                <w:szCs w:val="18"/>
              </w:rPr>
              <w:t>1</w:t>
            </w:r>
          </w:p>
        </w:tc>
        <w:tc>
          <w:tcPr>
            <w:tcW w:w="1201"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right="-78" w:firstLine="0"/>
              <w:jc w:val="right"/>
              <w:rPr>
                <w:rFonts w:ascii="Arial Narrow" w:hAnsi="Arial Narrow"/>
                <w:sz w:val="18"/>
                <w:szCs w:val="18"/>
              </w:rPr>
            </w:pPr>
            <w:r w:rsidRPr="00957D2A">
              <w:rPr>
                <w:rFonts w:ascii="Arial Narrow" w:hAnsi="Arial Narrow"/>
                <w:sz w:val="18"/>
                <w:szCs w:val="18"/>
              </w:rPr>
              <w:t>-</w:t>
            </w:r>
          </w:p>
        </w:tc>
        <w:tc>
          <w:tcPr>
            <w:tcW w:w="602"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2</w:t>
            </w:r>
          </w:p>
        </w:tc>
      </w:tr>
      <w:tr w:rsidR="00C9781F" w:rsidRPr="00957D2A" w:rsidTr="00B53A0A">
        <w:trPr>
          <w:trHeight w:val="227"/>
          <w:jc w:val="center"/>
        </w:trPr>
        <w:tc>
          <w:tcPr>
            <w:tcW w:w="1997"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left="-118" w:right="-89" w:firstLine="0"/>
              <w:jc w:val="left"/>
              <w:rPr>
                <w:rFonts w:ascii="Arial Narrow" w:hAnsi="Arial Narrow"/>
                <w:sz w:val="18"/>
                <w:szCs w:val="18"/>
              </w:rPr>
            </w:pPr>
            <w:r w:rsidRPr="00957D2A">
              <w:rPr>
                <w:rFonts w:ascii="Arial Narrow" w:hAnsi="Arial Narrow"/>
                <w:sz w:val="18"/>
                <w:szCs w:val="18"/>
              </w:rPr>
              <w:t>Carga aportación pacientes</w:t>
            </w:r>
          </w:p>
        </w:tc>
        <w:tc>
          <w:tcPr>
            <w:tcW w:w="834"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w:t>
            </w:r>
          </w:p>
        </w:tc>
        <w:tc>
          <w:tcPr>
            <w:tcW w:w="1569"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w:t>
            </w:r>
          </w:p>
        </w:tc>
        <w:tc>
          <w:tcPr>
            <w:tcW w:w="902"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w:t>
            </w:r>
          </w:p>
        </w:tc>
        <w:tc>
          <w:tcPr>
            <w:tcW w:w="604" w:type="dxa"/>
            <w:tcBorders>
              <w:top w:val="single" w:sz="2" w:space="0" w:color="auto"/>
              <w:bottom w:val="single" w:sz="2" w:space="0" w:color="auto"/>
              <w:right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w:t>
            </w:r>
          </w:p>
        </w:tc>
        <w:tc>
          <w:tcPr>
            <w:tcW w:w="1148" w:type="dxa"/>
            <w:tcBorders>
              <w:top w:val="single" w:sz="2" w:space="0" w:color="auto"/>
              <w:left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4</w:t>
            </w:r>
          </w:p>
        </w:tc>
        <w:tc>
          <w:tcPr>
            <w:tcW w:w="1816"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left="-85" w:right="-91" w:firstLine="0"/>
              <w:jc w:val="right"/>
              <w:rPr>
                <w:rFonts w:ascii="Arial Narrow" w:hAnsi="Arial Narrow"/>
                <w:sz w:val="18"/>
                <w:szCs w:val="18"/>
              </w:rPr>
            </w:pPr>
            <w:r w:rsidRPr="00957D2A">
              <w:rPr>
                <w:rFonts w:ascii="Arial Narrow" w:hAnsi="Arial Narrow"/>
                <w:sz w:val="18"/>
                <w:szCs w:val="18"/>
              </w:rPr>
              <w:t>-</w:t>
            </w:r>
          </w:p>
        </w:tc>
        <w:tc>
          <w:tcPr>
            <w:tcW w:w="1201"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right="-78" w:firstLine="0"/>
              <w:jc w:val="right"/>
              <w:rPr>
                <w:rFonts w:ascii="Arial Narrow" w:hAnsi="Arial Narrow"/>
                <w:sz w:val="18"/>
                <w:szCs w:val="18"/>
              </w:rPr>
            </w:pPr>
            <w:r w:rsidRPr="00957D2A">
              <w:rPr>
                <w:rFonts w:ascii="Arial Narrow" w:hAnsi="Arial Narrow"/>
                <w:sz w:val="18"/>
                <w:szCs w:val="18"/>
              </w:rPr>
              <w:t>1</w:t>
            </w:r>
          </w:p>
        </w:tc>
        <w:tc>
          <w:tcPr>
            <w:tcW w:w="602"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5</w:t>
            </w:r>
          </w:p>
        </w:tc>
      </w:tr>
      <w:tr w:rsidR="00C9781F" w:rsidRPr="00957D2A" w:rsidTr="00B53A0A">
        <w:trPr>
          <w:trHeight w:val="227"/>
          <w:jc w:val="center"/>
        </w:trPr>
        <w:tc>
          <w:tcPr>
            <w:tcW w:w="1997"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left="-118" w:right="-89" w:firstLine="0"/>
              <w:jc w:val="left"/>
              <w:rPr>
                <w:rFonts w:ascii="Arial Narrow" w:hAnsi="Arial Narrow"/>
                <w:sz w:val="18"/>
                <w:szCs w:val="18"/>
              </w:rPr>
            </w:pPr>
            <w:r w:rsidRPr="00957D2A">
              <w:rPr>
                <w:rFonts w:ascii="Arial Narrow" w:hAnsi="Arial Narrow"/>
                <w:sz w:val="18"/>
                <w:szCs w:val="18"/>
              </w:rPr>
              <w:t>Prescripción</w:t>
            </w:r>
          </w:p>
        </w:tc>
        <w:tc>
          <w:tcPr>
            <w:tcW w:w="834"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7</w:t>
            </w:r>
          </w:p>
        </w:tc>
        <w:tc>
          <w:tcPr>
            <w:tcW w:w="1569"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w:t>
            </w:r>
          </w:p>
        </w:tc>
        <w:tc>
          <w:tcPr>
            <w:tcW w:w="902"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6</w:t>
            </w:r>
          </w:p>
        </w:tc>
        <w:tc>
          <w:tcPr>
            <w:tcW w:w="604" w:type="dxa"/>
            <w:tcBorders>
              <w:top w:val="single" w:sz="2" w:space="0" w:color="auto"/>
              <w:bottom w:val="single" w:sz="2" w:space="0" w:color="auto"/>
              <w:right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13</w:t>
            </w:r>
          </w:p>
        </w:tc>
        <w:tc>
          <w:tcPr>
            <w:tcW w:w="1148" w:type="dxa"/>
            <w:tcBorders>
              <w:top w:val="single" w:sz="2" w:space="0" w:color="auto"/>
              <w:left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w:t>
            </w:r>
          </w:p>
        </w:tc>
        <w:tc>
          <w:tcPr>
            <w:tcW w:w="1816"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left="-85" w:right="-91" w:firstLine="0"/>
              <w:jc w:val="right"/>
              <w:rPr>
                <w:rFonts w:ascii="Arial Narrow" w:hAnsi="Arial Narrow"/>
                <w:sz w:val="18"/>
                <w:szCs w:val="18"/>
              </w:rPr>
            </w:pPr>
            <w:r w:rsidRPr="00957D2A">
              <w:rPr>
                <w:rFonts w:ascii="Arial Narrow" w:hAnsi="Arial Narrow"/>
                <w:sz w:val="18"/>
                <w:szCs w:val="18"/>
              </w:rPr>
              <w:t>1</w:t>
            </w:r>
          </w:p>
        </w:tc>
        <w:tc>
          <w:tcPr>
            <w:tcW w:w="1201"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right="-78" w:firstLine="0"/>
              <w:jc w:val="right"/>
              <w:rPr>
                <w:rFonts w:ascii="Arial Narrow" w:hAnsi="Arial Narrow"/>
                <w:sz w:val="18"/>
                <w:szCs w:val="18"/>
              </w:rPr>
            </w:pPr>
            <w:r w:rsidRPr="00957D2A">
              <w:rPr>
                <w:rFonts w:ascii="Arial Narrow" w:hAnsi="Arial Narrow"/>
                <w:sz w:val="18"/>
                <w:szCs w:val="18"/>
              </w:rPr>
              <w:t>1</w:t>
            </w:r>
          </w:p>
        </w:tc>
        <w:tc>
          <w:tcPr>
            <w:tcW w:w="602"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2</w:t>
            </w:r>
          </w:p>
        </w:tc>
      </w:tr>
      <w:tr w:rsidR="00C9781F" w:rsidRPr="00957D2A" w:rsidTr="00B53A0A">
        <w:trPr>
          <w:trHeight w:val="227"/>
          <w:jc w:val="center"/>
        </w:trPr>
        <w:tc>
          <w:tcPr>
            <w:tcW w:w="1997"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left="-118" w:right="-89" w:firstLine="0"/>
              <w:jc w:val="left"/>
              <w:rPr>
                <w:rFonts w:ascii="Arial Narrow" w:hAnsi="Arial Narrow"/>
                <w:sz w:val="18"/>
                <w:szCs w:val="18"/>
              </w:rPr>
            </w:pPr>
            <w:r w:rsidRPr="00957D2A">
              <w:rPr>
                <w:rFonts w:ascii="Arial Narrow" w:hAnsi="Arial Narrow"/>
                <w:sz w:val="18"/>
                <w:szCs w:val="18"/>
              </w:rPr>
              <w:t>Visado</w:t>
            </w:r>
          </w:p>
        </w:tc>
        <w:tc>
          <w:tcPr>
            <w:tcW w:w="834"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4</w:t>
            </w:r>
          </w:p>
        </w:tc>
        <w:tc>
          <w:tcPr>
            <w:tcW w:w="1569"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1</w:t>
            </w:r>
          </w:p>
        </w:tc>
        <w:tc>
          <w:tcPr>
            <w:tcW w:w="902"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w:t>
            </w:r>
          </w:p>
        </w:tc>
        <w:tc>
          <w:tcPr>
            <w:tcW w:w="604" w:type="dxa"/>
            <w:tcBorders>
              <w:top w:val="single" w:sz="2" w:space="0" w:color="auto"/>
              <w:bottom w:val="single" w:sz="2" w:space="0" w:color="auto"/>
              <w:right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5</w:t>
            </w:r>
          </w:p>
        </w:tc>
        <w:tc>
          <w:tcPr>
            <w:tcW w:w="1148" w:type="dxa"/>
            <w:tcBorders>
              <w:top w:val="single" w:sz="2" w:space="0" w:color="auto"/>
              <w:left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1</w:t>
            </w:r>
          </w:p>
        </w:tc>
        <w:tc>
          <w:tcPr>
            <w:tcW w:w="1816"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left="-85" w:right="-91" w:firstLine="0"/>
              <w:jc w:val="right"/>
              <w:rPr>
                <w:rFonts w:ascii="Arial Narrow" w:hAnsi="Arial Narrow"/>
                <w:sz w:val="18"/>
                <w:szCs w:val="18"/>
              </w:rPr>
            </w:pPr>
            <w:r w:rsidRPr="00957D2A">
              <w:rPr>
                <w:rFonts w:ascii="Arial Narrow" w:hAnsi="Arial Narrow"/>
                <w:sz w:val="18"/>
                <w:szCs w:val="18"/>
              </w:rPr>
              <w:t>-</w:t>
            </w:r>
          </w:p>
        </w:tc>
        <w:tc>
          <w:tcPr>
            <w:tcW w:w="1201"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right="-78" w:firstLine="0"/>
              <w:jc w:val="right"/>
              <w:rPr>
                <w:rFonts w:ascii="Arial Narrow" w:hAnsi="Arial Narrow"/>
                <w:sz w:val="18"/>
                <w:szCs w:val="18"/>
              </w:rPr>
            </w:pPr>
            <w:r w:rsidRPr="00957D2A">
              <w:rPr>
                <w:rFonts w:ascii="Arial Narrow" w:hAnsi="Arial Narrow"/>
                <w:sz w:val="18"/>
                <w:szCs w:val="18"/>
              </w:rPr>
              <w:t>1</w:t>
            </w:r>
          </w:p>
        </w:tc>
        <w:tc>
          <w:tcPr>
            <w:tcW w:w="602"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1</w:t>
            </w:r>
          </w:p>
        </w:tc>
      </w:tr>
      <w:tr w:rsidR="00C9781F" w:rsidRPr="00957D2A" w:rsidTr="00B53A0A">
        <w:trPr>
          <w:trHeight w:val="227"/>
          <w:jc w:val="center"/>
        </w:trPr>
        <w:tc>
          <w:tcPr>
            <w:tcW w:w="1997"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left="-118" w:right="-89" w:firstLine="0"/>
              <w:jc w:val="left"/>
              <w:rPr>
                <w:rFonts w:ascii="Arial Narrow" w:hAnsi="Arial Narrow"/>
                <w:sz w:val="18"/>
                <w:szCs w:val="18"/>
              </w:rPr>
            </w:pPr>
            <w:r w:rsidRPr="00957D2A">
              <w:rPr>
                <w:rFonts w:ascii="Arial Narrow" w:hAnsi="Arial Narrow"/>
                <w:sz w:val="18"/>
                <w:szCs w:val="18"/>
              </w:rPr>
              <w:t>Dispensación</w:t>
            </w:r>
          </w:p>
        </w:tc>
        <w:tc>
          <w:tcPr>
            <w:tcW w:w="834"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3</w:t>
            </w:r>
          </w:p>
        </w:tc>
        <w:tc>
          <w:tcPr>
            <w:tcW w:w="1569"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w:t>
            </w:r>
          </w:p>
        </w:tc>
        <w:tc>
          <w:tcPr>
            <w:tcW w:w="902"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w:t>
            </w:r>
          </w:p>
        </w:tc>
        <w:tc>
          <w:tcPr>
            <w:tcW w:w="604" w:type="dxa"/>
            <w:tcBorders>
              <w:top w:val="single" w:sz="2" w:space="0" w:color="auto"/>
              <w:bottom w:val="single" w:sz="2" w:space="0" w:color="auto"/>
              <w:right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3</w:t>
            </w:r>
          </w:p>
        </w:tc>
        <w:tc>
          <w:tcPr>
            <w:tcW w:w="1148" w:type="dxa"/>
            <w:tcBorders>
              <w:top w:val="single" w:sz="2" w:space="0" w:color="auto"/>
              <w:left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3</w:t>
            </w:r>
          </w:p>
        </w:tc>
        <w:tc>
          <w:tcPr>
            <w:tcW w:w="1816"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left="-85" w:right="-91" w:firstLine="0"/>
              <w:jc w:val="right"/>
              <w:rPr>
                <w:rFonts w:ascii="Arial Narrow" w:hAnsi="Arial Narrow"/>
                <w:sz w:val="18"/>
                <w:szCs w:val="18"/>
              </w:rPr>
            </w:pPr>
            <w:r w:rsidRPr="00957D2A">
              <w:rPr>
                <w:rFonts w:ascii="Arial Narrow" w:hAnsi="Arial Narrow"/>
                <w:sz w:val="18"/>
                <w:szCs w:val="18"/>
              </w:rPr>
              <w:t>2</w:t>
            </w:r>
          </w:p>
        </w:tc>
        <w:tc>
          <w:tcPr>
            <w:tcW w:w="1201"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right="-78" w:firstLine="0"/>
              <w:jc w:val="right"/>
              <w:rPr>
                <w:rFonts w:ascii="Arial Narrow" w:hAnsi="Arial Narrow"/>
                <w:sz w:val="18"/>
                <w:szCs w:val="18"/>
              </w:rPr>
            </w:pPr>
            <w:r w:rsidRPr="00957D2A">
              <w:rPr>
                <w:rFonts w:ascii="Arial Narrow" w:hAnsi="Arial Narrow"/>
                <w:sz w:val="18"/>
                <w:szCs w:val="18"/>
              </w:rPr>
              <w:t>2</w:t>
            </w:r>
          </w:p>
        </w:tc>
        <w:tc>
          <w:tcPr>
            <w:tcW w:w="602"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7</w:t>
            </w:r>
          </w:p>
        </w:tc>
      </w:tr>
      <w:tr w:rsidR="00C9781F" w:rsidRPr="00957D2A" w:rsidTr="00B53A0A">
        <w:trPr>
          <w:trHeight w:val="227"/>
          <w:jc w:val="center"/>
        </w:trPr>
        <w:tc>
          <w:tcPr>
            <w:tcW w:w="1997"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left="-118" w:right="-89" w:firstLine="0"/>
              <w:jc w:val="left"/>
              <w:rPr>
                <w:rFonts w:ascii="Arial Narrow" w:hAnsi="Arial Narrow"/>
                <w:sz w:val="18"/>
                <w:szCs w:val="18"/>
              </w:rPr>
            </w:pPr>
            <w:r w:rsidRPr="00957D2A">
              <w:rPr>
                <w:rFonts w:ascii="Arial Narrow" w:hAnsi="Arial Narrow"/>
                <w:sz w:val="18"/>
                <w:szCs w:val="18"/>
              </w:rPr>
              <w:t>Facturación</w:t>
            </w:r>
          </w:p>
        </w:tc>
        <w:tc>
          <w:tcPr>
            <w:tcW w:w="834"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w:t>
            </w:r>
          </w:p>
        </w:tc>
        <w:tc>
          <w:tcPr>
            <w:tcW w:w="1569"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w:t>
            </w:r>
          </w:p>
        </w:tc>
        <w:tc>
          <w:tcPr>
            <w:tcW w:w="902"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w:t>
            </w:r>
          </w:p>
        </w:tc>
        <w:tc>
          <w:tcPr>
            <w:tcW w:w="604" w:type="dxa"/>
            <w:tcBorders>
              <w:top w:val="single" w:sz="2" w:space="0" w:color="auto"/>
              <w:bottom w:val="single" w:sz="2" w:space="0" w:color="auto"/>
              <w:right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w:t>
            </w:r>
          </w:p>
        </w:tc>
        <w:tc>
          <w:tcPr>
            <w:tcW w:w="1148" w:type="dxa"/>
            <w:tcBorders>
              <w:top w:val="single" w:sz="2" w:space="0" w:color="auto"/>
              <w:left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6</w:t>
            </w:r>
          </w:p>
        </w:tc>
        <w:tc>
          <w:tcPr>
            <w:tcW w:w="1816"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left="-85" w:right="-91" w:firstLine="0"/>
              <w:jc w:val="right"/>
              <w:rPr>
                <w:rFonts w:ascii="Arial Narrow" w:hAnsi="Arial Narrow"/>
                <w:sz w:val="18"/>
                <w:szCs w:val="18"/>
              </w:rPr>
            </w:pPr>
            <w:r w:rsidRPr="00957D2A">
              <w:rPr>
                <w:rFonts w:ascii="Arial Narrow" w:hAnsi="Arial Narrow"/>
                <w:sz w:val="18"/>
                <w:szCs w:val="18"/>
              </w:rPr>
              <w:t>-</w:t>
            </w:r>
          </w:p>
        </w:tc>
        <w:tc>
          <w:tcPr>
            <w:tcW w:w="1201"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right="-78" w:firstLine="0"/>
              <w:jc w:val="right"/>
              <w:rPr>
                <w:rFonts w:ascii="Arial Narrow" w:hAnsi="Arial Narrow"/>
                <w:sz w:val="18"/>
                <w:szCs w:val="18"/>
              </w:rPr>
            </w:pPr>
            <w:r w:rsidRPr="00957D2A">
              <w:rPr>
                <w:rFonts w:ascii="Arial Narrow" w:hAnsi="Arial Narrow"/>
                <w:sz w:val="18"/>
                <w:szCs w:val="18"/>
              </w:rPr>
              <w:t>-</w:t>
            </w:r>
          </w:p>
        </w:tc>
        <w:tc>
          <w:tcPr>
            <w:tcW w:w="602" w:type="dxa"/>
            <w:tcBorders>
              <w:top w:val="single" w:sz="2" w:space="0" w:color="auto"/>
              <w:bottom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6</w:t>
            </w:r>
          </w:p>
        </w:tc>
      </w:tr>
      <w:tr w:rsidR="00C9781F" w:rsidRPr="00957D2A" w:rsidTr="00B53A0A">
        <w:trPr>
          <w:trHeight w:val="227"/>
          <w:jc w:val="center"/>
        </w:trPr>
        <w:tc>
          <w:tcPr>
            <w:tcW w:w="1997" w:type="dxa"/>
            <w:tcBorders>
              <w:top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left="-118" w:right="-89" w:firstLine="0"/>
              <w:jc w:val="left"/>
              <w:rPr>
                <w:rFonts w:ascii="Arial Narrow" w:hAnsi="Arial Narrow"/>
                <w:sz w:val="18"/>
                <w:szCs w:val="18"/>
              </w:rPr>
            </w:pPr>
            <w:r w:rsidRPr="00957D2A">
              <w:rPr>
                <w:rFonts w:ascii="Arial Narrow" w:hAnsi="Arial Narrow"/>
                <w:sz w:val="18"/>
                <w:szCs w:val="18"/>
              </w:rPr>
              <w:t>Cotejos</w:t>
            </w:r>
          </w:p>
        </w:tc>
        <w:tc>
          <w:tcPr>
            <w:tcW w:w="834" w:type="dxa"/>
            <w:tcBorders>
              <w:top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w:t>
            </w:r>
          </w:p>
        </w:tc>
        <w:tc>
          <w:tcPr>
            <w:tcW w:w="1569" w:type="dxa"/>
            <w:tcBorders>
              <w:top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w:t>
            </w:r>
          </w:p>
        </w:tc>
        <w:tc>
          <w:tcPr>
            <w:tcW w:w="902" w:type="dxa"/>
            <w:tcBorders>
              <w:top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w:t>
            </w:r>
          </w:p>
        </w:tc>
        <w:tc>
          <w:tcPr>
            <w:tcW w:w="604" w:type="dxa"/>
            <w:tcBorders>
              <w:top w:val="single" w:sz="2" w:space="0" w:color="auto"/>
              <w:right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w:t>
            </w:r>
          </w:p>
        </w:tc>
        <w:tc>
          <w:tcPr>
            <w:tcW w:w="1148" w:type="dxa"/>
            <w:tcBorders>
              <w:top w:val="single" w:sz="2" w:space="0" w:color="auto"/>
              <w:left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4</w:t>
            </w:r>
          </w:p>
        </w:tc>
        <w:tc>
          <w:tcPr>
            <w:tcW w:w="1816" w:type="dxa"/>
            <w:tcBorders>
              <w:top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left="-85" w:right="-91" w:firstLine="0"/>
              <w:jc w:val="right"/>
              <w:rPr>
                <w:rFonts w:ascii="Arial Narrow" w:hAnsi="Arial Narrow"/>
                <w:sz w:val="18"/>
                <w:szCs w:val="18"/>
              </w:rPr>
            </w:pPr>
            <w:r w:rsidRPr="00957D2A">
              <w:rPr>
                <w:rFonts w:ascii="Arial Narrow" w:hAnsi="Arial Narrow"/>
                <w:sz w:val="18"/>
                <w:szCs w:val="18"/>
              </w:rPr>
              <w:t>-</w:t>
            </w:r>
          </w:p>
        </w:tc>
        <w:tc>
          <w:tcPr>
            <w:tcW w:w="1201" w:type="dxa"/>
            <w:tcBorders>
              <w:top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right="-78" w:firstLine="0"/>
              <w:jc w:val="right"/>
              <w:rPr>
                <w:rFonts w:ascii="Arial Narrow" w:hAnsi="Arial Narrow"/>
                <w:sz w:val="18"/>
                <w:szCs w:val="18"/>
              </w:rPr>
            </w:pPr>
            <w:r w:rsidRPr="00957D2A">
              <w:rPr>
                <w:rFonts w:ascii="Arial Narrow" w:hAnsi="Arial Narrow"/>
                <w:sz w:val="18"/>
                <w:szCs w:val="18"/>
              </w:rPr>
              <w:t>-</w:t>
            </w:r>
          </w:p>
        </w:tc>
        <w:tc>
          <w:tcPr>
            <w:tcW w:w="602" w:type="dxa"/>
            <w:tcBorders>
              <w:top w:val="single" w:sz="2" w:space="0" w:color="auto"/>
            </w:tcBorders>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957D2A">
              <w:rPr>
                <w:rFonts w:ascii="Arial Narrow" w:hAnsi="Arial Narrow"/>
                <w:sz w:val="18"/>
                <w:szCs w:val="18"/>
              </w:rPr>
              <w:t>4</w:t>
            </w:r>
          </w:p>
        </w:tc>
      </w:tr>
      <w:tr w:rsidR="00C9781F" w:rsidRPr="00957D2A" w:rsidTr="00B53A0A">
        <w:trPr>
          <w:trHeight w:val="255"/>
          <w:jc w:val="center"/>
        </w:trPr>
        <w:tc>
          <w:tcPr>
            <w:tcW w:w="1997" w:type="dxa"/>
            <w:shd w:val="clear" w:color="auto" w:fill="B8CCE4" w:themeFill="accent1" w:themeFillTint="66"/>
            <w:vAlign w:val="center"/>
          </w:tcPr>
          <w:p w:rsidR="00C9781F" w:rsidRPr="00957D2A" w:rsidRDefault="00C9781F" w:rsidP="00B53A0A">
            <w:pPr>
              <w:pStyle w:val="texto"/>
              <w:tabs>
                <w:tab w:val="clear" w:pos="2835"/>
                <w:tab w:val="clear" w:pos="3969"/>
                <w:tab w:val="clear" w:pos="5103"/>
                <w:tab w:val="clear" w:pos="6237"/>
                <w:tab w:val="clear" w:pos="7371"/>
              </w:tabs>
              <w:spacing w:after="0"/>
              <w:ind w:left="-118" w:right="-89" w:firstLine="0"/>
              <w:jc w:val="left"/>
              <w:rPr>
                <w:rFonts w:ascii="Arial" w:hAnsi="Arial" w:cs="Arial"/>
                <w:sz w:val="20"/>
                <w:szCs w:val="20"/>
              </w:rPr>
            </w:pPr>
            <w:r w:rsidRPr="00957D2A">
              <w:rPr>
                <w:rFonts w:ascii="Arial" w:hAnsi="Arial" w:cs="Arial"/>
                <w:sz w:val="20"/>
                <w:szCs w:val="20"/>
              </w:rPr>
              <w:t>Total</w:t>
            </w:r>
          </w:p>
        </w:tc>
        <w:tc>
          <w:tcPr>
            <w:tcW w:w="834" w:type="dxa"/>
            <w:shd w:val="clear" w:color="auto" w:fill="B8CCE4" w:themeFill="accent1" w:themeFillTint="66"/>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20"/>
                <w:szCs w:val="20"/>
              </w:rPr>
            </w:pPr>
            <w:r w:rsidRPr="00957D2A">
              <w:rPr>
                <w:rFonts w:ascii="Arial" w:hAnsi="Arial" w:cs="Arial"/>
                <w:sz w:val="20"/>
                <w:szCs w:val="20"/>
              </w:rPr>
              <w:t>18</w:t>
            </w:r>
          </w:p>
        </w:tc>
        <w:tc>
          <w:tcPr>
            <w:tcW w:w="1569" w:type="dxa"/>
            <w:shd w:val="clear" w:color="auto" w:fill="B8CCE4" w:themeFill="accent1" w:themeFillTint="66"/>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20"/>
                <w:szCs w:val="20"/>
              </w:rPr>
            </w:pPr>
            <w:r w:rsidRPr="00957D2A">
              <w:rPr>
                <w:rFonts w:ascii="Arial" w:hAnsi="Arial" w:cs="Arial"/>
                <w:sz w:val="20"/>
                <w:szCs w:val="20"/>
              </w:rPr>
              <w:t>6</w:t>
            </w:r>
          </w:p>
        </w:tc>
        <w:tc>
          <w:tcPr>
            <w:tcW w:w="902" w:type="dxa"/>
            <w:shd w:val="clear" w:color="auto" w:fill="B8CCE4" w:themeFill="accent1" w:themeFillTint="66"/>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20"/>
                <w:szCs w:val="20"/>
              </w:rPr>
            </w:pPr>
            <w:r w:rsidRPr="00957D2A">
              <w:rPr>
                <w:rFonts w:ascii="Arial" w:hAnsi="Arial" w:cs="Arial"/>
                <w:sz w:val="20"/>
                <w:szCs w:val="20"/>
              </w:rPr>
              <w:t>11</w:t>
            </w:r>
          </w:p>
        </w:tc>
        <w:tc>
          <w:tcPr>
            <w:tcW w:w="604" w:type="dxa"/>
            <w:tcBorders>
              <w:right w:val="single" w:sz="2" w:space="0" w:color="auto"/>
            </w:tcBorders>
            <w:shd w:val="clear" w:color="auto" w:fill="B8CCE4" w:themeFill="accent1" w:themeFillTint="66"/>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20"/>
                <w:szCs w:val="20"/>
              </w:rPr>
            </w:pPr>
            <w:r w:rsidRPr="00957D2A">
              <w:rPr>
                <w:rFonts w:ascii="Arial" w:hAnsi="Arial" w:cs="Arial"/>
                <w:sz w:val="20"/>
                <w:szCs w:val="20"/>
              </w:rPr>
              <w:t>35</w:t>
            </w:r>
          </w:p>
        </w:tc>
        <w:tc>
          <w:tcPr>
            <w:tcW w:w="1148" w:type="dxa"/>
            <w:tcBorders>
              <w:left w:val="single" w:sz="2" w:space="0" w:color="auto"/>
            </w:tcBorders>
            <w:shd w:val="clear" w:color="auto" w:fill="B8CCE4" w:themeFill="accent1" w:themeFillTint="66"/>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20"/>
                <w:szCs w:val="20"/>
              </w:rPr>
            </w:pPr>
            <w:r w:rsidRPr="00957D2A">
              <w:rPr>
                <w:rFonts w:ascii="Arial" w:hAnsi="Arial" w:cs="Arial"/>
                <w:sz w:val="20"/>
                <w:szCs w:val="20"/>
              </w:rPr>
              <w:t>19</w:t>
            </w:r>
          </w:p>
        </w:tc>
        <w:tc>
          <w:tcPr>
            <w:tcW w:w="1816" w:type="dxa"/>
            <w:shd w:val="clear" w:color="auto" w:fill="B8CCE4" w:themeFill="accent1" w:themeFillTint="66"/>
            <w:vAlign w:val="center"/>
          </w:tcPr>
          <w:p w:rsidR="00C9781F" w:rsidRPr="00957D2A" w:rsidRDefault="00C9781F" w:rsidP="00B53A0A">
            <w:pPr>
              <w:pStyle w:val="texto"/>
              <w:tabs>
                <w:tab w:val="clear" w:pos="2835"/>
                <w:tab w:val="clear" w:pos="3969"/>
                <w:tab w:val="clear" w:pos="5103"/>
                <w:tab w:val="clear" w:pos="6237"/>
                <w:tab w:val="clear" w:pos="7371"/>
              </w:tabs>
              <w:spacing w:after="0"/>
              <w:ind w:left="-85" w:right="-91" w:firstLine="0"/>
              <w:jc w:val="right"/>
              <w:rPr>
                <w:rFonts w:ascii="Arial" w:hAnsi="Arial" w:cs="Arial"/>
                <w:sz w:val="20"/>
                <w:szCs w:val="20"/>
              </w:rPr>
            </w:pPr>
            <w:r w:rsidRPr="00957D2A">
              <w:rPr>
                <w:rFonts w:ascii="Arial" w:hAnsi="Arial" w:cs="Arial"/>
                <w:sz w:val="20"/>
                <w:szCs w:val="20"/>
              </w:rPr>
              <w:t>4</w:t>
            </w:r>
          </w:p>
        </w:tc>
        <w:tc>
          <w:tcPr>
            <w:tcW w:w="1201" w:type="dxa"/>
            <w:shd w:val="clear" w:color="auto" w:fill="B8CCE4" w:themeFill="accent1" w:themeFillTint="66"/>
            <w:vAlign w:val="center"/>
          </w:tcPr>
          <w:p w:rsidR="00C9781F" w:rsidRPr="00957D2A" w:rsidRDefault="00C9781F" w:rsidP="00B53A0A">
            <w:pPr>
              <w:pStyle w:val="texto"/>
              <w:tabs>
                <w:tab w:val="clear" w:pos="2835"/>
                <w:tab w:val="clear" w:pos="3969"/>
                <w:tab w:val="clear" w:pos="5103"/>
                <w:tab w:val="clear" w:pos="6237"/>
                <w:tab w:val="clear" w:pos="7371"/>
              </w:tabs>
              <w:spacing w:after="0"/>
              <w:ind w:right="-78" w:firstLine="0"/>
              <w:jc w:val="right"/>
              <w:rPr>
                <w:rFonts w:ascii="Arial" w:hAnsi="Arial" w:cs="Arial"/>
                <w:sz w:val="20"/>
                <w:szCs w:val="20"/>
              </w:rPr>
            </w:pPr>
            <w:r w:rsidRPr="00957D2A">
              <w:rPr>
                <w:rFonts w:ascii="Arial" w:hAnsi="Arial" w:cs="Arial"/>
                <w:sz w:val="20"/>
                <w:szCs w:val="20"/>
              </w:rPr>
              <w:t>4</w:t>
            </w:r>
          </w:p>
        </w:tc>
        <w:tc>
          <w:tcPr>
            <w:tcW w:w="602" w:type="dxa"/>
            <w:shd w:val="clear" w:color="auto" w:fill="B8CCE4" w:themeFill="accent1" w:themeFillTint="66"/>
            <w:vAlign w:val="center"/>
          </w:tcPr>
          <w:p w:rsidR="00C9781F" w:rsidRPr="00957D2A"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20"/>
                <w:szCs w:val="20"/>
              </w:rPr>
            </w:pPr>
            <w:r w:rsidRPr="00957D2A">
              <w:rPr>
                <w:rFonts w:ascii="Arial" w:hAnsi="Arial" w:cs="Arial"/>
                <w:sz w:val="20"/>
                <w:szCs w:val="20"/>
              </w:rPr>
              <w:t>27</w:t>
            </w:r>
          </w:p>
        </w:tc>
      </w:tr>
    </w:tbl>
    <w:p w:rsidR="00C9781F" w:rsidRPr="00783C24" w:rsidRDefault="00C9781F" w:rsidP="00C9781F">
      <w:pPr>
        <w:pStyle w:val="texto"/>
        <w:tabs>
          <w:tab w:val="clear" w:pos="2835"/>
          <w:tab w:val="clear" w:pos="3969"/>
          <w:tab w:val="clear" w:pos="5103"/>
          <w:tab w:val="clear" w:pos="6237"/>
          <w:tab w:val="clear" w:pos="7371"/>
        </w:tabs>
        <w:spacing w:before="240"/>
        <w:rPr>
          <w:szCs w:val="26"/>
        </w:rPr>
      </w:pPr>
      <w:r w:rsidRPr="00783C24">
        <w:rPr>
          <w:szCs w:val="26"/>
        </w:rPr>
        <w:lastRenderedPageBreak/>
        <w:t xml:space="preserve">Como se observa, el </w:t>
      </w:r>
      <w:r>
        <w:rPr>
          <w:szCs w:val="26"/>
        </w:rPr>
        <w:t>69</w:t>
      </w:r>
      <w:r w:rsidRPr="00783C24">
        <w:rPr>
          <w:szCs w:val="26"/>
        </w:rPr>
        <w:t xml:space="preserve"> por ciento de los controles realizados son efectivos,  si bien sobre el </w:t>
      </w:r>
      <w:r>
        <w:rPr>
          <w:szCs w:val="26"/>
        </w:rPr>
        <w:t>25</w:t>
      </w:r>
      <w:r w:rsidRPr="00783C24">
        <w:rPr>
          <w:szCs w:val="26"/>
        </w:rPr>
        <w:t xml:space="preserve"> por ciento de éstos hemos considerado oportuno realizar r</w:t>
      </w:r>
      <w:r w:rsidRPr="00783C24">
        <w:rPr>
          <w:szCs w:val="26"/>
        </w:rPr>
        <w:t>e</w:t>
      </w:r>
      <w:r w:rsidRPr="00783C24">
        <w:rPr>
          <w:szCs w:val="26"/>
        </w:rPr>
        <w:t xml:space="preserve">comendaciones para mejorar su efectividad, mientras que el </w:t>
      </w:r>
      <w:r>
        <w:rPr>
          <w:szCs w:val="26"/>
        </w:rPr>
        <w:t>31</w:t>
      </w:r>
      <w:r w:rsidRPr="00783C24">
        <w:rPr>
          <w:szCs w:val="26"/>
        </w:rPr>
        <w:t xml:space="preserve"> por ciento</w:t>
      </w:r>
      <w:r>
        <w:rPr>
          <w:szCs w:val="26"/>
        </w:rPr>
        <w:t xml:space="preserve"> re</w:t>
      </w:r>
      <w:r>
        <w:rPr>
          <w:szCs w:val="26"/>
        </w:rPr>
        <w:t>s</w:t>
      </w:r>
      <w:r>
        <w:rPr>
          <w:szCs w:val="26"/>
        </w:rPr>
        <w:t>tante</w:t>
      </w:r>
      <w:r w:rsidRPr="00783C24">
        <w:rPr>
          <w:szCs w:val="26"/>
        </w:rPr>
        <w:t xml:space="preserve"> </w:t>
      </w:r>
      <w:r>
        <w:rPr>
          <w:szCs w:val="26"/>
        </w:rPr>
        <w:t>no son</w:t>
      </w:r>
      <w:r w:rsidRPr="00783C24">
        <w:rPr>
          <w:szCs w:val="26"/>
        </w:rPr>
        <w:t xml:space="preserve"> efectivos; en el caso de las pruebas sustantivas, obtuvimos un r</w:t>
      </w:r>
      <w:r w:rsidRPr="00783C24">
        <w:rPr>
          <w:szCs w:val="26"/>
        </w:rPr>
        <w:t>e</w:t>
      </w:r>
      <w:r w:rsidRPr="00783C24">
        <w:rPr>
          <w:szCs w:val="26"/>
        </w:rPr>
        <w:t>sultado positivo en el 8</w:t>
      </w:r>
      <w:r>
        <w:rPr>
          <w:szCs w:val="26"/>
        </w:rPr>
        <w:t>5</w:t>
      </w:r>
      <w:r w:rsidRPr="00783C24">
        <w:rPr>
          <w:szCs w:val="26"/>
        </w:rPr>
        <w:t xml:space="preserve"> por ciento</w:t>
      </w:r>
      <w:r>
        <w:rPr>
          <w:szCs w:val="26"/>
        </w:rPr>
        <w:t>, incluyendo recomendaciones sobre el 17 por ciento de las mismas,</w:t>
      </w:r>
      <w:r w:rsidRPr="00783C24">
        <w:rPr>
          <w:szCs w:val="26"/>
        </w:rPr>
        <w:t xml:space="preserve"> y el 1</w:t>
      </w:r>
      <w:r>
        <w:rPr>
          <w:szCs w:val="26"/>
        </w:rPr>
        <w:t>5</w:t>
      </w:r>
      <w:r w:rsidRPr="00783C24">
        <w:rPr>
          <w:szCs w:val="26"/>
        </w:rPr>
        <w:t xml:space="preserve"> por ciento restante negativo.</w:t>
      </w:r>
    </w:p>
    <w:p w:rsidR="00C9781F" w:rsidRDefault="00C9781F" w:rsidP="00C9781F">
      <w:pPr>
        <w:pStyle w:val="texto"/>
        <w:tabs>
          <w:tab w:val="clear" w:pos="2835"/>
          <w:tab w:val="clear" w:pos="3969"/>
          <w:tab w:val="clear" w:pos="5103"/>
          <w:tab w:val="clear" w:pos="6237"/>
          <w:tab w:val="clear" w:pos="7371"/>
        </w:tabs>
        <w:spacing w:before="120" w:after="240"/>
        <w:rPr>
          <w:szCs w:val="26"/>
        </w:rPr>
      </w:pPr>
      <w:r w:rsidRPr="00E03B74">
        <w:rPr>
          <w:szCs w:val="26"/>
        </w:rPr>
        <w:t>Teniendo en cuenta estos resultados, podemos afirmar que, en general, el control interno es razonable y adecuado, si bien señalamos los siguientes aspe</w:t>
      </w:r>
      <w:r w:rsidRPr="00E03B74">
        <w:rPr>
          <w:szCs w:val="26"/>
        </w:rPr>
        <w:t>c</w:t>
      </w:r>
      <w:r w:rsidRPr="00E03B74">
        <w:rPr>
          <w:szCs w:val="26"/>
        </w:rPr>
        <w:t>tos</w:t>
      </w:r>
      <w:r>
        <w:rPr>
          <w:szCs w:val="26"/>
        </w:rPr>
        <w:t xml:space="preserve"> relacionados fundamentalmente con los controles inefectivos y con las pruebas cuyo resultado no ha sido satisfactorio</w:t>
      </w:r>
      <w:r w:rsidRPr="00E03B74">
        <w:rPr>
          <w:szCs w:val="26"/>
        </w:rPr>
        <w:t>:</w:t>
      </w:r>
    </w:p>
    <w:p w:rsidR="00C9781F" w:rsidRPr="00037209" w:rsidRDefault="00C9781F" w:rsidP="00C9781F">
      <w:pPr>
        <w:pStyle w:val="texto"/>
        <w:tabs>
          <w:tab w:val="clear" w:pos="2835"/>
          <w:tab w:val="clear" w:pos="3969"/>
          <w:tab w:val="clear" w:pos="5103"/>
          <w:tab w:val="clear" w:pos="6237"/>
          <w:tab w:val="clear" w:pos="7371"/>
        </w:tabs>
        <w:spacing w:before="120"/>
        <w:rPr>
          <w:rFonts w:ascii="Arial" w:hAnsi="Arial" w:cs="Arial"/>
          <w:i/>
          <w:sz w:val="25"/>
          <w:szCs w:val="25"/>
        </w:rPr>
      </w:pPr>
      <w:r w:rsidRPr="00037209">
        <w:rPr>
          <w:rFonts w:ascii="Arial" w:hAnsi="Arial" w:cs="Arial"/>
          <w:i/>
          <w:sz w:val="25"/>
          <w:szCs w:val="25"/>
        </w:rPr>
        <w:t>ATENEA, HCI y LAMIA</w:t>
      </w:r>
    </w:p>
    <w:p w:rsidR="00C9781F" w:rsidRPr="00037209" w:rsidRDefault="003F62F0"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El proced</w:t>
      </w:r>
      <w:r w:rsidR="00C9781F" w:rsidRPr="00037209">
        <w:rPr>
          <w:rFonts w:cs="Arial"/>
        </w:rPr>
        <w:t>imiento de gestión de altas, modificaciones y bajas de usuarios de las aplicaciones ATENEA, HCI y LAMIA</w:t>
      </w:r>
      <w:r>
        <w:rPr>
          <w:rFonts w:cs="Arial"/>
        </w:rPr>
        <w:t xml:space="preserve"> no está actualizado</w:t>
      </w:r>
      <w:r w:rsidR="00C9781F" w:rsidRPr="00037209">
        <w:rPr>
          <w:rFonts w:cs="Arial"/>
        </w:rPr>
        <w:t xml:space="preserve">. </w:t>
      </w:r>
      <w:r w:rsidR="00C9781F">
        <w:rPr>
          <w:rFonts w:cs="Arial"/>
        </w:rPr>
        <w:t>Al respecto s</w:t>
      </w:r>
      <w:r w:rsidR="00C9781F">
        <w:rPr>
          <w:rFonts w:cs="Arial"/>
        </w:rPr>
        <w:t>e</w:t>
      </w:r>
      <w:r w:rsidR="00C9781F">
        <w:rPr>
          <w:rFonts w:cs="Arial"/>
        </w:rPr>
        <w:t>ñalamos que</w:t>
      </w:r>
      <w:r w:rsidR="00C9781F" w:rsidRPr="00037209">
        <w:rPr>
          <w:rFonts w:cs="Arial"/>
        </w:rPr>
        <w:t xml:space="preserve"> la gestión de estos accesos corresponde a los responsables de las aplicaciones ATENEA y HCI, ya que los usuarios acceden a LAMIA a través de las mismas.  </w:t>
      </w:r>
    </w:p>
    <w:p w:rsidR="00C9781F" w:rsidRPr="00037209"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037209">
        <w:rPr>
          <w:rFonts w:cs="Arial"/>
        </w:rPr>
        <w:t>LAMIA no registra el log</w:t>
      </w:r>
      <w:r>
        <w:rPr>
          <w:rStyle w:val="Refdenotaalpie"/>
          <w:rFonts w:cs="Arial"/>
        </w:rPr>
        <w:footnoteReference w:id="5"/>
      </w:r>
      <w:r w:rsidRPr="00037209">
        <w:rPr>
          <w:rFonts w:cs="Arial"/>
        </w:rPr>
        <w:t xml:space="preserve"> de auditoría de los usuarios administradores, por lo que no queda constancia de qué administrador crea o modifica cada usuario, ni en qué fecha se realizan estas operaciones. </w:t>
      </w:r>
    </w:p>
    <w:p w:rsidR="00C9781F" w:rsidRPr="00037209"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037209">
        <w:rPr>
          <w:rFonts w:cs="Arial"/>
        </w:rPr>
        <w:t>Los despliegues que se realizan sobre LAMIA siguen el procedimiento e</w:t>
      </w:r>
      <w:r w:rsidRPr="00037209">
        <w:rPr>
          <w:rFonts w:cs="Arial"/>
        </w:rPr>
        <w:t>s</w:t>
      </w:r>
      <w:r w:rsidRPr="00037209">
        <w:rPr>
          <w:rFonts w:cs="Arial"/>
        </w:rPr>
        <w:t>tablecido, si bien al llevarse a cabo manualmente no queda un registro de todos los pasos a producción de LAMIA.</w:t>
      </w:r>
    </w:p>
    <w:p w:rsidR="00C9781F" w:rsidRPr="00037209"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037209">
        <w:rPr>
          <w:rFonts w:cs="Arial"/>
        </w:rPr>
        <w:t>En todas las peticiones sobre LAMIA queda el registro de las pruebas re</w:t>
      </w:r>
      <w:r w:rsidRPr="00037209">
        <w:rPr>
          <w:rFonts w:cs="Arial"/>
        </w:rPr>
        <w:t>a</w:t>
      </w:r>
      <w:r w:rsidRPr="00037209">
        <w:rPr>
          <w:rFonts w:cs="Arial"/>
        </w:rPr>
        <w:t>lizadas por el personal correspondiente</w:t>
      </w:r>
      <w:r w:rsidR="003F62F0">
        <w:rPr>
          <w:rFonts w:cs="Arial"/>
        </w:rPr>
        <w:t>;</w:t>
      </w:r>
      <w:r w:rsidRPr="00037209">
        <w:rPr>
          <w:rFonts w:cs="Arial"/>
        </w:rPr>
        <w:t xml:space="preserve"> </w:t>
      </w:r>
      <w:r w:rsidR="003F62F0">
        <w:rPr>
          <w:rFonts w:cs="Arial"/>
        </w:rPr>
        <w:t>en la muestra de pruebas realizada</w:t>
      </w:r>
      <w:r w:rsidRPr="00037209">
        <w:rPr>
          <w:rFonts w:cs="Arial"/>
        </w:rPr>
        <w:t xml:space="preserve"> no siempre se actualiza correctamente en el histórico de cambios el resultado de ejecución de las pruebas, dando lugar, en ocasiones, a inconsistencias entre el histórico de cambios y la hoja de seguimiento.</w:t>
      </w:r>
    </w:p>
    <w:p w:rsidR="00C9781F" w:rsidRPr="00037209"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037209">
        <w:rPr>
          <w:rFonts w:cs="Arial"/>
        </w:rPr>
        <w:t>Las contraseñas de ATENEA y HCI, aplicaciones que dan acceso a L</w:t>
      </w:r>
      <w:r w:rsidRPr="00037209">
        <w:rPr>
          <w:rFonts w:cs="Arial"/>
        </w:rPr>
        <w:t>A</w:t>
      </w:r>
      <w:r w:rsidRPr="00037209">
        <w:rPr>
          <w:rFonts w:cs="Arial"/>
        </w:rPr>
        <w:t>MIA, pueden ser de cuatro caracteres iguales sin exigir requisitos de complej</w:t>
      </w:r>
      <w:r w:rsidRPr="00037209">
        <w:rPr>
          <w:rFonts w:cs="Arial"/>
        </w:rPr>
        <w:t>i</w:t>
      </w:r>
      <w:r w:rsidRPr="00037209">
        <w:rPr>
          <w:rFonts w:cs="Arial"/>
        </w:rPr>
        <w:t xml:space="preserve">dad, si bien para acceder a las mismas es necesaria la validación previa en el dominio correspondiente. </w:t>
      </w:r>
    </w:p>
    <w:p w:rsidR="00C9781F"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037209">
        <w:rPr>
          <w:rFonts w:cs="Arial"/>
        </w:rPr>
        <w:t>Los despliegues tanto al entorno de preproducción como al de producción se realizan manualmente, se siguen los pasos del procedimiento quedando r</w:t>
      </w:r>
      <w:r w:rsidRPr="00037209">
        <w:rPr>
          <w:rFonts w:cs="Arial"/>
        </w:rPr>
        <w:t>e</w:t>
      </w:r>
      <w:r w:rsidRPr="00037209">
        <w:rPr>
          <w:rFonts w:cs="Arial"/>
        </w:rPr>
        <w:t xml:space="preserve">gistro de los mismos, y se garantiza una adecuada segregación de funciones. Sin embargo, hemos constatado que existen tres usuarios desarrolladores que </w:t>
      </w:r>
      <w:r w:rsidRPr="00037209">
        <w:rPr>
          <w:rFonts w:cs="Arial"/>
        </w:rPr>
        <w:lastRenderedPageBreak/>
        <w:t>disponen de acceso al entorno de producción</w:t>
      </w:r>
      <w:r w:rsidR="00A217FD">
        <w:rPr>
          <w:rFonts w:cs="Arial"/>
        </w:rPr>
        <w:t xml:space="preserve"> para tareas de soporte y valid</w:t>
      </w:r>
      <w:r w:rsidR="00A217FD">
        <w:rPr>
          <w:rFonts w:cs="Arial"/>
        </w:rPr>
        <w:t>a</w:t>
      </w:r>
      <w:r w:rsidR="00A217FD">
        <w:rPr>
          <w:rFonts w:cs="Arial"/>
        </w:rPr>
        <w:t>ción de despliegues</w:t>
      </w:r>
      <w:r w:rsidRPr="00037209">
        <w:rPr>
          <w:rFonts w:cs="Arial"/>
        </w:rPr>
        <w:t>.</w:t>
      </w:r>
    </w:p>
    <w:p w:rsidR="00C9781F" w:rsidRPr="00037209"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Hemos comprobado que, a pesar de tener un control exhaustivo de los log de los diferentes sistemas, el registro de acceso a las carpetas de red en las que residen estos log</w:t>
      </w:r>
      <w:r w:rsidR="00F52109">
        <w:rPr>
          <w:rFonts w:cs="Arial"/>
        </w:rPr>
        <w:t xml:space="preserve"> no estaba activado</w:t>
      </w:r>
      <w:r>
        <w:rPr>
          <w:rFonts w:cs="Arial"/>
        </w:rPr>
        <w:t>, por lo que estos podrían ser alterados sin que quede constancia de ello.</w:t>
      </w:r>
      <w:r w:rsidR="00F52109">
        <w:rPr>
          <w:rFonts w:cs="Arial"/>
        </w:rPr>
        <w:t xml:space="preserve"> Al respecto indicamos que se ha procedido a a</w:t>
      </w:r>
      <w:r w:rsidR="00F52109">
        <w:rPr>
          <w:rFonts w:cs="Arial"/>
        </w:rPr>
        <w:t>c</w:t>
      </w:r>
      <w:r w:rsidR="00F52109">
        <w:rPr>
          <w:rFonts w:cs="Arial"/>
        </w:rPr>
        <w:t>tivar dicho log.</w:t>
      </w:r>
    </w:p>
    <w:p w:rsidR="00C9781F" w:rsidRPr="00A46CFD" w:rsidRDefault="00C9781F" w:rsidP="00C9781F">
      <w:pPr>
        <w:keepNext/>
        <w:spacing w:before="240" w:after="120"/>
        <w:ind w:firstLine="0"/>
        <w:rPr>
          <w:rFonts w:ascii="Arial" w:hAnsi="Arial"/>
          <w:i/>
          <w:iCs/>
          <w:color w:val="000000"/>
          <w:spacing w:val="10"/>
          <w:kern w:val="28"/>
          <w:sz w:val="25"/>
          <w:szCs w:val="26"/>
        </w:rPr>
      </w:pPr>
      <w:r w:rsidRPr="00A46CFD">
        <w:rPr>
          <w:rFonts w:ascii="Arial" w:hAnsi="Arial"/>
          <w:i/>
          <w:iCs/>
          <w:color w:val="000000"/>
          <w:spacing w:val="10"/>
          <w:kern w:val="28"/>
          <w:sz w:val="25"/>
          <w:szCs w:val="26"/>
        </w:rPr>
        <w:t>Incorporación</w:t>
      </w:r>
      <w:r>
        <w:rPr>
          <w:rFonts w:ascii="Arial" w:hAnsi="Arial"/>
          <w:i/>
          <w:iCs/>
          <w:color w:val="000000"/>
          <w:spacing w:val="10"/>
          <w:kern w:val="28"/>
          <w:sz w:val="25"/>
          <w:szCs w:val="26"/>
        </w:rPr>
        <w:t xml:space="preserve"> de</w:t>
      </w:r>
      <w:r w:rsidRPr="00A46CFD">
        <w:rPr>
          <w:rFonts w:ascii="Arial" w:hAnsi="Arial"/>
          <w:i/>
          <w:iCs/>
          <w:color w:val="000000"/>
          <w:spacing w:val="10"/>
          <w:kern w:val="28"/>
          <w:sz w:val="25"/>
          <w:szCs w:val="26"/>
        </w:rPr>
        <w:t xml:space="preserve"> datos del </w:t>
      </w:r>
      <w:r w:rsidR="00445899">
        <w:rPr>
          <w:rFonts w:ascii="Arial" w:hAnsi="Arial"/>
          <w:i/>
          <w:iCs/>
          <w:color w:val="000000"/>
          <w:spacing w:val="10"/>
          <w:kern w:val="28"/>
          <w:sz w:val="25"/>
          <w:szCs w:val="26"/>
        </w:rPr>
        <w:t>Nomenclátor</w:t>
      </w:r>
      <w:r w:rsidRPr="00A46CFD">
        <w:rPr>
          <w:rFonts w:ascii="Arial" w:hAnsi="Arial"/>
          <w:i/>
          <w:iCs/>
          <w:color w:val="000000"/>
          <w:spacing w:val="10"/>
          <w:kern w:val="28"/>
          <w:sz w:val="25"/>
          <w:szCs w:val="26"/>
        </w:rPr>
        <w:t xml:space="preserve"> a</w:t>
      </w:r>
      <w:r>
        <w:rPr>
          <w:rFonts w:ascii="Arial" w:hAnsi="Arial"/>
          <w:i/>
          <w:iCs/>
          <w:color w:val="000000"/>
          <w:spacing w:val="10"/>
          <w:kern w:val="28"/>
          <w:sz w:val="25"/>
          <w:szCs w:val="26"/>
        </w:rPr>
        <w:t xml:space="preserve"> los</w:t>
      </w:r>
      <w:r w:rsidRPr="00A46CFD">
        <w:rPr>
          <w:rFonts w:ascii="Arial" w:hAnsi="Arial"/>
          <w:i/>
          <w:iCs/>
          <w:color w:val="000000"/>
          <w:spacing w:val="10"/>
          <w:kern w:val="28"/>
          <w:sz w:val="25"/>
          <w:szCs w:val="26"/>
        </w:rPr>
        <w:t xml:space="preserve"> sistemas información</w:t>
      </w:r>
      <w:r>
        <w:rPr>
          <w:rFonts w:ascii="Arial" w:hAnsi="Arial"/>
          <w:i/>
          <w:iCs/>
          <w:color w:val="000000"/>
          <w:spacing w:val="10"/>
          <w:kern w:val="28"/>
          <w:sz w:val="25"/>
          <w:szCs w:val="26"/>
        </w:rPr>
        <w:t xml:space="preserve"> del</w:t>
      </w:r>
      <w:r w:rsidRPr="00A46CFD">
        <w:rPr>
          <w:rFonts w:ascii="Arial" w:hAnsi="Arial"/>
          <w:i/>
          <w:iCs/>
          <w:color w:val="000000"/>
          <w:spacing w:val="10"/>
          <w:kern w:val="28"/>
          <w:sz w:val="25"/>
          <w:szCs w:val="26"/>
        </w:rPr>
        <w:t xml:space="preserve"> SNS-O</w:t>
      </w:r>
    </w:p>
    <w:p w:rsidR="00C9781F" w:rsidRPr="00037209"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037209">
        <w:rPr>
          <w:rFonts w:cs="Arial"/>
        </w:rPr>
        <w:t xml:space="preserve">Este proceso lo lleva a cabo una única persona </w:t>
      </w:r>
      <w:r w:rsidR="00A217FD">
        <w:rPr>
          <w:rFonts w:cs="Arial"/>
        </w:rPr>
        <w:t>y el proc</w:t>
      </w:r>
      <w:r w:rsidRPr="00037209">
        <w:rPr>
          <w:rFonts w:cs="Arial"/>
        </w:rPr>
        <w:t>edimiento establ</w:t>
      </w:r>
      <w:r w:rsidRPr="00037209">
        <w:rPr>
          <w:rFonts w:cs="Arial"/>
        </w:rPr>
        <w:t>e</w:t>
      </w:r>
      <w:r w:rsidRPr="00037209">
        <w:rPr>
          <w:rFonts w:cs="Arial"/>
        </w:rPr>
        <w:t>cido para realizar esta tarea</w:t>
      </w:r>
      <w:r w:rsidR="00A217FD">
        <w:rPr>
          <w:rFonts w:cs="Arial"/>
        </w:rPr>
        <w:t xml:space="preserve"> está obsoleto</w:t>
      </w:r>
      <w:r w:rsidRPr="00037209">
        <w:rPr>
          <w:rFonts w:cs="Arial"/>
        </w:rPr>
        <w:t>.</w:t>
      </w:r>
    </w:p>
    <w:p w:rsidR="00C9781F" w:rsidRPr="00037209"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037209">
        <w:rPr>
          <w:rFonts w:cs="Arial"/>
        </w:rPr>
        <w:t>Hemos constatado que todos los datos sobre precios y condición de visado pueden ser modificados manualmente</w:t>
      </w:r>
      <w:r w:rsidR="00A217FD">
        <w:rPr>
          <w:rFonts w:cs="Arial"/>
        </w:rPr>
        <w:t>; si bien se registra el usuario que realizó el último cambio y la fecha de la última actualización,</w:t>
      </w:r>
      <w:r w:rsidRPr="00037209">
        <w:rPr>
          <w:rFonts w:cs="Arial"/>
        </w:rPr>
        <w:t xml:space="preserve"> estas operaciones </w:t>
      </w:r>
      <w:r w:rsidR="00A217FD">
        <w:rPr>
          <w:rFonts w:cs="Arial"/>
        </w:rPr>
        <w:t xml:space="preserve">no </w:t>
      </w:r>
      <w:r w:rsidRPr="00037209">
        <w:rPr>
          <w:rFonts w:cs="Arial"/>
        </w:rPr>
        <w:t>d</w:t>
      </w:r>
      <w:r w:rsidRPr="00037209">
        <w:rPr>
          <w:rFonts w:cs="Arial"/>
        </w:rPr>
        <w:t>e</w:t>
      </w:r>
      <w:r w:rsidRPr="00037209">
        <w:rPr>
          <w:rFonts w:cs="Arial"/>
        </w:rPr>
        <w:t>j</w:t>
      </w:r>
      <w:r w:rsidR="00A217FD">
        <w:rPr>
          <w:rFonts w:cs="Arial"/>
        </w:rPr>
        <w:t>an</w:t>
      </w:r>
      <w:r w:rsidRPr="00037209">
        <w:rPr>
          <w:rFonts w:cs="Arial"/>
        </w:rPr>
        <w:t xml:space="preserve"> un rastro informático que permita su </w:t>
      </w:r>
      <w:r w:rsidR="00A217FD">
        <w:rPr>
          <w:rFonts w:cs="Arial"/>
        </w:rPr>
        <w:t>posterior revisión histórica</w:t>
      </w:r>
      <w:r w:rsidRPr="00037209">
        <w:rPr>
          <w:rFonts w:cs="Arial"/>
        </w:rPr>
        <w:t>.</w:t>
      </w:r>
    </w:p>
    <w:p w:rsidR="00C9781F" w:rsidRPr="00A46CFD" w:rsidRDefault="00C9781F" w:rsidP="00C9781F">
      <w:pPr>
        <w:keepNext/>
        <w:spacing w:before="240" w:after="120"/>
        <w:ind w:firstLine="0"/>
        <w:rPr>
          <w:rFonts w:ascii="Arial" w:hAnsi="Arial"/>
          <w:i/>
          <w:iCs/>
          <w:color w:val="000000"/>
          <w:spacing w:val="10"/>
          <w:kern w:val="28"/>
          <w:sz w:val="25"/>
          <w:szCs w:val="26"/>
        </w:rPr>
      </w:pPr>
      <w:r w:rsidRPr="00A46CFD">
        <w:rPr>
          <w:rFonts w:ascii="Arial" w:hAnsi="Arial"/>
          <w:i/>
          <w:iCs/>
          <w:color w:val="000000"/>
          <w:spacing w:val="10"/>
          <w:kern w:val="28"/>
          <w:sz w:val="25"/>
          <w:szCs w:val="26"/>
        </w:rPr>
        <w:t>Prescripción</w:t>
      </w:r>
    </w:p>
    <w:p w:rsidR="00C9781F" w:rsidRPr="00A46CFD"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A46CFD">
        <w:rPr>
          <w:rFonts w:cs="Arial"/>
        </w:rPr>
        <w:t>El personal de enfermería puede proponer la prescripción de algún med</w:t>
      </w:r>
      <w:r w:rsidRPr="00A46CFD">
        <w:rPr>
          <w:rFonts w:cs="Arial"/>
        </w:rPr>
        <w:t>i</w:t>
      </w:r>
      <w:r w:rsidRPr="00A46CFD">
        <w:rPr>
          <w:rFonts w:cs="Arial"/>
        </w:rPr>
        <w:t xml:space="preserve">camento al personal facultativo que será siempre quien la deba firmar para que sea efectiva. Hemos constatado que la medicación que consta como pendiente de firma en la hoja de tratamiento de un paciente, independientemente de quien la haya propuesto, se firma automáticamente </w:t>
      </w:r>
      <w:r w:rsidR="00A217FD">
        <w:rPr>
          <w:rFonts w:cs="Arial"/>
        </w:rPr>
        <w:t xml:space="preserve">por el personal facultativo </w:t>
      </w:r>
      <w:r w:rsidRPr="00A46CFD">
        <w:rPr>
          <w:rFonts w:cs="Arial"/>
        </w:rPr>
        <w:t>al salir de la aplicación</w:t>
      </w:r>
      <w:r w:rsidR="00A217FD">
        <w:rPr>
          <w:rFonts w:cs="Arial"/>
        </w:rPr>
        <w:t xml:space="preserve"> y abandonar la hoja de tratamiento del paciente</w:t>
      </w:r>
      <w:r w:rsidRPr="00A46CFD">
        <w:rPr>
          <w:rFonts w:cs="Arial"/>
        </w:rPr>
        <w:t xml:space="preserve">. </w:t>
      </w:r>
    </w:p>
    <w:p w:rsidR="00C9781F" w:rsidRPr="00A46CFD"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A46CFD">
        <w:rPr>
          <w:rFonts w:cs="Arial"/>
        </w:rPr>
        <w:t>LAMIA realiza un cálculo adecuado del tratamiento para los pacientes, p</w:t>
      </w:r>
      <w:r w:rsidRPr="00A46CFD">
        <w:rPr>
          <w:rFonts w:cs="Arial"/>
        </w:rPr>
        <w:t>e</w:t>
      </w:r>
      <w:r w:rsidRPr="00A46CFD">
        <w:rPr>
          <w:rFonts w:cs="Arial"/>
        </w:rPr>
        <w:t xml:space="preserve">ro, </w:t>
      </w:r>
      <w:r w:rsidR="00A217FD">
        <w:rPr>
          <w:rFonts w:cs="Arial"/>
        </w:rPr>
        <w:t>existen casos en los que</w:t>
      </w:r>
      <w:r w:rsidRPr="00A46CFD">
        <w:rPr>
          <w:rFonts w:cs="Arial"/>
        </w:rPr>
        <w:t xml:space="preserve"> el número de envases no está limitado, y a pesar de que el sistema alerta de que se está prescribiendo una cantidad elevada, no i</w:t>
      </w:r>
      <w:r w:rsidRPr="00A46CFD">
        <w:rPr>
          <w:rFonts w:cs="Arial"/>
        </w:rPr>
        <w:t>m</w:t>
      </w:r>
      <w:r w:rsidRPr="00A46CFD">
        <w:rPr>
          <w:rFonts w:cs="Arial"/>
        </w:rPr>
        <w:t xml:space="preserve">pide que se lleve a cabo la prescripción. </w:t>
      </w:r>
    </w:p>
    <w:p w:rsidR="00C9781F" w:rsidRPr="00A46CFD"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A46CFD">
        <w:rPr>
          <w:rFonts w:cs="Arial"/>
        </w:rPr>
        <w:t xml:space="preserve">La hoja de tratamiento que el personal facultativo </w:t>
      </w:r>
      <w:r w:rsidR="00A217FD">
        <w:rPr>
          <w:rFonts w:cs="Arial"/>
        </w:rPr>
        <w:t>deb</w:t>
      </w:r>
      <w:r w:rsidRPr="00A46CFD">
        <w:rPr>
          <w:rFonts w:cs="Arial"/>
        </w:rPr>
        <w:t>e imprimir al pre</w:t>
      </w:r>
      <w:r w:rsidRPr="00A46CFD">
        <w:rPr>
          <w:rFonts w:cs="Arial"/>
        </w:rPr>
        <w:t>s</w:t>
      </w:r>
      <w:r w:rsidRPr="00A46CFD">
        <w:rPr>
          <w:rFonts w:cs="Arial"/>
        </w:rPr>
        <w:t xml:space="preserve">cribir un medicamento/producto no contiene información sobre el coste de los mismos ni sobre los plazos de </w:t>
      </w:r>
      <w:r w:rsidR="00A217FD">
        <w:rPr>
          <w:rFonts w:cs="Arial"/>
        </w:rPr>
        <w:t xml:space="preserve">la primera </w:t>
      </w:r>
      <w:r w:rsidRPr="00A46CFD">
        <w:rPr>
          <w:rFonts w:cs="Arial"/>
        </w:rPr>
        <w:t>dispensación.</w:t>
      </w:r>
    </w:p>
    <w:p w:rsidR="00C9781F" w:rsidRPr="00A46CFD"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A46CFD">
        <w:rPr>
          <w:rFonts w:cs="Arial"/>
        </w:rPr>
        <w:t>No constan los certificados de capacitación profesional del personal facu</w:t>
      </w:r>
      <w:r w:rsidRPr="00A46CFD">
        <w:rPr>
          <w:rFonts w:cs="Arial"/>
        </w:rPr>
        <w:t>l</w:t>
      </w:r>
      <w:r w:rsidRPr="00A46CFD">
        <w:rPr>
          <w:rFonts w:cs="Arial"/>
        </w:rPr>
        <w:t>tativo jubilado que dispone de talonarios para prescribir a través de recetas en papel, contrariamente a lo establecido en la normativa. Además, no se controla si los pacientes a los cuales este personal prescribe, son ellos mismos o sus f</w:t>
      </w:r>
      <w:r w:rsidRPr="00A46CFD">
        <w:rPr>
          <w:rFonts w:cs="Arial"/>
        </w:rPr>
        <w:t>a</w:t>
      </w:r>
      <w:r w:rsidRPr="00A46CFD">
        <w:rPr>
          <w:rFonts w:cs="Arial"/>
        </w:rPr>
        <w:t>miliares convivientes, siendo estas las únicas posibilidades contempladas en la normativa.</w:t>
      </w:r>
    </w:p>
    <w:p w:rsidR="00C9781F" w:rsidRPr="00A46CFD"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A46CFD">
        <w:rPr>
          <w:rFonts w:cs="Arial"/>
        </w:rPr>
        <w:t>Hemos verificado que en 18 recetas en papel</w:t>
      </w:r>
      <w:r w:rsidR="00A217FD">
        <w:rPr>
          <w:rFonts w:cs="Arial"/>
        </w:rPr>
        <w:t xml:space="preserve"> hechas a mano</w:t>
      </w:r>
      <w:r w:rsidRPr="00A46CFD">
        <w:rPr>
          <w:rFonts w:cs="Arial"/>
        </w:rPr>
        <w:t xml:space="preserve"> (uno por cie</w:t>
      </w:r>
      <w:r w:rsidRPr="00A46CFD">
        <w:rPr>
          <w:rFonts w:cs="Arial"/>
        </w:rPr>
        <w:t>n</w:t>
      </w:r>
      <w:r w:rsidRPr="00A46CFD">
        <w:rPr>
          <w:rFonts w:cs="Arial"/>
        </w:rPr>
        <w:t xml:space="preserve">to del total de recetas analizadas) el porcentaje de aportación del paciente no se </w:t>
      </w:r>
      <w:r w:rsidRPr="00A46CFD">
        <w:rPr>
          <w:rFonts w:cs="Arial"/>
        </w:rPr>
        <w:lastRenderedPageBreak/>
        <w:t>corresponde con el que consta en LAMIA; el paciente ha aportado en 14 recetas más de lo que le correspondía, y en las cuatro restantes, un importe menor.</w:t>
      </w:r>
    </w:p>
    <w:p w:rsidR="00C9781F" w:rsidRPr="00A46CFD"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A46CFD">
        <w:rPr>
          <w:rFonts w:cs="Arial"/>
        </w:rPr>
        <w:t xml:space="preserve">Las dispensaciones procedentes de recetas en papel </w:t>
      </w:r>
      <w:r w:rsidR="00A217FD">
        <w:rPr>
          <w:rFonts w:cs="Arial"/>
        </w:rPr>
        <w:t xml:space="preserve">hechas mano </w:t>
      </w:r>
      <w:r w:rsidRPr="00A46CFD">
        <w:rPr>
          <w:rFonts w:cs="Arial"/>
        </w:rPr>
        <w:t>no con</w:t>
      </w:r>
      <w:r w:rsidRPr="00A46CFD">
        <w:rPr>
          <w:rFonts w:cs="Arial"/>
        </w:rPr>
        <w:t>s</w:t>
      </w:r>
      <w:r w:rsidRPr="00A46CFD">
        <w:rPr>
          <w:rFonts w:cs="Arial"/>
        </w:rPr>
        <w:t xml:space="preserve">tan en LAMIA, ni en la historia clínica del paciente, ni computan para el límite establecido para el copago, a no ser que el paciente acuda al Servicio de </w:t>
      </w:r>
      <w:r w:rsidR="00A217FD">
        <w:rPr>
          <w:rFonts w:cs="Arial"/>
        </w:rPr>
        <w:t>Ge</w:t>
      </w:r>
      <w:r w:rsidR="00A217FD">
        <w:rPr>
          <w:rFonts w:cs="Arial"/>
        </w:rPr>
        <w:t>s</w:t>
      </w:r>
      <w:r w:rsidR="00A217FD">
        <w:rPr>
          <w:rFonts w:cs="Arial"/>
        </w:rPr>
        <w:t>tión de la Prestación Farmacéutica</w:t>
      </w:r>
      <w:r w:rsidRPr="00A46CFD">
        <w:rPr>
          <w:rFonts w:cs="Arial"/>
        </w:rPr>
        <w:t xml:space="preserve"> para que se tenga en cuenta el importe c</w:t>
      </w:r>
      <w:r w:rsidRPr="00A46CFD">
        <w:rPr>
          <w:rFonts w:cs="Arial"/>
        </w:rPr>
        <w:t>o</w:t>
      </w:r>
      <w:r w:rsidRPr="00A46CFD">
        <w:rPr>
          <w:rFonts w:cs="Arial"/>
        </w:rPr>
        <w:t>rrespondiente.</w:t>
      </w:r>
    </w:p>
    <w:p w:rsidR="00C9781F" w:rsidRPr="00A46CFD"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Las recetas en papel solo son revisadas en los casos señalados en la de</w:t>
      </w:r>
      <w:r>
        <w:rPr>
          <w:rFonts w:cs="Arial"/>
        </w:rPr>
        <w:t>s</w:t>
      </w:r>
      <w:r>
        <w:rPr>
          <w:rFonts w:cs="Arial"/>
        </w:rPr>
        <w:t>cripción del procedimiento, sin que se deje constancia de los controles realiz</w:t>
      </w:r>
      <w:r>
        <w:rPr>
          <w:rFonts w:cs="Arial"/>
        </w:rPr>
        <w:t>a</w:t>
      </w:r>
      <w:r>
        <w:rPr>
          <w:rFonts w:cs="Arial"/>
        </w:rPr>
        <w:t>dos</w:t>
      </w:r>
      <w:r w:rsidRPr="00A46CFD">
        <w:rPr>
          <w:rFonts w:cs="Arial"/>
        </w:rPr>
        <w:t>.</w:t>
      </w:r>
    </w:p>
    <w:p w:rsidR="00C9781F" w:rsidRPr="00A46CFD" w:rsidRDefault="00C9781F" w:rsidP="00C9781F">
      <w:pPr>
        <w:keepNext/>
        <w:spacing w:before="240" w:after="120"/>
        <w:ind w:firstLine="0"/>
        <w:rPr>
          <w:rFonts w:ascii="Arial" w:hAnsi="Arial"/>
          <w:i/>
          <w:iCs/>
          <w:color w:val="000000"/>
          <w:spacing w:val="10"/>
          <w:kern w:val="28"/>
          <w:sz w:val="25"/>
          <w:szCs w:val="26"/>
        </w:rPr>
      </w:pPr>
      <w:r w:rsidRPr="00A46CFD">
        <w:rPr>
          <w:rFonts w:ascii="Arial" w:hAnsi="Arial"/>
          <w:i/>
          <w:iCs/>
          <w:color w:val="000000"/>
          <w:spacing w:val="10"/>
          <w:kern w:val="28"/>
          <w:sz w:val="25"/>
          <w:szCs w:val="26"/>
        </w:rPr>
        <w:t>Visado</w:t>
      </w:r>
    </w:p>
    <w:p w:rsidR="00C9781F" w:rsidRPr="00A46CFD"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A46CFD">
        <w:rPr>
          <w:rFonts w:cs="Arial"/>
        </w:rPr>
        <w:t xml:space="preserve">En la fase de visado, el personal facultativo prescriptor no realiza </w:t>
      </w:r>
      <w:r w:rsidR="00A217FD">
        <w:rPr>
          <w:rFonts w:cs="Arial"/>
        </w:rPr>
        <w:t xml:space="preserve">en todos los casos </w:t>
      </w:r>
      <w:r w:rsidRPr="00A46CFD">
        <w:rPr>
          <w:rFonts w:cs="Arial"/>
        </w:rPr>
        <w:t xml:space="preserve">los informes clínicos que justifican sus solicitudes, </w:t>
      </w:r>
      <w:r>
        <w:rPr>
          <w:rFonts w:cs="Arial"/>
        </w:rPr>
        <w:t>contrariamente a lo establecido en</w:t>
      </w:r>
      <w:r w:rsidRPr="00A46CFD">
        <w:rPr>
          <w:rFonts w:cs="Arial"/>
        </w:rPr>
        <w:t xml:space="preserve"> el manual de LAMIA; este hecho supone que el personal a</w:t>
      </w:r>
      <w:r w:rsidRPr="00A46CFD">
        <w:rPr>
          <w:rFonts w:cs="Arial"/>
        </w:rPr>
        <w:t>d</w:t>
      </w:r>
      <w:r w:rsidRPr="00A46CFD">
        <w:rPr>
          <w:rFonts w:cs="Arial"/>
        </w:rPr>
        <w:t>ministrativo se ve</w:t>
      </w:r>
      <w:r w:rsidR="00A217FD">
        <w:rPr>
          <w:rFonts w:cs="Arial"/>
        </w:rPr>
        <w:t>a</w:t>
      </w:r>
      <w:r w:rsidRPr="00A46CFD">
        <w:rPr>
          <w:rFonts w:cs="Arial"/>
        </w:rPr>
        <w:t xml:space="preserve"> obligado a consultar </w:t>
      </w:r>
      <w:r w:rsidR="00A217FD">
        <w:rPr>
          <w:rFonts w:cs="Arial"/>
        </w:rPr>
        <w:t xml:space="preserve">en estas ocasiones </w:t>
      </w:r>
      <w:r w:rsidRPr="00A46CFD">
        <w:rPr>
          <w:rFonts w:cs="Arial"/>
        </w:rPr>
        <w:t>la historia clínica de los pacientes.</w:t>
      </w:r>
    </w:p>
    <w:p w:rsidR="00C9781F" w:rsidRPr="00A46CFD" w:rsidRDefault="00C9781F" w:rsidP="00C9781F">
      <w:pPr>
        <w:keepNext/>
        <w:spacing w:before="240" w:after="120"/>
        <w:ind w:firstLine="0"/>
        <w:rPr>
          <w:rFonts w:ascii="Arial" w:hAnsi="Arial"/>
          <w:i/>
          <w:iCs/>
          <w:color w:val="000000"/>
          <w:spacing w:val="10"/>
          <w:kern w:val="28"/>
          <w:sz w:val="25"/>
          <w:szCs w:val="26"/>
        </w:rPr>
      </w:pPr>
      <w:r w:rsidRPr="00A46CFD">
        <w:rPr>
          <w:rFonts w:ascii="Arial" w:hAnsi="Arial"/>
          <w:i/>
          <w:iCs/>
          <w:color w:val="000000"/>
          <w:spacing w:val="10"/>
          <w:kern w:val="28"/>
          <w:sz w:val="25"/>
          <w:szCs w:val="26"/>
        </w:rPr>
        <w:t>Dispensación</w:t>
      </w:r>
    </w:p>
    <w:p w:rsidR="00C9781F" w:rsidRPr="00A46CFD"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rsidRPr="00A46CFD">
        <w:rPr>
          <w:rFonts w:cs="Arial"/>
        </w:rPr>
        <w:t>Si bien la normativa contempla expresamente que las oficinas de farmacia para dispensar un medicamento deben leer el código de barras de la tarjeta s</w:t>
      </w:r>
      <w:r w:rsidRPr="00A46CFD">
        <w:rPr>
          <w:rFonts w:cs="Arial"/>
        </w:rPr>
        <w:t>a</w:t>
      </w:r>
      <w:r w:rsidRPr="00A46CFD">
        <w:rPr>
          <w:rFonts w:cs="Arial"/>
        </w:rPr>
        <w:t>nitaria de cada paciente, hemos constatado que, en el periodo analizado, en la mayoría de las ocasiones, se accedió a los datos introduciendo manualmente el CIPNA tal y como se muestra a continuación:</w:t>
      </w:r>
    </w:p>
    <w:tbl>
      <w:tblPr>
        <w:tblW w:w="8729"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822"/>
        <w:gridCol w:w="641"/>
        <w:gridCol w:w="641"/>
        <w:gridCol w:w="641"/>
        <w:gridCol w:w="641"/>
        <w:gridCol w:w="641"/>
        <w:gridCol w:w="702"/>
      </w:tblGrid>
      <w:tr w:rsidR="00C9781F" w:rsidRPr="007F5274" w:rsidTr="00B53A0A">
        <w:trPr>
          <w:trHeight w:val="255"/>
          <w:jc w:val="center"/>
        </w:trPr>
        <w:tc>
          <w:tcPr>
            <w:tcW w:w="4822" w:type="dxa"/>
            <w:shd w:val="clear" w:color="auto" w:fill="B8CCE4" w:themeFill="accent1" w:themeFillTint="66"/>
            <w:noWrap/>
            <w:vAlign w:val="center"/>
          </w:tcPr>
          <w:p w:rsidR="00C9781F" w:rsidRPr="007F5274" w:rsidRDefault="00C9781F" w:rsidP="00B53A0A">
            <w:pPr>
              <w:spacing w:after="0"/>
              <w:ind w:firstLine="0"/>
              <w:jc w:val="left"/>
              <w:rPr>
                <w:rFonts w:ascii="Arial" w:hAnsi="Arial" w:cs="Arial"/>
                <w:color w:val="000000"/>
                <w:sz w:val="18"/>
                <w:szCs w:val="18"/>
                <w:lang w:val="es-ES" w:eastAsia="es-ES"/>
              </w:rPr>
            </w:pPr>
          </w:p>
        </w:tc>
        <w:tc>
          <w:tcPr>
            <w:tcW w:w="641" w:type="dxa"/>
            <w:shd w:val="clear" w:color="auto" w:fill="B8CCE4" w:themeFill="accent1" w:themeFillTint="66"/>
            <w:noWrap/>
            <w:vAlign w:val="center"/>
            <w:hideMark/>
          </w:tcPr>
          <w:p w:rsidR="00C9781F" w:rsidRPr="007F5274" w:rsidRDefault="00C9781F" w:rsidP="00B53A0A">
            <w:pPr>
              <w:spacing w:after="0"/>
              <w:ind w:firstLine="0"/>
              <w:jc w:val="right"/>
              <w:rPr>
                <w:rFonts w:ascii="Arial" w:hAnsi="Arial" w:cs="Arial"/>
                <w:bCs/>
                <w:color w:val="000000"/>
                <w:sz w:val="18"/>
                <w:szCs w:val="18"/>
                <w:lang w:val="es-ES" w:eastAsia="es-ES"/>
              </w:rPr>
            </w:pPr>
            <w:r w:rsidRPr="007F5274">
              <w:rPr>
                <w:rFonts w:ascii="Arial" w:hAnsi="Arial" w:cs="Arial"/>
                <w:bCs/>
                <w:color w:val="000000"/>
                <w:sz w:val="18"/>
                <w:szCs w:val="18"/>
                <w:lang w:val="es-ES" w:eastAsia="es-ES"/>
              </w:rPr>
              <w:t>2013</w:t>
            </w:r>
          </w:p>
        </w:tc>
        <w:tc>
          <w:tcPr>
            <w:tcW w:w="641" w:type="dxa"/>
            <w:shd w:val="clear" w:color="auto" w:fill="B8CCE4" w:themeFill="accent1" w:themeFillTint="66"/>
            <w:noWrap/>
            <w:vAlign w:val="center"/>
            <w:hideMark/>
          </w:tcPr>
          <w:p w:rsidR="00C9781F" w:rsidRPr="007F5274" w:rsidRDefault="00C9781F" w:rsidP="00B53A0A">
            <w:pPr>
              <w:spacing w:after="0"/>
              <w:ind w:firstLine="0"/>
              <w:jc w:val="right"/>
              <w:rPr>
                <w:rFonts w:ascii="Arial" w:hAnsi="Arial" w:cs="Arial"/>
                <w:bCs/>
                <w:color w:val="000000"/>
                <w:sz w:val="18"/>
                <w:szCs w:val="18"/>
                <w:lang w:val="es-ES" w:eastAsia="es-ES"/>
              </w:rPr>
            </w:pPr>
            <w:r w:rsidRPr="007F5274">
              <w:rPr>
                <w:rFonts w:ascii="Arial" w:hAnsi="Arial" w:cs="Arial"/>
                <w:bCs/>
                <w:color w:val="000000"/>
                <w:sz w:val="18"/>
                <w:szCs w:val="18"/>
                <w:lang w:val="es-ES" w:eastAsia="es-ES"/>
              </w:rPr>
              <w:t>2014</w:t>
            </w:r>
          </w:p>
        </w:tc>
        <w:tc>
          <w:tcPr>
            <w:tcW w:w="641" w:type="dxa"/>
            <w:shd w:val="clear" w:color="auto" w:fill="B8CCE4" w:themeFill="accent1" w:themeFillTint="66"/>
            <w:noWrap/>
            <w:vAlign w:val="center"/>
            <w:hideMark/>
          </w:tcPr>
          <w:p w:rsidR="00C9781F" w:rsidRPr="007F5274" w:rsidRDefault="00C9781F" w:rsidP="00B53A0A">
            <w:pPr>
              <w:spacing w:after="0"/>
              <w:ind w:firstLine="0"/>
              <w:jc w:val="right"/>
              <w:rPr>
                <w:rFonts w:ascii="Arial" w:hAnsi="Arial" w:cs="Arial"/>
                <w:bCs/>
                <w:color w:val="000000"/>
                <w:sz w:val="18"/>
                <w:szCs w:val="18"/>
                <w:lang w:val="es-ES" w:eastAsia="es-ES"/>
              </w:rPr>
            </w:pPr>
            <w:r w:rsidRPr="007F5274">
              <w:rPr>
                <w:rFonts w:ascii="Arial" w:hAnsi="Arial" w:cs="Arial"/>
                <w:bCs/>
                <w:color w:val="000000"/>
                <w:sz w:val="18"/>
                <w:szCs w:val="18"/>
                <w:lang w:val="es-ES" w:eastAsia="es-ES"/>
              </w:rPr>
              <w:t>2015</w:t>
            </w:r>
          </w:p>
        </w:tc>
        <w:tc>
          <w:tcPr>
            <w:tcW w:w="641" w:type="dxa"/>
            <w:shd w:val="clear" w:color="auto" w:fill="B8CCE4" w:themeFill="accent1" w:themeFillTint="66"/>
            <w:noWrap/>
            <w:vAlign w:val="center"/>
            <w:hideMark/>
          </w:tcPr>
          <w:p w:rsidR="00C9781F" w:rsidRPr="007F5274" w:rsidRDefault="00C9781F" w:rsidP="00B53A0A">
            <w:pPr>
              <w:spacing w:after="0"/>
              <w:ind w:firstLine="0"/>
              <w:jc w:val="right"/>
              <w:rPr>
                <w:rFonts w:ascii="Arial" w:hAnsi="Arial" w:cs="Arial"/>
                <w:bCs/>
                <w:color w:val="000000"/>
                <w:sz w:val="18"/>
                <w:szCs w:val="18"/>
                <w:lang w:val="es-ES" w:eastAsia="es-ES"/>
              </w:rPr>
            </w:pPr>
            <w:r w:rsidRPr="007F5274">
              <w:rPr>
                <w:rFonts w:ascii="Arial" w:hAnsi="Arial" w:cs="Arial"/>
                <w:bCs/>
                <w:color w:val="000000"/>
                <w:sz w:val="18"/>
                <w:szCs w:val="18"/>
                <w:lang w:val="es-ES" w:eastAsia="es-ES"/>
              </w:rPr>
              <w:t>2016</w:t>
            </w:r>
          </w:p>
        </w:tc>
        <w:tc>
          <w:tcPr>
            <w:tcW w:w="641" w:type="dxa"/>
            <w:shd w:val="clear" w:color="auto" w:fill="B8CCE4" w:themeFill="accent1" w:themeFillTint="66"/>
            <w:noWrap/>
            <w:vAlign w:val="center"/>
            <w:hideMark/>
          </w:tcPr>
          <w:p w:rsidR="00C9781F" w:rsidRPr="007F5274" w:rsidRDefault="00C9781F" w:rsidP="00B53A0A">
            <w:pPr>
              <w:spacing w:after="0"/>
              <w:ind w:firstLine="0"/>
              <w:jc w:val="right"/>
              <w:rPr>
                <w:rFonts w:ascii="Arial" w:hAnsi="Arial" w:cs="Arial"/>
                <w:bCs/>
                <w:color w:val="000000"/>
                <w:sz w:val="18"/>
                <w:szCs w:val="18"/>
                <w:lang w:val="es-ES" w:eastAsia="es-ES"/>
              </w:rPr>
            </w:pPr>
            <w:r w:rsidRPr="007F5274">
              <w:rPr>
                <w:rFonts w:ascii="Arial" w:hAnsi="Arial" w:cs="Arial"/>
                <w:bCs/>
                <w:color w:val="000000"/>
                <w:sz w:val="18"/>
                <w:szCs w:val="18"/>
                <w:lang w:val="es-ES" w:eastAsia="es-ES"/>
              </w:rPr>
              <w:t>2017</w:t>
            </w:r>
          </w:p>
        </w:tc>
        <w:tc>
          <w:tcPr>
            <w:tcW w:w="702" w:type="dxa"/>
            <w:shd w:val="clear" w:color="auto" w:fill="B8CCE4" w:themeFill="accent1" w:themeFillTint="66"/>
            <w:noWrap/>
            <w:vAlign w:val="center"/>
            <w:hideMark/>
          </w:tcPr>
          <w:p w:rsidR="00C9781F" w:rsidRPr="007F5274" w:rsidRDefault="00C9781F" w:rsidP="00B53A0A">
            <w:pPr>
              <w:spacing w:after="0"/>
              <w:ind w:firstLine="0"/>
              <w:jc w:val="right"/>
              <w:rPr>
                <w:rFonts w:ascii="Arial" w:hAnsi="Arial" w:cs="Arial"/>
                <w:bCs/>
                <w:color w:val="000000"/>
                <w:sz w:val="18"/>
                <w:szCs w:val="18"/>
                <w:lang w:val="es-ES" w:eastAsia="es-ES"/>
              </w:rPr>
            </w:pPr>
            <w:r w:rsidRPr="007F5274">
              <w:rPr>
                <w:rFonts w:ascii="Arial" w:hAnsi="Arial" w:cs="Arial"/>
                <w:bCs/>
                <w:color w:val="000000"/>
                <w:sz w:val="18"/>
                <w:szCs w:val="18"/>
                <w:lang w:val="es-ES" w:eastAsia="es-ES"/>
              </w:rPr>
              <w:t>2018</w:t>
            </w:r>
          </w:p>
        </w:tc>
      </w:tr>
      <w:tr w:rsidR="00C9781F" w:rsidRPr="007F5274" w:rsidTr="00B53A0A">
        <w:trPr>
          <w:trHeight w:val="284"/>
          <w:jc w:val="center"/>
        </w:trPr>
        <w:tc>
          <w:tcPr>
            <w:tcW w:w="4822" w:type="dxa"/>
            <w:shd w:val="clear" w:color="auto" w:fill="auto"/>
            <w:vAlign w:val="center"/>
            <w:hideMark/>
          </w:tcPr>
          <w:p w:rsidR="00C9781F" w:rsidRPr="007F5274" w:rsidRDefault="00C9781F" w:rsidP="00B53A0A">
            <w:pPr>
              <w:spacing w:after="0"/>
              <w:ind w:firstLine="0"/>
              <w:jc w:val="left"/>
              <w:rPr>
                <w:rFonts w:ascii="Arial Narrow" w:hAnsi="Arial Narrow"/>
                <w:color w:val="000000"/>
                <w:lang w:val="es-ES" w:eastAsia="es-ES"/>
              </w:rPr>
            </w:pPr>
            <w:r w:rsidRPr="007F5274">
              <w:rPr>
                <w:rFonts w:ascii="Arial Narrow" w:hAnsi="Arial Narrow"/>
                <w:color w:val="000000"/>
                <w:lang w:val="es-ES" w:eastAsia="es-ES"/>
              </w:rPr>
              <w:t>% Acceso manual introducción CIPNA</w:t>
            </w:r>
          </w:p>
        </w:tc>
        <w:tc>
          <w:tcPr>
            <w:tcW w:w="641" w:type="dxa"/>
            <w:shd w:val="clear" w:color="auto" w:fill="auto"/>
            <w:noWrap/>
            <w:vAlign w:val="center"/>
            <w:hideMark/>
          </w:tcPr>
          <w:p w:rsidR="00C9781F" w:rsidRPr="007F5274" w:rsidRDefault="00C9781F" w:rsidP="00B53A0A">
            <w:pPr>
              <w:spacing w:after="0"/>
              <w:ind w:firstLine="0"/>
              <w:jc w:val="right"/>
              <w:rPr>
                <w:rFonts w:ascii="Arial Narrow" w:hAnsi="Arial Narrow"/>
                <w:color w:val="000000"/>
                <w:lang w:val="es-ES" w:eastAsia="es-ES"/>
              </w:rPr>
            </w:pPr>
            <w:r w:rsidRPr="007F5274">
              <w:rPr>
                <w:rFonts w:ascii="Arial Narrow" w:hAnsi="Arial Narrow"/>
                <w:color w:val="000000"/>
                <w:lang w:val="es-ES" w:eastAsia="es-ES"/>
              </w:rPr>
              <w:t>72</w:t>
            </w:r>
          </w:p>
        </w:tc>
        <w:tc>
          <w:tcPr>
            <w:tcW w:w="641" w:type="dxa"/>
            <w:shd w:val="clear" w:color="auto" w:fill="auto"/>
            <w:noWrap/>
            <w:vAlign w:val="center"/>
            <w:hideMark/>
          </w:tcPr>
          <w:p w:rsidR="00C9781F" w:rsidRPr="007F5274" w:rsidRDefault="00C9781F" w:rsidP="00B53A0A">
            <w:pPr>
              <w:spacing w:after="0"/>
              <w:ind w:firstLine="0"/>
              <w:jc w:val="right"/>
              <w:rPr>
                <w:rFonts w:ascii="Arial Narrow" w:hAnsi="Arial Narrow"/>
                <w:color w:val="000000"/>
                <w:lang w:val="es-ES" w:eastAsia="es-ES"/>
              </w:rPr>
            </w:pPr>
            <w:r w:rsidRPr="007F5274">
              <w:rPr>
                <w:rFonts w:ascii="Arial Narrow" w:hAnsi="Arial Narrow"/>
                <w:color w:val="000000"/>
                <w:lang w:val="es-ES" w:eastAsia="es-ES"/>
              </w:rPr>
              <w:t>79</w:t>
            </w:r>
          </w:p>
        </w:tc>
        <w:tc>
          <w:tcPr>
            <w:tcW w:w="641" w:type="dxa"/>
            <w:shd w:val="clear" w:color="auto" w:fill="auto"/>
            <w:noWrap/>
            <w:vAlign w:val="center"/>
            <w:hideMark/>
          </w:tcPr>
          <w:p w:rsidR="00C9781F" w:rsidRPr="007F5274" w:rsidRDefault="00C9781F" w:rsidP="00B53A0A">
            <w:pPr>
              <w:spacing w:after="0"/>
              <w:ind w:firstLine="0"/>
              <w:jc w:val="right"/>
              <w:rPr>
                <w:rFonts w:ascii="Arial Narrow" w:hAnsi="Arial Narrow"/>
                <w:color w:val="000000"/>
                <w:lang w:val="es-ES" w:eastAsia="es-ES"/>
              </w:rPr>
            </w:pPr>
            <w:r w:rsidRPr="007F5274">
              <w:rPr>
                <w:rFonts w:ascii="Arial Narrow" w:hAnsi="Arial Narrow"/>
                <w:color w:val="000000"/>
                <w:lang w:val="es-ES" w:eastAsia="es-ES"/>
              </w:rPr>
              <w:t>84</w:t>
            </w:r>
          </w:p>
        </w:tc>
        <w:tc>
          <w:tcPr>
            <w:tcW w:w="641" w:type="dxa"/>
            <w:shd w:val="clear" w:color="auto" w:fill="auto"/>
            <w:noWrap/>
            <w:vAlign w:val="center"/>
            <w:hideMark/>
          </w:tcPr>
          <w:p w:rsidR="00C9781F" w:rsidRPr="007F5274" w:rsidRDefault="00C9781F" w:rsidP="00B53A0A">
            <w:pPr>
              <w:spacing w:after="0"/>
              <w:ind w:firstLine="0"/>
              <w:jc w:val="right"/>
              <w:rPr>
                <w:rFonts w:ascii="Arial Narrow" w:hAnsi="Arial Narrow"/>
                <w:color w:val="000000"/>
                <w:lang w:val="es-ES" w:eastAsia="es-ES"/>
              </w:rPr>
            </w:pPr>
            <w:r w:rsidRPr="007F5274">
              <w:rPr>
                <w:rFonts w:ascii="Arial Narrow" w:hAnsi="Arial Narrow"/>
                <w:color w:val="000000"/>
                <w:lang w:val="es-ES" w:eastAsia="es-ES"/>
              </w:rPr>
              <w:t>88</w:t>
            </w:r>
          </w:p>
        </w:tc>
        <w:tc>
          <w:tcPr>
            <w:tcW w:w="641" w:type="dxa"/>
            <w:shd w:val="clear" w:color="auto" w:fill="auto"/>
            <w:noWrap/>
            <w:vAlign w:val="center"/>
            <w:hideMark/>
          </w:tcPr>
          <w:p w:rsidR="00C9781F" w:rsidRPr="007F5274" w:rsidRDefault="00C9781F" w:rsidP="00B53A0A">
            <w:pPr>
              <w:spacing w:after="0"/>
              <w:ind w:firstLine="0"/>
              <w:jc w:val="right"/>
              <w:rPr>
                <w:rFonts w:ascii="Arial Narrow" w:hAnsi="Arial Narrow"/>
                <w:color w:val="000000"/>
                <w:lang w:val="es-ES" w:eastAsia="es-ES"/>
              </w:rPr>
            </w:pPr>
            <w:r w:rsidRPr="007F5274">
              <w:rPr>
                <w:rFonts w:ascii="Arial Narrow" w:hAnsi="Arial Narrow"/>
                <w:color w:val="000000"/>
                <w:lang w:val="es-ES" w:eastAsia="es-ES"/>
              </w:rPr>
              <w:t>87</w:t>
            </w:r>
          </w:p>
        </w:tc>
        <w:tc>
          <w:tcPr>
            <w:tcW w:w="702" w:type="dxa"/>
            <w:shd w:val="clear" w:color="auto" w:fill="auto"/>
            <w:noWrap/>
            <w:vAlign w:val="center"/>
            <w:hideMark/>
          </w:tcPr>
          <w:p w:rsidR="00C9781F" w:rsidRPr="007F5274" w:rsidRDefault="00C9781F" w:rsidP="00B53A0A">
            <w:pPr>
              <w:spacing w:after="0"/>
              <w:ind w:firstLine="0"/>
              <w:jc w:val="right"/>
              <w:rPr>
                <w:rFonts w:ascii="Arial Narrow" w:hAnsi="Arial Narrow"/>
                <w:color w:val="000000"/>
                <w:lang w:val="es-ES" w:eastAsia="es-ES"/>
              </w:rPr>
            </w:pPr>
            <w:r w:rsidRPr="007F5274">
              <w:rPr>
                <w:rFonts w:ascii="Arial Narrow" w:hAnsi="Arial Narrow"/>
                <w:color w:val="000000"/>
                <w:lang w:val="es-ES" w:eastAsia="es-ES"/>
              </w:rPr>
              <w:t>85</w:t>
            </w:r>
          </w:p>
        </w:tc>
      </w:tr>
      <w:tr w:rsidR="00C9781F" w:rsidRPr="007F5274" w:rsidTr="00B53A0A">
        <w:trPr>
          <w:trHeight w:val="284"/>
          <w:jc w:val="center"/>
        </w:trPr>
        <w:tc>
          <w:tcPr>
            <w:tcW w:w="4822" w:type="dxa"/>
            <w:shd w:val="clear" w:color="auto" w:fill="auto"/>
            <w:vAlign w:val="center"/>
            <w:hideMark/>
          </w:tcPr>
          <w:p w:rsidR="00C9781F" w:rsidRPr="007F5274" w:rsidRDefault="00C9781F" w:rsidP="00B53A0A">
            <w:pPr>
              <w:spacing w:after="0"/>
              <w:ind w:firstLine="0"/>
              <w:jc w:val="left"/>
              <w:rPr>
                <w:rFonts w:ascii="Arial Narrow" w:hAnsi="Arial Narrow"/>
                <w:color w:val="000000"/>
                <w:lang w:val="es-ES" w:eastAsia="es-ES"/>
              </w:rPr>
            </w:pPr>
            <w:r w:rsidRPr="007F5274">
              <w:rPr>
                <w:rFonts w:ascii="Arial Narrow" w:hAnsi="Arial Narrow"/>
                <w:color w:val="000000"/>
                <w:lang w:val="es-ES" w:eastAsia="es-ES"/>
              </w:rPr>
              <w:t>% Acceso lectura tarjeta sanitaria</w:t>
            </w:r>
          </w:p>
        </w:tc>
        <w:tc>
          <w:tcPr>
            <w:tcW w:w="641" w:type="dxa"/>
            <w:shd w:val="clear" w:color="auto" w:fill="auto"/>
            <w:noWrap/>
            <w:vAlign w:val="center"/>
            <w:hideMark/>
          </w:tcPr>
          <w:p w:rsidR="00C9781F" w:rsidRPr="007F5274" w:rsidRDefault="00C9781F" w:rsidP="00B53A0A">
            <w:pPr>
              <w:spacing w:after="0"/>
              <w:ind w:firstLine="0"/>
              <w:jc w:val="right"/>
              <w:rPr>
                <w:rFonts w:ascii="Arial Narrow" w:hAnsi="Arial Narrow"/>
                <w:color w:val="000000"/>
                <w:lang w:val="es-ES" w:eastAsia="es-ES"/>
              </w:rPr>
            </w:pPr>
            <w:r w:rsidRPr="007F5274">
              <w:rPr>
                <w:rFonts w:ascii="Arial Narrow" w:hAnsi="Arial Narrow"/>
                <w:color w:val="000000"/>
                <w:lang w:val="es-ES" w:eastAsia="es-ES"/>
              </w:rPr>
              <w:t>28</w:t>
            </w:r>
          </w:p>
        </w:tc>
        <w:tc>
          <w:tcPr>
            <w:tcW w:w="641" w:type="dxa"/>
            <w:shd w:val="clear" w:color="auto" w:fill="auto"/>
            <w:noWrap/>
            <w:vAlign w:val="center"/>
            <w:hideMark/>
          </w:tcPr>
          <w:p w:rsidR="00C9781F" w:rsidRPr="007F5274" w:rsidRDefault="00C9781F" w:rsidP="00B53A0A">
            <w:pPr>
              <w:spacing w:after="0"/>
              <w:ind w:firstLine="0"/>
              <w:jc w:val="right"/>
              <w:rPr>
                <w:rFonts w:ascii="Arial Narrow" w:hAnsi="Arial Narrow"/>
                <w:color w:val="000000"/>
                <w:lang w:val="es-ES" w:eastAsia="es-ES"/>
              </w:rPr>
            </w:pPr>
            <w:r w:rsidRPr="007F5274">
              <w:rPr>
                <w:rFonts w:ascii="Arial Narrow" w:hAnsi="Arial Narrow"/>
                <w:color w:val="000000"/>
                <w:lang w:val="es-ES" w:eastAsia="es-ES"/>
              </w:rPr>
              <w:t>21</w:t>
            </w:r>
          </w:p>
        </w:tc>
        <w:tc>
          <w:tcPr>
            <w:tcW w:w="641" w:type="dxa"/>
            <w:shd w:val="clear" w:color="auto" w:fill="auto"/>
            <w:noWrap/>
            <w:vAlign w:val="center"/>
            <w:hideMark/>
          </w:tcPr>
          <w:p w:rsidR="00C9781F" w:rsidRPr="007F5274" w:rsidRDefault="00C9781F" w:rsidP="00B53A0A">
            <w:pPr>
              <w:spacing w:after="0"/>
              <w:ind w:firstLine="0"/>
              <w:jc w:val="right"/>
              <w:rPr>
                <w:rFonts w:ascii="Arial Narrow" w:hAnsi="Arial Narrow"/>
                <w:color w:val="000000"/>
                <w:lang w:val="es-ES" w:eastAsia="es-ES"/>
              </w:rPr>
            </w:pPr>
            <w:r w:rsidRPr="007F5274">
              <w:rPr>
                <w:rFonts w:ascii="Arial Narrow" w:hAnsi="Arial Narrow"/>
                <w:color w:val="000000"/>
                <w:lang w:val="es-ES" w:eastAsia="es-ES"/>
              </w:rPr>
              <w:t>16</w:t>
            </w:r>
          </w:p>
        </w:tc>
        <w:tc>
          <w:tcPr>
            <w:tcW w:w="641" w:type="dxa"/>
            <w:shd w:val="clear" w:color="auto" w:fill="auto"/>
            <w:noWrap/>
            <w:vAlign w:val="center"/>
            <w:hideMark/>
          </w:tcPr>
          <w:p w:rsidR="00C9781F" w:rsidRPr="007F5274" w:rsidRDefault="00C9781F" w:rsidP="00B53A0A">
            <w:pPr>
              <w:spacing w:after="0"/>
              <w:ind w:firstLine="0"/>
              <w:jc w:val="right"/>
              <w:rPr>
                <w:rFonts w:ascii="Arial Narrow" w:hAnsi="Arial Narrow"/>
                <w:color w:val="000000"/>
                <w:lang w:val="es-ES" w:eastAsia="es-ES"/>
              </w:rPr>
            </w:pPr>
            <w:r w:rsidRPr="007F5274">
              <w:rPr>
                <w:rFonts w:ascii="Arial Narrow" w:hAnsi="Arial Narrow"/>
                <w:color w:val="000000"/>
                <w:lang w:val="es-ES" w:eastAsia="es-ES"/>
              </w:rPr>
              <w:t>12</w:t>
            </w:r>
          </w:p>
        </w:tc>
        <w:tc>
          <w:tcPr>
            <w:tcW w:w="641" w:type="dxa"/>
            <w:shd w:val="clear" w:color="auto" w:fill="auto"/>
            <w:noWrap/>
            <w:vAlign w:val="center"/>
            <w:hideMark/>
          </w:tcPr>
          <w:p w:rsidR="00C9781F" w:rsidRPr="007F5274" w:rsidRDefault="00C9781F" w:rsidP="00B53A0A">
            <w:pPr>
              <w:spacing w:after="0"/>
              <w:ind w:firstLine="0"/>
              <w:jc w:val="right"/>
              <w:rPr>
                <w:rFonts w:ascii="Arial Narrow" w:hAnsi="Arial Narrow"/>
                <w:color w:val="000000"/>
                <w:lang w:val="es-ES" w:eastAsia="es-ES"/>
              </w:rPr>
            </w:pPr>
            <w:r w:rsidRPr="007F5274">
              <w:rPr>
                <w:rFonts w:ascii="Arial Narrow" w:hAnsi="Arial Narrow"/>
                <w:color w:val="000000"/>
                <w:lang w:val="es-ES" w:eastAsia="es-ES"/>
              </w:rPr>
              <w:t>13</w:t>
            </w:r>
          </w:p>
        </w:tc>
        <w:tc>
          <w:tcPr>
            <w:tcW w:w="702" w:type="dxa"/>
            <w:shd w:val="clear" w:color="auto" w:fill="auto"/>
            <w:noWrap/>
            <w:vAlign w:val="center"/>
            <w:hideMark/>
          </w:tcPr>
          <w:p w:rsidR="00C9781F" w:rsidRPr="007F5274" w:rsidRDefault="00C9781F" w:rsidP="00B53A0A">
            <w:pPr>
              <w:spacing w:after="0"/>
              <w:ind w:firstLine="0"/>
              <w:jc w:val="right"/>
              <w:rPr>
                <w:rFonts w:ascii="Arial Narrow" w:hAnsi="Arial Narrow"/>
                <w:color w:val="000000"/>
                <w:lang w:val="es-ES" w:eastAsia="es-ES"/>
              </w:rPr>
            </w:pPr>
            <w:r w:rsidRPr="007F5274">
              <w:rPr>
                <w:rFonts w:ascii="Arial Narrow" w:hAnsi="Arial Narrow"/>
                <w:color w:val="000000"/>
                <w:lang w:val="es-ES" w:eastAsia="es-ES"/>
              </w:rPr>
              <w:t>15</w:t>
            </w:r>
          </w:p>
        </w:tc>
      </w:tr>
      <w:tr w:rsidR="00C9781F" w:rsidRPr="007F5274" w:rsidTr="00B53A0A">
        <w:trPr>
          <w:trHeight w:val="255"/>
          <w:jc w:val="center"/>
        </w:trPr>
        <w:tc>
          <w:tcPr>
            <w:tcW w:w="4822" w:type="dxa"/>
            <w:shd w:val="clear" w:color="auto" w:fill="B8CCE4" w:themeFill="accent1" w:themeFillTint="66"/>
            <w:vAlign w:val="center"/>
            <w:hideMark/>
          </w:tcPr>
          <w:p w:rsidR="00C9781F" w:rsidRPr="007F5274" w:rsidRDefault="00C9781F" w:rsidP="00B53A0A">
            <w:pPr>
              <w:spacing w:after="0"/>
              <w:ind w:firstLine="0"/>
              <w:jc w:val="left"/>
              <w:rPr>
                <w:rFonts w:ascii="Arial" w:hAnsi="Arial" w:cs="Arial"/>
                <w:color w:val="000000"/>
                <w:sz w:val="18"/>
                <w:szCs w:val="18"/>
                <w:lang w:val="es-ES" w:eastAsia="es-ES"/>
              </w:rPr>
            </w:pPr>
            <w:r w:rsidRPr="007F5274">
              <w:rPr>
                <w:rFonts w:ascii="Arial" w:hAnsi="Arial" w:cs="Arial"/>
                <w:color w:val="000000"/>
                <w:sz w:val="18"/>
                <w:szCs w:val="18"/>
                <w:lang w:val="es-ES" w:eastAsia="es-ES"/>
              </w:rPr>
              <w:t>Total</w:t>
            </w:r>
            <w:r>
              <w:rPr>
                <w:rFonts w:ascii="Arial" w:hAnsi="Arial" w:cs="Arial"/>
                <w:color w:val="000000"/>
                <w:sz w:val="18"/>
                <w:szCs w:val="18"/>
                <w:lang w:val="es-ES" w:eastAsia="es-ES"/>
              </w:rPr>
              <w:t xml:space="preserve"> </w:t>
            </w:r>
          </w:p>
        </w:tc>
        <w:tc>
          <w:tcPr>
            <w:tcW w:w="641" w:type="dxa"/>
            <w:shd w:val="clear" w:color="auto" w:fill="B8CCE4" w:themeFill="accent1" w:themeFillTint="66"/>
            <w:noWrap/>
            <w:vAlign w:val="center"/>
            <w:hideMark/>
          </w:tcPr>
          <w:p w:rsidR="00C9781F" w:rsidRPr="007F5274" w:rsidRDefault="00C9781F" w:rsidP="00B53A0A">
            <w:pPr>
              <w:spacing w:after="0"/>
              <w:ind w:firstLine="0"/>
              <w:jc w:val="right"/>
              <w:rPr>
                <w:rFonts w:ascii="Arial" w:hAnsi="Arial" w:cs="Arial"/>
                <w:color w:val="000000"/>
                <w:sz w:val="18"/>
                <w:szCs w:val="18"/>
                <w:lang w:val="es-ES" w:eastAsia="es-ES"/>
              </w:rPr>
            </w:pPr>
            <w:r w:rsidRPr="007F5274">
              <w:rPr>
                <w:rFonts w:ascii="Arial" w:hAnsi="Arial" w:cs="Arial"/>
                <w:color w:val="000000"/>
                <w:sz w:val="18"/>
                <w:szCs w:val="18"/>
                <w:lang w:val="es-ES" w:eastAsia="es-ES"/>
              </w:rPr>
              <w:t>100</w:t>
            </w:r>
          </w:p>
        </w:tc>
        <w:tc>
          <w:tcPr>
            <w:tcW w:w="641" w:type="dxa"/>
            <w:shd w:val="clear" w:color="auto" w:fill="B8CCE4" w:themeFill="accent1" w:themeFillTint="66"/>
            <w:noWrap/>
            <w:vAlign w:val="center"/>
            <w:hideMark/>
          </w:tcPr>
          <w:p w:rsidR="00C9781F" w:rsidRPr="007F5274" w:rsidRDefault="00C9781F" w:rsidP="00B53A0A">
            <w:pPr>
              <w:spacing w:after="0"/>
              <w:ind w:firstLine="0"/>
              <w:jc w:val="right"/>
              <w:rPr>
                <w:rFonts w:ascii="Arial" w:hAnsi="Arial" w:cs="Arial"/>
                <w:color w:val="000000"/>
                <w:sz w:val="18"/>
                <w:szCs w:val="18"/>
                <w:lang w:val="es-ES" w:eastAsia="es-ES"/>
              </w:rPr>
            </w:pPr>
            <w:r w:rsidRPr="007F5274">
              <w:rPr>
                <w:rFonts w:ascii="Arial" w:hAnsi="Arial" w:cs="Arial"/>
                <w:color w:val="000000"/>
                <w:sz w:val="18"/>
                <w:szCs w:val="18"/>
                <w:lang w:val="es-ES" w:eastAsia="es-ES"/>
              </w:rPr>
              <w:t>100</w:t>
            </w:r>
          </w:p>
        </w:tc>
        <w:tc>
          <w:tcPr>
            <w:tcW w:w="641" w:type="dxa"/>
            <w:shd w:val="clear" w:color="auto" w:fill="B8CCE4" w:themeFill="accent1" w:themeFillTint="66"/>
            <w:noWrap/>
            <w:vAlign w:val="center"/>
            <w:hideMark/>
          </w:tcPr>
          <w:p w:rsidR="00C9781F" w:rsidRPr="007F5274" w:rsidRDefault="00C9781F" w:rsidP="00B53A0A">
            <w:pPr>
              <w:spacing w:after="0"/>
              <w:ind w:firstLine="0"/>
              <w:jc w:val="right"/>
              <w:rPr>
                <w:rFonts w:ascii="Arial" w:hAnsi="Arial" w:cs="Arial"/>
                <w:color w:val="000000"/>
                <w:sz w:val="18"/>
                <w:szCs w:val="18"/>
                <w:lang w:val="es-ES" w:eastAsia="es-ES"/>
              </w:rPr>
            </w:pPr>
            <w:r w:rsidRPr="007F5274">
              <w:rPr>
                <w:rFonts w:ascii="Arial" w:hAnsi="Arial" w:cs="Arial"/>
                <w:color w:val="000000"/>
                <w:sz w:val="18"/>
                <w:szCs w:val="18"/>
                <w:lang w:val="es-ES" w:eastAsia="es-ES"/>
              </w:rPr>
              <w:t>100</w:t>
            </w:r>
          </w:p>
        </w:tc>
        <w:tc>
          <w:tcPr>
            <w:tcW w:w="641" w:type="dxa"/>
            <w:shd w:val="clear" w:color="auto" w:fill="B8CCE4" w:themeFill="accent1" w:themeFillTint="66"/>
            <w:noWrap/>
            <w:vAlign w:val="center"/>
            <w:hideMark/>
          </w:tcPr>
          <w:p w:rsidR="00C9781F" w:rsidRPr="007F5274" w:rsidRDefault="00C9781F" w:rsidP="00B53A0A">
            <w:pPr>
              <w:spacing w:after="0"/>
              <w:ind w:firstLine="0"/>
              <w:jc w:val="right"/>
              <w:rPr>
                <w:rFonts w:ascii="Arial" w:hAnsi="Arial" w:cs="Arial"/>
                <w:color w:val="000000"/>
                <w:sz w:val="18"/>
                <w:szCs w:val="18"/>
                <w:lang w:val="es-ES" w:eastAsia="es-ES"/>
              </w:rPr>
            </w:pPr>
            <w:r w:rsidRPr="007F5274">
              <w:rPr>
                <w:rFonts w:ascii="Arial" w:hAnsi="Arial" w:cs="Arial"/>
                <w:color w:val="000000"/>
                <w:sz w:val="18"/>
                <w:szCs w:val="18"/>
                <w:lang w:val="es-ES" w:eastAsia="es-ES"/>
              </w:rPr>
              <w:t>100</w:t>
            </w:r>
          </w:p>
        </w:tc>
        <w:tc>
          <w:tcPr>
            <w:tcW w:w="641" w:type="dxa"/>
            <w:shd w:val="clear" w:color="auto" w:fill="B8CCE4" w:themeFill="accent1" w:themeFillTint="66"/>
            <w:noWrap/>
            <w:vAlign w:val="center"/>
            <w:hideMark/>
          </w:tcPr>
          <w:p w:rsidR="00C9781F" w:rsidRPr="007F5274" w:rsidRDefault="00C9781F" w:rsidP="00B53A0A">
            <w:pPr>
              <w:spacing w:after="0"/>
              <w:ind w:firstLine="0"/>
              <w:jc w:val="right"/>
              <w:rPr>
                <w:rFonts w:ascii="Arial" w:hAnsi="Arial" w:cs="Arial"/>
                <w:color w:val="000000"/>
                <w:sz w:val="18"/>
                <w:szCs w:val="18"/>
                <w:lang w:val="es-ES" w:eastAsia="es-ES"/>
              </w:rPr>
            </w:pPr>
            <w:r w:rsidRPr="007F5274">
              <w:rPr>
                <w:rFonts w:ascii="Arial" w:hAnsi="Arial" w:cs="Arial"/>
                <w:color w:val="000000"/>
                <w:sz w:val="18"/>
                <w:szCs w:val="18"/>
                <w:lang w:val="es-ES" w:eastAsia="es-ES"/>
              </w:rPr>
              <w:t>100</w:t>
            </w:r>
          </w:p>
        </w:tc>
        <w:tc>
          <w:tcPr>
            <w:tcW w:w="702" w:type="dxa"/>
            <w:shd w:val="clear" w:color="auto" w:fill="B8CCE4" w:themeFill="accent1" w:themeFillTint="66"/>
            <w:noWrap/>
            <w:vAlign w:val="center"/>
            <w:hideMark/>
          </w:tcPr>
          <w:p w:rsidR="00C9781F" w:rsidRPr="007F5274" w:rsidRDefault="00C9781F" w:rsidP="00B53A0A">
            <w:pPr>
              <w:spacing w:after="0"/>
              <w:ind w:firstLine="0"/>
              <w:jc w:val="right"/>
              <w:rPr>
                <w:rFonts w:ascii="Arial" w:hAnsi="Arial" w:cs="Arial"/>
                <w:color w:val="000000"/>
                <w:sz w:val="18"/>
                <w:szCs w:val="18"/>
                <w:lang w:val="es-ES" w:eastAsia="es-ES"/>
              </w:rPr>
            </w:pPr>
            <w:r w:rsidRPr="007F5274">
              <w:rPr>
                <w:rFonts w:ascii="Arial" w:hAnsi="Arial" w:cs="Arial"/>
                <w:color w:val="000000"/>
                <w:sz w:val="18"/>
                <w:szCs w:val="18"/>
                <w:lang w:val="es-ES" w:eastAsia="es-ES"/>
              </w:rPr>
              <w:t>100</w:t>
            </w:r>
          </w:p>
        </w:tc>
      </w:tr>
    </w:tbl>
    <w:p w:rsidR="00C9781F" w:rsidRDefault="00C9781F" w:rsidP="00C9781F">
      <w:pPr>
        <w:pStyle w:val="texto"/>
        <w:tabs>
          <w:tab w:val="clear" w:pos="2835"/>
          <w:tab w:val="clear" w:pos="3969"/>
          <w:tab w:val="clear" w:pos="5103"/>
          <w:tab w:val="clear" w:pos="6237"/>
          <w:tab w:val="clear" w:pos="7371"/>
          <w:tab w:val="left" w:pos="0"/>
        </w:tabs>
        <w:spacing w:before="240"/>
        <w:rPr>
          <w:szCs w:val="26"/>
        </w:rPr>
      </w:pPr>
      <w:r>
        <w:rPr>
          <w:szCs w:val="26"/>
          <w:lang w:val="es-ES"/>
        </w:rPr>
        <w:t xml:space="preserve">Señalamos </w:t>
      </w:r>
      <w:r>
        <w:rPr>
          <w:szCs w:val="26"/>
        </w:rPr>
        <w:t>al respecto que, si bien debería indicarse el motivo por el cual no se ha leído la tarjeta, en la práctica totalidad de los casos, no consta</w:t>
      </w:r>
      <w:r w:rsidRPr="00111953">
        <w:rPr>
          <w:szCs w:val="26"/>
        </w:rPr>
        <w:t xml:space="preserve"> </w:t>
      </w:r>
      <w:r>
        <w:rPr>
          <w:szCs w:val="26"/>
        </w:rPr>
        <w:t>un</w:t>
      </w:r>
      <w:r w:rsidRPr="00111953">
        <w:rPr>
          <w:szCs w:val="26"/>
        </w:rPr>
        <w:t>a justif</w:t>
      </w:r>
      <w:r w:rsidRPr="00111953">
        <w:rPr>
          <w:szCs w:val="26"/>
        </w:rPr>
        <w:t>i</w:t>
      </w:r>
      <w:r w:rsidRPr="00111953">
        <w:rPr>
          <w:szCs w:val="26"/>
        </w:rPr>
        <w:t xml:space="preserve">cación </w:t>
      </w:r>
      <w:r>
        <w:rPr>
          <w:szCs w:val="26"/>
        </w:rPr>
        <w:t>entendible de la causa por la cual se ha introducido manualmente el CIPNA</w:t>
      </w:r>
      <w:r w:rsidRPr="00111953">
        <w:rPr>
          <w:szCs w:val="26"/>
        </w:rPr>
        <w:t>.</w:t>
      </w:r>
      <w:r>
        <w:rPr>
          <w:szCs w:val="26"/>
        </w:rPr>
        <w:t xml:space="preserve"> </w:t>
      </w:r>
    </w:p>
    <w:p w:rsidR="00C9781F" w:rsidRDefault="00C9781F" w:rsidP="00C9781F">
      <w:pPr>
        <w:spacing w:after="0"/>
        <w:ind w:firstLine="0"/>
        <w:jc w:val="left"/>
        <w:rPr>
          <w:spacing w:val="6"/>
          <w:sz w:val="26"/>
          <w:szCs w:val="26"/>
        </w:rPr>
      </w:pPr>
      <w:r>
        <w:rPr>
          <w:szCs w:val="26"/>
        </w:rPr>
        <w:br w:type="page"/>
      </w:r>
    </w:p>
    <w:p w:rsidR="00C9781F" w:rsidRDefault="00C9781F" w:rsidP="00C9781F">
      <w:pPr>
        <w:pStyle w:val="texto"/>
        <w:tabs>
          <w:tab w:val="clear" w:pos="2835"/>
          <w:tab w:val="clear" w:pos="3969"/>
          <w:tab w:val="clear" w:pos="5103"/>
          <w:tab w:val="clear" w:pos="6237"/>
          <w:tab w:val="clear" w:pos="7371"/>
          <w:tab w:val="left" w:pos="0"/>
        </w:tabs>
        <w:spacing w:before="120" w:after="240"/>
        <w:rPr>
          <w:szCs w:val="26"/>
        </w:rPr>
      </w:pPr>
      <w:r>
        <w:rPr>
          <w:szCs w:val="26"/>
        </w:rPr>
        <w:lastRenderedPageBreak/>
        <w:t>Por otro lado, es destacable que un porcentaje significativo de las ocasiones en las que se accede manualmente a la información no conlleva una dispens</w:t>
      </w:r>
      <w:r>
        <w:rPr>
          <w:szCs w:val="26"/>
        </w:rPr>
        <w:t>a</w:t>
      </w:r>
      <w:r>
        <w:rPr>
          <w:szCs w:val="26"/>
        </w:rPr>
        <w:t>ción tal y como mostramos a continuación:</w:t>
      </w:r>
    </w:p>
    <w:tbl>
      <w:tblPr>
        <w:tblStyle w:val="Tablaconcuadrcula"/>
        <w:tblW w:w="0" w:type="auto"/>
        <w:tblInd w:w="12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842"/>
        <w:gridCol w:w="990"/>
        <w:gridCol w:w="991"/>
        <w:gridCol w:w="991"/>
        <w:gridCol w:w="990"/>
        <w:gridCol w:w="991"/>
        <w:gridCol w:w="991"/>
      </w:tblGrid>
      <w:tr w:rsidR="00C9781F" w:rsidRPr="00A46CFD" w:rsidTr="00B53A0A">
        <w:trPr>
          <w:trHeight w:val="255"/>
        </w:trPr>
        <w:tc>
          <w:tcPr>
            <w:tcW w:w="2842" w:type="dxa"/>
            <w:tcBorders>
              <w:bottom w:val="single" w:sz="4" w:space="0" w:color="auto"/>
            </w:tcBorders>
            <w:shd w:val="clear" w:color="auto" w:fill="B8CCE4" w:themeFill="accent1" w:themeFillTint="66"/>
          </w:tcPr>
          <w:p w:rsidR="00C9781F" w:rsidRPr="00A46CFD" w:rsidRDefault="00C9781F" w:rsidP="00B53A0A">
            <w:pPr>
              <w:pStyle w:val="texto"/>
              <w:tabs>
                <w:tab w:val="clear" w:pos="2835"/>
                <w:tab w:val="clear" w:pos="3969"/>
                <w:tab w:val="clear" w:pos="5103"/>
                <w:tab w:val="clear" w:pos="6237"/>
                <w:tab w:val="clear" w:pos="7371"/>
                <w:tab w:val="left" w:pos="0"/>
              </w:tabs>
              <w:spacing w:after="0"/>
              <w:ind w:right="-66" w:firstLine="0"/>
              <w:rPr>
                <w:sz w:val="16"/>
                <w:szCs w:val="16"/>
              </w:rPr>
            </w:pPr>
          </w:p>
        </w:tc>
        <w:tc>
          <w:tcPr>
            <w:tcW w:w="990" w:type="dxa"/>
            <w:tcBorders>
              <w:bottom w:val="single" w:sz="4" w:space="0" w:color="auto"/>
            </w:tcBorders>
            <w:shd w:val="clear" w:color="auto" w:fill="B8CCE4" w:themeFill="accent1" w:themeFillTint="66"/>
            <w:vAlign w:val="center"/>
          </w:tcPr>
          <w:p w:rsidR="00C9781F" w:rsidRPr="00A46CFD" w:rsidRDefault="00C9781F" w:rsidP="00B53A0A">
            <w:pPr>
              <w:spacing w:after="0"/>
              <w:ind w:left="-122" w:firstLine="0"/>
              <w:jc w:val="right"/>
              <w:rPr>
                <w:rFonts w:ascii="Arial" w:hAnsi="Arial" w:cs="Arial"/>
                <w:bCs/>
                <w:color w:val="000000"/>
                <w:sz w:val="18"/>
                <w:szCs w:val="18"/>
                <w:lang w:val="es-ES" w:eastAsia="es-ES"/>
              </w:rPr>
            </w:pPr>
            <w:r w:rsidRPr="00A46CFD">
              <w:rPr>
                <w:rFonts w:ascii="Arial" w:hAnsi="Arial" w:cs="Arial"/>
                <w:bCs/>
                <w:color w:val="000000"/>
                <w:sz w:val="18"/>
                <w:szCs w:val="18"/>
                <w:lang w:val="es-ES" w:eastAsia="es-ES"/>
              </w:rPr>
              <w:t>2013</w:t>
            </w:r>
          </w:p>
        </w:tc>
        <w:tc>
          <w:tcPr>
            <w:tcW w:w="991" w:type="dxa"/>
            <w:tcBorders>
              <w:bottom w:val="single" w:sz="4" w:space="0" w:color="auto"/>
            </w:tcBorders>
            <w:shd w:val="clear" w:color="auto" w:fill="B8CCE4" w:themeFill="accent1" w:themeFillTint="66"/>
            <w:vAlign w:val="center"/>
          </w:tcPr>
          <w:p w:rsidR="00C9781F" w:rsidRPr="00A46CFD" w:rsidRDefault="00C9781F" w:rsidP="00B53A0A">
            <w:pPr>
              <w:spacing w:after="0"/>
              <w:ind w:left="-122" w:firstLine="0"/>
              <w:jc w:val="right"/>
              <w:rPr>
                <w:rFonts w:ascii="Arial" w:hAnsi="Arial" w:cs="Arial"/>
                <w:bCs/>
                <w:color w:val="000000"/>
                <w:sz w:val="18"/>
                <w:szCs w:val="18"/>
                <w:lang w:val="es-ES" w:eastAsia="es-ES"/>
              </w:rPr>
            </w:pPr>
            <w:r w:rsidRPr="00A46CFD">
              <w:rPr>
                <w:rFonts w:ascii="Arial" w:hAnsi="Arial" w:cs="Arial"/>
                <w:bCs/>
                <w:color w:val="000000"/>
                <w:sz w:val="18"/>
                <w:szCs w:val="18"/>
                <w:lang w:val="es-ES" w:eastAsia="es-ES"/>
              </w:rPr>
              <w:t>2014</w:t>
            </w:r>
          </w:p>
        </w:tc>
        <w:tc>
          <w:tcPr>
            <w:tcW w:w="991" w:type="dxa"/>
            <w:tcBorders>
              <w:bottom w:val="single" w:sz="4" w:space="0" w:color="auto"/>
            </w:tcBorders>
            <w:shd w:val="clear" w:color="auto" w:fill="B8CCE4" w:themeFill="accent1" w:themeFillTint="66"/>
            <w:vAlign w:val="center"/>
          </w:tcPr>
          <w:p w:rsidR="00C9781F" w:rsidRPr="00A46CFD" w:rsidRDefault="00C9781F" w:rsidP="00B53A0A">
            <w:pPr>
              <w:spacing w:after="0"/>
              <w:ind w:left="-122" w:firstLine="0"/>
              <w:jc w:val="right"/>
              <w:rPr>
                <w:rFonts w:ascii="Arial" w:hAnsi="Arial" w:cs="Arial"/>
                <w:bCs/>
                <w:color w:val="000000"/>
                <w:sz w:val="18"/>
                <w:szCs w:val="18"/>
                <w:lang w:val="es-ES" w:eastAsia="es-ES"/>
              </w:rPr>
            </w:pPr>
            <w:r w:rsidRPr="00A46CFD">
              <w:rPr>
                <w:rFonts w:ascii="Arial" w:hAnsi="Arial" w:cs="Arial"/>
                <w:bCs/>
                <w:color w:val="000000"/>
                <w:sz w:val="18"/>
                <w:szCs w:val="18"/>
                <w:lang w:val="es-ES" w:eastAsia="es-ES"/>
              </w:rPr>
              <w:t>2015</w:t>
            </w:r>
          </w:p>
        </w:tc>
        <w:tc>
          <w:tcPr>
            <w:tcW w:w="990" w:type="dxa"/>
            <w:tcBorders>
              <w:bottom w:val="single" w:sz="4" w:space="0" w:color="auto"/>
            </w:tcBorders>
            <w:shd w:val="clear" w:color="auto" w:fill="B8CCE4" w:themeFill="accent1" w:themeFillTint="66"/>
            <w:vAlign w:val="center"/>
          </w:tcPr>
          <w:p w:rsidR="00C9781F" w:rsidRPr="00A46CFD" w:rsidRDefault="00C9781F" w:rsidP="00B53A0A">
            <w:pPr>
              <w:spacing w:after="0"/>
              <w:ind w:left="-122" w:firstLine="0"/>
              <w:jc w:val="right"/>
              <w:rPr>
                <w:rFonts w:ascii="Arial" w:hAnsi="Arial" w:cs="Arial"/>
                <w:bCs/>
                <w:color w:val="000000"/>
                <w:sz w:val="18"/>
                <w:szCs w:val="18"/>
                <w:lang w:val="es-ES" w:eastAsia="es-ES"/>
              </w:rPr>
            </w:pPr>
            <w:r w:rsidRPr="00A46CFD">
              <w:rPr>
                <w:rFonts w:ascii="Arial" w:hAnsi="Arial" w:cs="Arial"/>
                <w:bCs/>
                <w:color w:val="000000"/>
                <w:sz w:val="18"/>
                <w:szCs w:val="18"/>
                <w:lang w:val="es-ES" w:eastAsia="es-ES"/>
              </w:rPr>
              <w:t>2016</w:t>
            </w:r>
          </w:p>
        </w:tc>
        <w:tc>
          <w:tcPr>
            <w:tcW w:w="991" w:type="dxa"/>
            <w:tcBorders>
              <w:bottom w:val="single" w:sz="4" w:space="0" w:color="auto"/>
            </w:tcBorders>
            <w:shd w:val="clear" w:color="auto" w:fill="B8CCE4" w:themeFill="accent1" w:themeFillTint="66"/>
            <w:vAlign w:val="center"/>
          </w:tcPr>
          <w:p w:rsidR="00C9781F" w:rsidRPr="00A46CFD" w:rsidRDefault="00C9781F" w:rsidP="00B53A0A">
            <w:pPr>
              <w:spacing w:after="0"/>
              <w:ind w:left="-122" w:firstLine="0"/>
              <w:jc w:val="right"/>
              <w:rPr>
                <w:rFonts w:ascii="Arial" w:hAnsi="Arial" w:cs="Arial"/>
                <w:bCs/>
                <w:color w:val="000000"/>
                <w:sz w:val="18"/>
                <w:szCs w:val="18"/>
                <w:lang w:val="es-ES" w:eastAsia="es-ES"/>
              </w:rPr>
            </w:pPr>
            <w:r w:rsidRPr="00A46CFD">
              <w:rPr>
                <w:rFonts w:ascii="Arial" w:hAnsi="Arial" w:cs="Arial"/>
                <w:bCs/>
                <w:color w:val="000000"/>
                <w:sz w:val="18"/>
                <w:szCs w:val="18"/>
                <w:lang w:val="es-ES" w:eastAsia="es-ES"/>
              </w:rPr>
              <w:t>2017</w:t>
            </w:r>
          </w:p>
        </w:tc>
        <w:tc>
          <w:tcPr>
            <w:tcW w:w="991" w:type="dxa"/>
            <w:tcBorders>
              <w:bottom w:val="single" w:sz="4" w:space="0" w:color="auto"/>
            </w:tcBorders>
            <w:shd w:val="clear" w:color="auto" w:fill="B8CCE4" w:themeFill="accent1" w:themeFillTint="66"/>
            <w:vAlign w:val="center"/>
          </w:tcPr>
          <w:p w:rsidR="00C9781F" w:rsidRPr="00A46CFD" w:rsidRDefault="00C9781F" w:rsidP="00B53A0A">
            <w:pPr>
              <w:spacing w:after="0"/>
              <w:ind w:left="-122" w:firstLine="0"/>
              <w:jc w:val="right"/>
              <w:rPr>
                <w:rFonts w:ascii="Arial" w:hAnsi="Arial" w:cs="Arial"/>
                <w:bCs/>
                <w:color w:val="000000"/>
                <w:sz w:val="18"/>
                <w:szCs w:val="18"/>
                <w:lang w:val="es-ES" w:eastAsia="es-ES"/>
              </w:rPr>
            </w:pPr>
            <w:r w:rsidRPr="00A46CFD">
              <w:rPr>
                <w:rFonts w:ascii="Arial" w:hAnsi="Arial" w:cs="Arial"/>
                <w:bCs/>
                <w:color w:val="000000"/>
                <w:sz w:val="18"/>
                <w:szCs w:val="18"/>
                <w:lang w:val="es-ES" w:eastAsia="es-ES"/>
              </w:rPr>
              <w:t>2018</w:t>
            </w:r>
          </w:p>
        </w:tc>
      </w:tr>
      <w:tr w:rsidR="00C9781F" w:rsidRPr="00E45883" w:rsidTr="00B53A0A">
        <w:trPr>
          <w:trHeight w:val="284"/>
        </w:trPr>
        <w:tc>
          <w:tcPr>
            <w:tcW w:w="2842" w:type="dxa"/>
            <w:tcBorders>
              <w:bottom w:val="single" w:sz="2" w:space="0" w:color="auto"/>
            </w:tcBorders>
            <w:vAlign w:val="center"/>
          </w:tcPr>
          <w:p w:rsidR="00C9781F" w:rsidRPr="00E45883" w:rsidRDefault="00C9781F" w:rsidP="00B53A0A">
            <w:pPr>
              <w:spacing w:after="0"/>
              <w:ind w:right="-66" w:firstLine="0"/>
              <w:jc w:val="left"/>
              <w:rPr>
                <w:rFonts w:ascii="Arial Narrow" w:hAnsi="Arial Narrow"/>
                <w:color w:val="000000"/>
                <w:lang w:val="es-ES" w:eastAsia="es-ES"/>
              </w:rPr>
            </w:pPr>
            <w:r w:rsidRPr="00E45883">
              <w:rPr>
                <w:rFonts w:ascii="Arial Narrow" w:hAnsi="Arial Narrow"/>
                <w:color w:val="000000"/>
                <w:lang w:val="es-ES" w:eastAsia="es-ES"/>
              </w:rPr>
              <w:t>Accesos manuales con dispensación</w:t>
            </w:r>
          </w:p>
        </w:tc>
        <w:tc>
          <w:tcPr>
            <w:tcW w:w="990" w:type="dxa"/>
            <w:tcBorders>
              <w:bottom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lang w:val="es-ES" w:eastAsia="es-ES"/>
              </w:rPr>
            </w:pPr>
            <w:r w:rsidRPr="00E45883">
              <w:rPr>
                <w:rFonts w:ascii="Arial Narrow" w:hAnsi="Arial Narrow" w:cs="Arial"/>
                <w:color w:val="000000"/>
                <w:lang w:val="es-ES" w:eastAsia="es-ES"/>
              </w:rPr>
              <w:t>2.195.414</w:t>
            </w:r>
          </w:p>
        </w:tc>
        <w:tc>
          <w:tcPr>
            <w:tcW w:w="991" w:type="dxa"/>
            <w:tcBorders>
              <w:bottom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lang w:val="es-ES" w:eastAsia="es-ES"/>
              </w:rPr>
            </w:pPr>
            <w:r w:rsidRPr="00E45883">
              <w:rPr>
                <w:rFonts w:ascii="Arial Narrow" w:hAnsi="Arial Narrow" w:cs="Arial"/>
                <w:color w:val="000000"/>
                <w:lang w:val="es-ES" w:eastAsia="es-ES"/>
              </w:rPr>
              <w:t>3.481.801</w:t>
            </w:r>
          </w:p>
        </w:tc>
        <w:tc>
          <w:tcPr>
            <w:tcW w:w="991" w:type="dxa"/>
            <w:tcBorders>
              <w:bottom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lang w:val="es-ES" w:eastAsia="es-ES"/>
              </w:rPr>
            </w:pPr>
            <w:r w:rsidRPr="00E45883">
              <w:rPr>
                <w:rFonts w:ascii="Arial Narrow" w:hAnsi="Arial Narrow" w:cs="Arial"/>
                <w:color w:val="000000"/>
                <w:lang w:val="es-ES" w:eastAsia="es-ES"/>
              </w:rPr>
              <w:t>3.871.328</w:t>
            </w:r>
          </w:p>
        </w:tc>
        <w:tc>
          <w:tcPr>
            <w:tcW w:w="990" w:type="dxa"/>
            <w:tcBorders>
              <w:bottom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lang w:val="es-ES" w:eastAsia="es-ES"/>
              </w:rPr>
            </w:pPr>
            <w:r w:rsidRPr="00E45883">
              <w:rPr>
                <w:rFonts w:ascii="Arial Narrow" w:hAnsi="Arial Narrow" w:cs="Arial"/>
                <w:color w:val="000000"/>
                <w:lang w:val="es-ES" w:eastAsia="es-ES"/>
              </w:rPr>
              <w:t>4.320.277</w:t>
            </w:r>
          </w:p>
        </w:tc>
        <w:tc>
          <w:tcPr>
            <w:tcW w:w="991" w:type="dxa"/>
            <w:tcBorders>
              <w:bottom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lang w:val="es-ES" w:eastAsia="es-ES"/>
              </w:rPr>
            </w:pPr>
            <w:r w:rsidRPr="00E45883">
              <w:rPr>
                <w:rFonts w:ascii="Arial Narrow" w:hAnsi="Arial Narrow" w:cs="Arial"/>
                <w:color w:val="000000"/>
                <w:lang w:val="es-ES" w:eastAsia="es-ES"/>
              </w:rPr>
              <w:t>4.505.513</w:t>
            </w:r>
          </w:p>
        </w:tc>
        <w:tc>
          <w:tcPr>
            <w:tcW w:w="991" w:type="dxa"/>
            <w:tcBorders>
              <w:bottom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lang w:val="es-ES" w:eastAsia="es-ES"/>
              </w:rPr>
            </w:pPr>
            <w:r w:rsidRPr="00E45883">
              <w:rPr>
                <w:rFonts w:ascii="Arial Narrow" w:hAnsi="Arial Narrow" w:cs="Arial"/>
                <w:color w:val="000000"/>
                <w:lang w:val="es-ES" w:eastAsia="es-ES"/>
              </w:rPr>
              <w:t>4.502.401</w:t>
            </w:r>
          </w:p>
        </w:tc>
      </w:tr>
      <w:tr w:rsidR="00C9781F" w:rsidRPr="00E45883" w:rsidTr="00B53A0A">
        <w:trPr>
          <w:trHeight w:val="284"/>
        </w:trPr>
        <w:tc>
          <w:tcPr>
            <w:tcW w:w="2842" w:type="dxa"/>
            <w:tcBorders>
              <w:top w:val="single" w:sz="2" w:space="0" w:color="auto"/>
              <w:bottom w:val="single" w:sz="2" w:space="0" w:color="auto"/>
            </w:tcBorders>
            <w:vAlign w:val="center"/>
          </w:tcPr>
          <w:p w:rsidR="00C9781F" w:rsidRPr="00E45883" w:rsidRDefault="00C9781F" w:rsidP="00B53A0A">
            <w:pPr>
              <w:spacing w:after="0"/>
              <w:ind w:right="-66" w:firstLine="0"/>
              <w:jc w:val="left"/>
              <w:rPr>
                <w:rFonts w:ascii="Arial Narrow" w:hAnsi="Arial Narrow"/>
                <w:color w:val="000000"/>
                <w:lang w:val="es-ES" w:eastAsia="es-ES"/>
              </w:rPr>
            </w:pPr>
            <w:r w:rsidRPr="00E45883">
              <w:rPr>
                <w:rFonts w:ascii="Arial Narrow" w:hAnsi="Arial Narrow"/>
                <w:color w:val="000000"/>
                <w:lang w:val="es-ES" w:eastAsia="es-ES"/>
              </w:rPr>
              <w:t>Accesos manuales sin dispensación</w:t>
            </w:r>
          </w:p>
        </w:tc>
        <w:tc>
          <w:tcPr>
            <w:tcW w:w="990" w:type="dxa"/>
            <w:tcBorders>
              <w:top w:val="single" w:sz="2" w:space="0" w:color="auto"/>
              <w:bottom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lang w:val="es-ES" w:eastAsia="es-ES"/>
              </w:rPr>
            </w:pPr>
            <w:r w:rsidRPr="00E45883">
              <w:rPr>
                <w:rFonts w:ascii="Arial Narrow" w:hAnsi="Arial Narrow" w:cs="Arial"/>
                <w:color w:val="000000"/>
                <w:lang w:val="es-ES" w:eastAsia="es-ES"/>
              </w:rPr>
              <w:t>1.457.841</w:t>
            </w:r>
          </w:p>
        </w:tc>
        <w:tc>
          <w:tcPr>
            <w:tcW w:w="991" w:type="dxa"/>
            <w:tcBorders>
              <w:top w:val="single" w:sz="2" w:space="0" w:color="auto"/>
              <w:bottom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lang w:val="es-ES" w:eastAsia="es-ES"/>
              </w:rPr>
            </w:pPr>
            <w:r w:rsidRPr="00E45883">
              <w:rPr>
                <w:rFonts w:ascii="Arial Narrow" w:hAnsi="Arial Narrow" w:cs="Arial"/>
                <w:color w:val="000000"/>
                <w:lang w:val="es-ES" w:eastAsia="es-ES"/>
              </w:rPr>
              <w:t>1.786.308</w:t>
            </w:r>
          </w:p>
        </w:tc>
        <w:tc>
          <w:tcPr>
            <w:tcW w:w="991" w:type="dxa"/>
            <w:tcBorders>
              <w:top w:val="single" w:sz="2" w:space="0" w:color="auto"/>
              <w:bottom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lang w:val="es-ES" w:eastAsia="es-ES"/>
              </w:rPr>
            </w:pPr>
            <w:r w:rsidRPr="00E45883">
              <w:rPr>
                <w:rFonts w:ascii="Arial Narrow" w:hAnsi="Arial Narrow" w:cs="Arial"/>
                <w:color w:val="000000"/>
                <w:lang w:val="es-ES" w:eastAsia="es-ES"/>
              </w:rPr>
              <w:t>1.878.163</w:t>
            </w:r>
          </w:p>
        </w:tc>
        <w:tc>
          <w:tcPr>
            <w:tcW w:w="990" w:type="dxa"/>
            <w:tcBorders>
              <w:top w:val="single" w:sz="2" w:space="0" w:color="auto"/>
              <w:bottom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lang w:val="es-ES" w:eastAsia="es-ES"/>
              </w:rPr>
            </w:pPr>
            <w:r w:rsidRPr="00E45883">
              <w:rPr>
                <w:rFonts w:ascii="Arial Narrow" w:hAnsi="Arial Narrow" w:cs="Arial"/>
                <w:color w:val="000000"/>
                <w:lang w:val="es-ES" w:eastAsia="es-ES"/>
              </w:rPr>
              <w:t>2.046.316</w:t>
            </w:r>
          </w:p>
        </w:tc>
        <w:tc>
          <w:tcPr>
            <w:tcW w:w="991" w:type="dxa"/>
            <w:tcBorders>
              <w:top w:val="single" w:sz="2" w:space="0" w:color="auto"/>
              <w:bottom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lang w:val="es-ES" w:eastAsia="es-ES"/>
              </w:rPr>
            </w:pPr>
            <w:r w:rsidRPr="00E45883">
              <w:rPr>
                <w:rFonts w:ascii="Arial Narrow" w:hAnsi="Arial Narrow" w:cs="Arial"/>
                <w:color w:val="000000"/>
                <w:lang w:val="es-ES" w:eastAsia="es-ES"/>
              </w:rPr>
              <w:t>2.175.898</w:t>
            </w:r>
          </w:p>
        </w:tc>
        <w:tc>
          <w:tcPr>
            <w:tcW w:w="991" w:type="dxa"/>
            <w:tcBorders>
              <w:top w:val="single" w:sz="2" w:space="0" w:color="auto"/>
              <w:bottom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lang w:val="es-ES" w:eastAsia="es-ES"/>
              </w:rPr>
            </w:pPr>
            <w:r w:rsidRPr="00E45883">
              <w:rPr>
                <w:rFonts w:ascii="Arial Narrow" w:hAnsi="Arial Narrow" w:cs="Arial"/>
                <w:color w:val="000000"/>
                <w:lang w:val="es-ES" w:eastAsia="es-ES"/>
              </w:rPr>
              <w:t>2.238.243</w:t>
            </w:r>
          </w:p>
        </w:tc>
      </w:tr>
      <w:tr w:rsidR="00C9781F" w:rsidRPr="00E45883" w:rsidTr="00B53A0A">
        <w:trPr>
          <w:trHeight w:val="284"/>
        </w:trPr>
        <w:tc>
          <w:tcPr>
            <w:tcW w:w="2842" w:type="dxa"/>
            <w:tcBorders>
              <w:top w:val="single" w:sz="2" w:space="0" w:color="auto"/>
              <w:bottom w:val="single" w:sz="2" w:space="0" w:color="auto"/>
            </w:tcBorders>
            <w:vAlign w:val="center"/>
          </w:tcPr>
          <w:p w:rsidR="00C9781F" w:rsidRPr="00E45883" w:rsidRDefault="00C9781F" w:rsidP="00F51843">
            <w:pPr>
              <w:spacing w:after="0"/>
              <w:ind w:right="-66" w:firstLine="0"/>
              <w:jc w:val="left"/>
              <w:rPr>
                <w:rFonts w:ascii="Arial Narrow" w:hAnsi="Arial Narrow"/>
                <w:color w:val="000000"/>
                <w:lang w:val="es-ES" w:eastAsia="es-ES"/>
              </w:rPr>
            </w:pPr>
            <w:r w:rsidRPr="00E45883">
              <w:rPr>
                <w:rFonts w:ascii="Arial Narrow" w:hAnsi="Arial Narrow"/>
                <w:color w:val="000000"/>
                <w:lang w:val="es-ES" w:eastAsia="es-ES"/>
              </w:rPr>
              <w:t>Total accesos manuales</w:t>
            </w:r>
            <w:r w:rsidR="00F51843">
              <w:rPr>
                <w:rFonts w:ascii="Arial Narrow" w:hAnsi="Arial Narrow"/>
                <w:color w:val="000000"/>
                <w:lang w:val="es-ES" w:eastAsia="es-ES"/>
              </w:rPr>
              <w:t xml:space="preserve"> </w:t>
            </w:r>
          </w:p>
        </w:tc>
        <w:tc>
          <w:tcPr>
            <w:tcW w:w="990" w:type="dxa"/>
            <w:tcBorders>
              <w:top w:val="single" w:sz="2" w:space="0" w:color="auto"/>
              <w:bottom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lang w:val="es-ES" w:eastAsia="es-ES"/>
              </w:rPr>
            </w:pPr>
            <w:r w:rsidRPr="00E45883">
              <w:rPr>
                <w:rFonts w:ascii="Arial Narrow" w:hAnsi="Arial Narrow" w:cs="Arial"/>
                <w:color w:val="000000"/>
                <w:lang w:val="es-ES" w:eastAsia="es-ES"/>
              </w:rPr>
              <w:t>3.653.255</w:t>
            </w:r>
          </w:p>
        </w:tc>
        <w:tc>
          <w:tcPr>
            <w:tcW w:w="991" w:type="dxa"/>
            <w:tcBorders>
              <w:top w:val="single" w:sz="2" w:space="0" w:color="auto"/>
              <w:bottom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lang w:val="es-ES" w:eastAsia="es-ES"/>
              </w:rPr>
            </w:pPr>
            <w:r w:rsidRPr="00E45883">
              <w:rPr>
                <w:rFonts w:ascii="Arial Narrow" w:hAnsi="Arial Narrow" w:cs="Arial"/>
                <w:color w:val="000000"/>
                <w:lang w:val="es-ES" w:eastAsia="es-ES"/>
              </w:rPr>
              <w:t>5.268.109</w:t>
            </w:r>
          </w:p>
        </w:tc>
        <w:tc>
          <w:tcPr>
            <w:tcW w:w="991" w:type="dxa"/>
            <w:tcBorders>
              <w:top w:val="single" w:sz="2" w:space="0" w:color="auto"/>
              <w:bottom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lang w:val="es-ES" w:eastAsia="es-ES"/>
              </w:rPr>
            </w:pPr>
            <w:r w:rsidRPr="00E45883">
              <w:rPr>
                <w:rFonts w:ascii="Arial Narrow" w:hAnsi="Arial Narrow" w:cs="Arial"/>
                <w:color w:val="000000"/>
                <w:lang w:val="es-ES" w:eastAsia="es-ES"/>
              </w:rPr>
              <w:t>5.749.491</w:t>
            </w:r>
          </w:p>
        </w:tc>
        <w:tc>
          <w:tcPr>
            <w:tcW w:w="990" w:type="dxa"/>
            <w:tcBorders>
              <w:top w:val="single" w:sz="2" w:space="0" w:color="auto"/>
              <w:bottom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lang w:val="es-ES" w:eastAsia="es-ES"/>
              </w:rPr>
            </w:pPr>
            <w:r w:rsidRPr="00E45883">
              <w:rPr>
                <w:rFonts w:ascii="Arial Narrow" w:hAnsi="Arial Narrow" w:cs="Arial"/>
                <w:color w:val="000000"/>
                <w:lang w:val="es-ES" w:eastAsia="es-ES"/>
              </w:rPr>
              <w:t>6.366.593</w:t>
            </w:r>
          </w:p>
        </w:tc>
        <w:tc>
          <w:tcPr>
            <w:tcW w:w="991" w:type="dxa"/>
            <w:tcBorders>
              <w:top w:val="single" w:sz="2" w:space="0" w:color="auto"/>
              <w:bottom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lang w:val="es-ES" w:eastAsia="es-ES"/>
              </w:rPr>
            </w:pPr>
            <w:r w:rsidRPr="00E45883">
              <w:rPr>
                <w:rFonts w:ascii="Arial Narrow" w:hAnsi="Arial Narrow" w:cs="Arial"/>
                <w:color w:val="000000"/>
                <w:lang w:val="es-ES" w:eastAsia="es-ES"/>
              </w:rPr>
              <w:t>6.681.411</w:t>
            </w:r>
          </w:p>
        </w:tc>
        <w:tc>
          <w:tcPr>
            <w:tcW w:w="991" w:type="dxa"/>
            <w:tcBorders>
              <w:top w:val="single" w:sz="2" w:space="0" w:color="auto"/>
              <w:bottom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lang w:val="es-ES" w:eastAsia="es-ES"/>
              </w:rPr>
            </w:pPr>
            <w:r w:rsidRPr="00E45883">
              <w:rPr>
                <w:rFonts w:ascii="Arial Narrow" w:hAnsi="Arial Narrow" w:cs="Arial"/>
                <w:color w:val="000000"/>
                <w:lang w:val="es-ES" w:eastAsia="es-ES"/>
              </w:rPr>
              <w:t>6.740.644</w:t>
            </w:r>
          </w:p>
        </w:tc>
      </w:tr>
      <w:tr w:rsidR="00C9781F" w:rsidRPr="00E45883" w:rsidTr="00B53A0A">
        <w:tc>
          <w:tcPr>
            <w:tcW w:w="2842" w:type="dxa"/>
            <w:tcBorders>
              <w:top w:val="single" w:sz="2" w:space="0" w:color="auto"/>
            </w:tcBorders>
            <w:vAlign w:val="center"/>
          </w:tcPr>
          <w:p w:rsidR="00C9781F" w:rsidRDefault="00C9781F" w:rsidP="00B53A0A">
            <w:pPr>
              <w:spacing w:after="0"/>
              <w:ind w:right="-66" w:firstLine="0"/>
              <w:jc w:val="left"/>
              <w:rPr>
                <w:rFonts w:ascii="Arial Narrow" w:hAnsi="Arial Narrow"/>
                <w:color w:val="000000"/>
                <w:lang w:val="es-ES" w:eastAsia="es-ES"/>
              </w:rPr>
            </w:pPr>
            <w:r w:rsidRPr="00E45883">
              <w:rPr>
                <w:rFonts w:ascii="Arial Narrow" w:hAnsi="Arial Narrow"/>
                <w:color w:val="000000"/>
                <w:lang w:val="es-ES" w:eastAsia="es-ES"/>
              </w:rPr>
              <w:t xml:space="preserve">% accesos manuales </w:t>
            </w:r>
          </w:p>
          <w:p w:rsidR="00C9781F" w:rsidRPr="00E45883" w:rsidRDefault="00C9781F" w:rsidP="00B53A0A">
            <w:pPr>
              <w:spacing w:after="0"/>
              <w:ind w:right="-66" w:firstLine="0"/>
              <w:jc w:val="left"/>
              <w:rPr>
                <w:rFonts w:ascii="Arial Narrow" w:hAnsi="Arial Narrow"/>
                <w:color w:val="000000"/>
                <w:lang w:val="es-ES" w:eastAsia="es-ES"/>
              </w:rPr>
            </w:pPr>
            <w:r w:rsidRPr="00E45883">
              <w:rPr>
                <w:rFonts w:ascii="Arial Narrow" w:hAnsi="Arial Narrow"/>
                <w:color w:val="000000"/>
                <w:lang w:val="es-ES" w:eastAsia="es-ES"/>
              </w:rPr>
              <w:t>sin dispensación s/ total</w:t>
            </w:r>
            <w:r w:rsidR="00F51843">
              <w:rPr>
                <w:rFonts w:ascii="Arial Narrow" w:hAnsi="Arial Narrow"/>
                <w:color w:val="000000"/>
                <w:lang w:val="es-ES" w:eastAsia="es-ES"/>
              </w:rPr>
              <w:t>*</w:t>
            </w:r>
            <w:r w:rsidRPr="00E45883">
              <w:rPr>
                <w:rFonts w:ascii="Arial Narrow" w:hAnsi="Arial Narrow"/>
                <w:color w:val="000000"/>
                <w:lang w:val="es-ES" w:eastAsia="es-ES"/>
              </w:rPr>
              <w:t xml:space="preserve"> </w:t>
            </w:r>
          </w:p>
        </w:tc>
        <w:tc>
          <w:tcPr>
            <w:tcW w:w="990" w:type="dxa"/>
            <w:tcBorders>
              <w:top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lang w:val="es-ES" w:eastAsia="es-ES"/>
              </w:rPr>
            </w:pPr>
            <w:r w:rsidRPr="00E45883">
              <w:rPr>
                <w:rFonts w:ascii="Arial Narrow" w:hAnsi="Arial Narrow" w:cs="Arial"/>
                <w:color w:val="000000"/>
                <w:lang w:val="es-ES" w:eastAsia="es-ES"/>
              </w:rPr>
              <w:t>40</w:t>
            </w:r>
          </w:p>
        </w:tc>
        <w:tc>
          <w:tcPr>
            <w:tcW w:w="991" w:type="dxa"/>
            <w:tcBorders>
              <w:top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lang w:val="es-ES" w:eastAsia="es-ES"/>
              </w:rPr>
            </w:pPr>
            <w:r w:rsidRPr="00E45883">
              <w:rPr>
                <w:rFonts w:ascii="Arial Narrow" w:hAnsi="Arial Narrow" w:cs="Arial"/>
                <w:color w:val="000000"/>
                <w:lang w:val="es-ES" w:eastAsia="es-ES"/>
              </w:rPr>
              <w:t>34</w:t>
            </w:r>
          </w:p>
        </w:tc>
        <w:tc>
          <w:tcPr>
            <w:tcW w:w="991" w:type="dxa"/>
            <w:tcBorders>
              <w:top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lang w:val="es-ES" w:eastAsia="es-ES"/>
              </w:rPr>
            </w:pPr>
            <w:r w:rsidRPr="00E45883">
              <w:rPr>
                <w:rFonts w:ascii="Arial Narrow" w:hAnsi="Arial Narrow" w:cs="Arial"/>
                <w:color w:val="000000"/>
                <w:lang w:val="es-ES" w:eastAsia="es-ES"/>
              </w:rPr>
              <w:t>33</w:t>
            </w:r>
          </w:p>
        </w:tc>
        <w:tc>
          <w:tcPr>
            <w:tcW w:w="990" w:type="dxa"/>
            <w:tcBorders>
              <w:top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lang w:val="es-ES" w:eastAsia="es-ES"/>
              </w:rPr>
            </w:pPr>
            <w:r w:rsidRPr="00E45883">
              <w:rPr>
                <w:rFonts w:ascii="Arial Narrow" w:hAnsi="Arial Narrow" w:cs="Arial"/>
                <w:color w:val="000000"/>
                <w:lang w:val="es-ES" w:eastAsia="es-ES"/>
              </w:rPr>
              <w:t>32</w:t>
            </w:r>
          </w:p>
        </w:tc>
        <w:tc>
          <w:tcPr>
            <w:tcW w:w="991" w:type="dxa"/>
            <w:tcBorders>
              <w:top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lang w:val="es-ES" w:eastAsia="es-ES"/>
              </w:rPr>
            </w:pPr>
            <w:r w:rsidRPr="00E45883">
              <w:rPr>
                <w:rFonts w:ascii="Arial Narrow" w:hAnsi="Arial Narrow" w:cs="Arial"/>
                <w:color w:val="000000"/>
                <w:lang w:val="es-ES" w:eastAsia="es-ES"/>
              </w:rPr>
              <w:t>33</w:t>
            </w:r>
          </w:p>
        </w:tc>
        <w:tc>
          <w:tcPr>
            <w:tcW w:w="991" w:type="dxa"/>
            <w:tcBorders>
              <w:top w:val="single" w:sz="2" w:space="0" w:color="auto"/>
            </w:tcBorders>
            <w:vAlign w:val="center"/>
          </w:tcPr>
          <w:p w:rsidR="00C9781F" w:rsidRPr="00E45883" w:rsidRDefault="00C9781F" w:rsidP="00B53A0A">
            <w:pPr>
              <w:spacing w:after="0"/>
              <w:ind w:left="-122" w:firstLine="0"/>
              <w:jc w:val="right"/>
              <w:rPr>
                <w:rFonts w:ascii="Arial Narrow" w:hAnsi="Arial Narrow" w:cs="Arial"/>
                <w:color w:val="000000"/>
                <w:lang w:val="es-ES" w:eastAsia="es-ES"/>
              </w:rPr>
            </w:pPr>
            <w:r w:rsidRPr="00E45883">
              <w:rPr>
                <w:rFonts w:ascii="Arial Narrow" w:hAnsi="Arial Narrow" w:cs="Arial"/>
                <w:color w:val="000000"/>
                <w:lang w:val="es-ES" w:eastAsia="es-ES"/>
              </w:rPr>
              <w:t>33</w:t>
            </w:r>
          </w:p>
        </w:tc>
      </w:tr>
    </w:tbl>
    <w:p w:rsidR="001544CC" w:rsidRPr="0018721D" w:rsidRDefault="001544CC" w:rsidP="001544CC">
      <w:pPr>
        <w:spacing w:before="60" w:after="0"/>
        <w:ind w:firstLine="0"/>
        <w:jc w:val="left"/>
        <w:rPr>
          <w:rFonts w:ascii="Arial" w:hAnsi="Arial" w:cs="Arial"/>
          <w:sz w:val="16"/>
          <w:szCs w:val="16"/>
        </w:rPr>
      </w:pPr>
      <w:r w:rsidRPr="0018721D">
        <w:rPr>
          <w:rFonts w:ascii="Arial" w:hAnsi="Arial" w:cs="Arial"/>
          <w:sz w:val="16"/>
          <w:szCs w:val="16"/>
        </w:rPr>
        <w:t>*</w:t>
      </w:r>
      <w:r>
        <w:rPr>
          <w:rFonts w:ascii="Arial" w:hAnsi="Arial" w:cs="Arial"/>
          <w:sz w:val="16"/>
          <w:szCs w:val="16"/>
        </w:rPr>
        <w:t xml:space="preserve"> </w:t>
      </w:r>
      <w:r w:rsidR="00F51843">
        <w:rPr>
          <w:rFonts w:ascii="Arial" w:hAnsi="Arial" w:cs="Arial"/>
          <w:sz w:val="16"/>
          <w:szCs w:val="16"/>
        </w:rPr>
        <w:t>El uno por ciento de estos accesos corresponde a anulaciones</w:t>
      </w:r>
      <w:r>
        <w:rPr>
          <w:rFonts w:ascii="Arial" w:hAnsi="Arial" w:cs="Arial"/>
          <w:sz w:val="16"/>
          <w:szCs w:val="16"/>
        </w:rPr>
        <w:t>.</w:t>
      </w:r>
    </w:p>
    <w:p w:rsidR="00C9781F" w:rsidRDefault="00C9781F" w:rsidP="00FB0E27">
      <w:pPr>
        <w:pStyle w:val="texto"/>
        <w:tabs>
          <w:tab w:val="clear" w:pos="2835"/>
          <w:tab w:val="clear" w:pos="3969"/>
          <w:tab w:val="clear" w:pos="5103"/>
          <w:tab w:val="clear" w:pos="6237"/>
          <w:tab w:val="clear" w:pos="7371"/>
          <w:tab w:val="left" w:pos="0"/>
        </w:tabs>
        <w:spacing w:before="200"/>
        <w:rPr>
          <w:szCs w:val="26"/>
        </w:rPr>
      </w:pPr>
      <w:r>
        <w:rPr>
          <w:szCs w:val="26"/>
        </w:rPr>
        <w:t>Como se observa, en el periodo analizado en el 34 por ciento de las ocasi</w:t>
      </w:r>
      <w:r>
        <w:rPr>
          <w:szCs w:val="26"/>
        </w:rPr>
        <w:t>o</w:t>
      </w:r>
      <w:r>
        <w:rPr>
          <w:szCs w:val="26"/>
        </w:rPr>
        <w:t xml:space="preserve">nes se accedió manualmente a los datos de los pacientes sin dispensar ningún medicamento. </w:t>
      </w:r>
    </w:p>
    <w:p w:rsidR="00C9781F" w:rsidRDefault="00C9781F" w:rsidP="00C9781F">
      <w:pPr>
        <w:pStyle w:val="texto"/>
        <w:tabs>
          <w:tab w:val="clear" w:pos="2835"/>
          <w:tab w:val="clear" w:pos="3969"/>
          <w:tab w:val="clear" w:pos="5103"/>
          <w:tab w:val="clear" w:pos="6237"/>
          <w:tab w:val="clear" w:pos="7371"/>
        </w:tabs>
        <w:spacing w:after="120"/>
        <w:rPr>
          <w:szCs w:val="26"/>
        </w:rPr>
      </w:pPr>
      <w:r>
        <w:rPr>
          <w:szCs w:val="26"/>
        </w:rPr>
        <w:t xml:space="preserve">La introducción manual del CIPNA implica la existencia de </w:t>
      </w:r>
      <w:r w:rsidR="00A217FD">
        <w:rPr>
          <w:szCs w:val="26"/>
        </w:rPr>
        <w:t xml:space="preserve">los siguientes riesgos: </w:t>
      </w:r>
      <w:r>
        <w:rPr>
          <w:szCs w:val="26"/>
        </w:rPr>
        <w:t>se pued</w:t>
      </w:r>
      <w:r w:rsidR="00A217FD">
        <w:rPr>
          <w:szCs w:val="26"/>
        </w:rPr>
        <w:t>e</w:t>
      </w:r>
      <w:r>
        <w:rPr>
          <w:szCs w:val="26"/>
        </w:rPr>
        <w:t>n producir “dispensaciones en vacío”, que son aquellas que suponen facturar medicamentos al SNS-O sin haberlos entregado al paciente incluyendo el cupón, y guardando el medicamento</w:t>
      </w:r>
      <w:r w:rsidR="00A217FD">
        <w:rPr>
          <w:szCs w:val="26"/>
        </w:rPr>
        <w:t>; por otro lado, pueden darse equivocaciones que impliquen dispensar al paciente medicamentos prescritos a otro.</w:t>
      </w:r>
      <w:r>
        <w:rPr>
          <w:szCs w:val="26"/>
        </w:rPr>
        <w:t xml:space="preserve"> </w:t>
      </w:r>
    </w:p>
    <w:p w:rsidR="00C9781F" w:rsidRDefault="00C9781F" w:rsidP="00C9781F">
      <w:pPr>
        <w:pStyle w:val="texto"/>
        <w:tabs>
          <w:tab w:val="clear" w:pos="2835"/>
          <w:tab w:val="clear" w:pos="3969"/>
          <w:tab w:val="clear" w:pos="5103"/>
          <w:tab w:val="clear" w:pos="6237"/>
          <w:tab w:val="clear" w:pos="7371"/>
        </w:tabs>
        <w:spacing w:after="240"/>
        <w:rPr>
          <w:szCs w:val="26"/>
        </w:rPr>
      </w:pPr>
      <w:r>
        <w:rPr>
          <w:szCs w:val="26"/>
        </w:rPr>
        <w:t>De hecho, este es el principal motivo relacionado directamente con la gestión de la receta electrónica, según la información proporcionada por la Sección de Inspección, por la cual se han emitido resoluciones de requerimiento e impue</w:t>
      </w:r>
      <w:r>
        <w:rPr>
          <w:szCs w:val="26"/>
        </w:rPr>
        <w:t>s</w:t>
      </w:r>
      <w:r>
        <w:rPr>
          <w:szCs w:val="26"/>
        </w:rPr>
        <w:t>to sanciones de acuerdo a la siguiente información:</w:t>
      </w:r>
    </w:p>
    <w:tbl>
      <w:tblPr>
        <w:tblStyle w:val="Tablaconcuadrcula"/>
        <w:tblW w:w="8789"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3860"/>
        <w:gridCol w:w="851"/>
        <w:gridCol w:w="818"/>
        <w:gridCol w:w="819"/>
        <w:gridCol w:w="819"/>
        <w:gridCol w:w="775"/>
        <w:gridCol w:w="847"/>
      </w:tblGrid>
      <w:tr w:rsidR="00C9781F" w:rsidRPr="00673524" w:rsidTr="00A217FD">
        <w:trPr>
          <w:trHeight w:val="198"/>
          <w:jc w:val="center"/>
        </w:trPr>
        <w:tc>
          <w:tcPr>
            <w:tcW w:w="3860" w:type="dxa"/>
            <w:tcBorders>
              <w:bottom w:val="single" w:sz="2" w:space="0" w:color="auto"/>
            </w:tcBorders>
            <w:shd w:val="clear" w:color="auto" w:fill="B8CCE4" w:themeFill="accent1" w:themeFillTint="66"/>
          </w:tcPr>
          <w:p w:rsidR="00C9781F" w:rsidRPr="00673524" w:rsidRDefault="00C9781F" w:rsidP="00B53A0A">
            <w:pPr>
              <w:pStyle w:val="texto"/>
              <w:tabs>
                <w:tab w:val="clear" w:pos="2835"/>
                <w:tab w:val="clear" w:pos="3969"/>
                <w:tab w:val="clear" w:pos="5103"/>
                <w:tab w:val="clear" w:pos="6237"/>
                <w:tab w:val="clear" w:pos="7371"/>
              </w:tabs>
              <w:spacing w:after="0"/>
              <w:ind w:right="-95" w:firstLine="0"/>
              <w:jc w:val="right"/>
              <w:rPr>
                <w:rFonts w:ascii="Arial" w:hAnsi="Arial" w:cs="Arial"/>
                <w:sz w:val="18"/>
                <w:szCs w:val="18"/>
              </w:rPr>
            </w:pPr>
          </w:p>
        </w:tc>
        <w:tc>
          <w:tcPr>
            <w:tcW w:w="851" w:type="dxa"/>
            <w:tcBorders>
              <w:bottom w:val="single" w:sz="2" w:space="0" w:color="auto"/>
            </w:tcBorders>
            <w:shd w:val="clear" w:color="auto" w:fill="B8CCE4" w:themeFill="accent1" w:themeFillTint="66"/>
          </w:tcPr>
          <w:p w:rsidR="00C9781F" w:rsidRPr="00673524"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673524">
              <w:rPr>
                <w:rFonts w:ascii="Arial" w:hAnsi="Arial" w:cs="Arial"/>
                <w:sz w:val="18"/>
                <w:szCs w:val="18"/>
              </w:rPr>
              <w:t>2013</w:t>
            </w:r>
          </w:p>
        </w:tc>
        <w:tc>
          <w:tcPr>
            <w:tcW w:w="818" w:type="dxa"/>
            <w:tcBorders>
              <w:bottom w:val="single" w:sz="2" w:space="0" w:color="auto"/>
            </w:tcBorders>
            <w:shd w:val="clear" w:color="auto" w:fill="B8CCE4" w:themeFill="accent1" w:themeFillTint="66"/>
          </w:tcPr>
          <w:p w:rsidR="00C9781F" w:rsidRPr="00673524"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673524">
              <w:rPr>
                <w:rFonts w:ascii="Arial" w:hAnsi="Arial" w:cs="Arial"/>
                <w:sz w:val="18"/>
                <w:szCs w:val="18"/>
              </w:rPr>
              <w:t>2014</w:t>
            </w:r>
          </w:p>
        </w:tc>
        <w:tc>
          <w:tcPr>
            <w:tcW w:w="819" w:type="dxa"/>
            <w:tcBorders>
              <w:bottom w:val="single" w:sz="2" w:space="0" w:color="auto"/>
            </w:tcBorders>
            <w:shd w:val="clear" w:color="auto" w:fill="B8CCE4" w:themeFill="accent1" w:themeFillTint="66"/>
          </w:tcPr>
          <w:p w:rsidR="00C9781F" w:rsidRPr="00673524"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673524">
              <w:rPr>
                <w:rFonts w:ascii="Arial" w:hAnsi="Arial" w:cs="Arial"/>
                <w:sz w:val="18"/>
                <w:szCs w:val="18"/>
              </w:rPr>
              <w:t>2015</w:t>
            </w:r>
          </w:p>
        </w:tc>
        <w:tc>
          <w:tcPr>
            <w:tcW w:w="819" w:type="dxa"/>
            <w:tcBorders>
              <w:bottom w:val="single" w:sz="2" w:space="0" w:color="auto"/>
            </w:tcBorders>
            <w:shd w:val="clear" w:color="auto" w:fill="B8CCE4" w:themeFill="accent1" w:themeFillTint="66"/>
          </w:tcPr>
          <w:p w:rsidR="00C9781F" w:rsidRPr="00673524"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673524">
              <w:rPr>
                <w:rFonts w:ascii="Arial" w:hAnsi="Arial" w:cs="Arial"/>
                <w:sz w:val="18"/>
                <w:szCs w:val="18"/>
              </w:rPr>
              <w:t>2016</w:t>
            </w:r>
          </w:p>
        </w:tc>
        <w:tc>
          <w:tcPr>
            <w:tcW w:w="775" w:type="dxa"/>
            <w:tcBorders>
              <w:bottom w:val="single" w:sz="2" w:space="0" w:color="auto"/>
            </w:tcBorders>
            <w:shd w:val="clear" w:color="auto" w:fill="B8CCE4" w:themeFill="accent1" w:themeFillTint="66"/>
          </w:tcPr>
          <w:p w:rsidR="00C9781F" w:rsidRPr="00673524"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673524">
              <w:rPr>
                <w:rFonts w:ascii="Arial" w:hAnsi="Arial" w:cs="Arial"/>
                <w:sz w:val="18"/>
                <w:szCs w:val="18"/>
              </w:rPr>
              <w:t>2017</w:t>
            </w:r>
          </w:p>
        </w:tc>
        <w:tc>
          <w:tcPr>
            <w:tcW w:w="847" w:type="dxa"/>
            <w:tcBorders>
              <w:bottom w:val="single" w:sz="2" w:space="0" w:color="auto"/>
            </w:tcBorders>
            <w:shd w:val="clear" w:color="auto" w:fill="B8CCE4" w:themeFill="accent1" w:themeFillTint="66"/>
          </w:tcPr>
          <w:p w:rsidR="00C9781F" w:rsidRPr="00673524" w:rsidRDefault="00C9781F" w:rsidP="00B53A0A">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673524">
              <w:rPr>
                <w:rFonts w:ascii="Arial" w:hAnsi="Arial" w:cs="Arial"/>
                <w:sz w:val="18"/>
                <w:szCs w:val="18"/>
              </w:rPr>
              <w:t>2018</w:t>
            </w:r>
          </w:p>
        </w:tc>
      </w:tr>
      <w:tr w:rsidR="00C9781F" w:rsidRPr="00673524" w:rsidTr="00A217FD">
        <w:trPr>
          <w:trHeight w:val="198"/>
          <w:jc w:val="center"/>
        </w:trPr>
        <w:tc>
          <w:tcPr>
            <w:tcW w:w="3860" w:type="dxa"/>
            <w:tcBorders>
              <w:top w:val="single" w:sz="2" w:space="0" w:color="auto"/>
            </w:tcBorders>
            <w:shd w:val="clear" w:color="auto" w:fill="B8CCE4" w:themeFill="accent1" w:themeFillTint="66"/>
          </w:tcPr>
          <w:p w:rsidR="00C9781F" w:rsidRPr="00673524" w:rsidRDefault="00C9781F" w:rsidP="00B53A0A">
            <w:pPr>
              <w:pStyle w:val="texto"/>
              <w:tabs>
                <w:tab w:val="clear" w:pos="2835"/>
                <w:tab w:val="clear" w:pos="3969"/>
                <w:tab w:val="clear" w:pos="5103"/>
                <w:tab w:val="clear" w:pos="6237"/>
                <w:tab w:val="clear" w:pos="7371"/>
              </w:tabs>
              <w:spacing w:after="0"/>
              <w:ind w:right="-95" w:firstLine="0"/>
              <w:jc w:val="right"/>
              <w:rPr>
                <w:rFonts w:ascii="Arial" w:hAnsi="Arial" w:cs="Arial"/>
                <w:sz w:val="18"/>
                <w:szCs w:val="18"/>
              </w:rPr>
            </w:pPr>
          </w:p>
        </w:tc>
        <w:tc>
          <w:tcPr>
            <w:tcW w:w="4929" w:type="dxa"/>
            <w:gridSpan w:val="6"/>
            <w:tcBorders>
              <w:top w:val="single" w:sz="2" w:space="0" w:color="auto"/>
            </w:tcBorders>
            <w:shd w:val="clear" w:color="auto" w:fill="B8CCE4" w:themeFill="accent1" w:themeFillTint="66"/>
          </w:tcPr>
          <w:p w:rsidR="00C9781F" w:rsidRPr="00673524" w:rsidRDefault="00C9781F" w:rsidP="00B53A0A">
            <w:pPr>
              <w:pStyle w:val="texto"/>
              <w:tabs>
                <w:tab w:val="clear" w:pos="2835"/>
                <w:tab w:val="clear" w:pos="3969"/>
                <w:tab w:val="clear" w:pos="5103"/>
                <w:tab w:val="clear" w:pos="6237"/>
                <w:tab w:val="clear" w:pos="7371"/>
              </w:tabs>
              <w:spacing w:after="0"/>
              <w:ind w:firstLine="0"/>
              <w:jc w:val="center"/>
              <w:rPr>
                <w:rFonts w:ascii="Arial" w:hAnsi="Arial" w:cs="Arial"/>
                <w:sz w:val="18"/>
                <w:szCs w:val="18"/>
              </w:rPr>
            </w:pPr>
            <w:r w:rsidRPr="00673524">
              <w:rPr>
                <w:rFonts w:ascii="Arial" w:hAnsi="Arial" w:cs="Arial"/>
                <w:sz w:val="18"/>
                <w:szCs w:val="18"/>
              </w:rPr>
              <w:t>Inspecciones</w:t>
            </w:r>
          </w:p>
        </w:tc>
      </w:tr>
      <w:tr w:rsidR="00C9781F" w:rsidRPr="00E45883" w:rsidTr="00A217FD">
        <w:trPr>
          <w:trHeight w:val="198"/>
          <w:jc w:val="center"/>
        </w:trPr>
        <w:tc>
          <w:tcPr>
            <w:tcW w:w="3860" w:type="dxa"/>
          </w:tcPr>
          <w:p w:rsidR="00C9781F" w:rsidRPr="00E45883" w:rsidRDefault="00C9781F" w:rsidP="00B53A0A">
            <w:pPr>
              <w:pStyle w:val="texto"/>
              <w:tabs>
                <w:tab w:val="clear" w:pos="2835"/>
                <w:tab w:val="clear" w:pos="3969"/>
                <w:tab w:val="clear" w:pos="5103"/>
                <w:tab w:val="clear" w:pos="6237"/>
                <w:tab w:val="clear" w:pos="7371"/>
              </w:tabs>
              <w:spacing w:after="0"/>
              <w:ind w:left="-94" w:right="-95" w:firstLine="0"/>
              <w:jc w:val="left"/>
              <w:rPr>
                <w:rFonts w:ascii="Arial Narrow" w:hAnsi="Arial Narrow"/>
                <w:sz w:val="20"/>
                <w:szCs w:val="20"/>
              </w:rPr>
            </w:pPr>
            <w:r w:rsidRPr="00E45883">
              <w:rPr>
                <w:rFonts w:ascii="Arial Narrow" w:hAnsi="Arial Narrow"/>
                <w:sz w:val="20"/>
                <w:szCs w:val="20"/>
              </w:rPr>
              <w:t>Motivo inspección:</w:t>
            </w:r>
          </w:p>
          <w:p w:rsidR="00C9781F" w:rsidRPr="00E45883" w:rsidRDefault="00C9781F" w:rsidP="00B53A0A">
            <w:pPr>
              <w:pStyle w:val="texto"/>
              <w:tabs>
                <w:tab w:val="clear" w:pos="2835"/>
                <w:tab w:val="clear" w:pos="3969"/>
                <w:tab w:val="clear" w:pos="5103"/>
                <w:tab w:val="clear" w:pos="6237"/>
                <w:tab w:val="clear" w:pos="7371"/>
              </w:tabs>
              <w:spacing w:after="0"/>
              <w:ind w:left="102" w:right="-95" w:firstLine="0"/>
              <w:jc w:val="left"/>
              <w:rPr>
                <w:rFonts w:ascii="Arial Narrow" w:hAnsi="Arial Narrow"/>
                <w:sz w:val="20"/>
                <w:szCs w:val="20"/>
              </w:rPr>
            </w:pPr>
            <w:r w:rsidRPr="00E45883">
              <w:rPr>
                <w:rFonts w:ascii="Arial Narrow" w:hAnsi="Arial Narrow"/>
                <w:sz w:val="20"/>
                <w:szCs w:val="20"/>
              </w:rPr>
              <w:t>Oficio</w:t>
            </w:r>
          </w:p>
          <w:p w:rsidR="00C9781F" w:rsidRPr="00E45883" w:rsidRDefault="00C9781F" w:rsidP="00B53A0A">
            <w:pPr>
              <w:pStyle w:val="texto"/>
              <w:tabs>
                <w:tab w:val="clear" w:pos="2835"/>
                <w:tab w:val="clear" w:pos="3969"/>
                <w:tab w:val="clear" w:pos="5103"/>
                <w:tab w:val="clear" w:pos="6237"/>
                <w:tab w:val="clear" w:pos="7371"/>
              </w:tabs>
              <w:spacing w:after="0"/>
              <w:ind w:left="102" w:right="-95" w:firstLine="0"/>
              <w:jc w:val="left"/>
              <w:rPr>
                <w:rFonts w:ascii="Arial Narrow" w:hAnsi="Arial Narrow"/>
                <w:sz w:val="20"/>
                <w:szCs w:val="20"/>
              </w:rPr>
            </w:pPr>
            <w:r w:rsidRPr="00E45883">
              <w:rPr>
                <w:rFonts w:ascii="Arial Narrow" w:hAnsi="Arial Narrow"/>
                <w:sz w:val="20"/>
                <w:szCs w:val="20"/>
              </w:rPr>
              <w:t>Denuncia</w:t>
            </w:r>
          </w:p>
          <w:p w:rsidR="00C9781F" w:rsidRPr="00E45883" w:rsidRDefault="00C9781F" w:rsidP="00B53A0A">
            <w:pPr>
              <w:pStyle w:val="texto"/>
              <w:tabs>
                <w:tab w:val="clear" w:pos="2835"/>
                <w:tab w:val="clear" w:pos="3969"/>
                <w:tab w:val="clear" w:pos="5103"/>
                <w:tab w:val="clear" w:pos="6237"/>
                <w:tab w:val="clear" w:pos="7371"/>
              </w:tabs>
              <w:spacing w:after="0"/>
              <w:ind w:left="102" w:right="-95" w:firstLine="0"/>
              <w:jc w:val="left"/>
              <w:rPr>
                <w:rFonts w:ascii="Arial Narrow" w:hAnsi="Arial Narrow"/>
                <w:sz w:val="20"/>
                <w:szCs w:val="20"/>
              </w:rPr>
            </w:pPr>
            <w:r w:rsidRPr="00E45883">
              <w:rPr>
                <w:rFonts w:ascii="Arial Narrow" w:hAnsi="Arial Narrow"/>
                <w:sz w:val="20"/>
                <w:szCs w:val="20"/>
              </w:rPr>
              <w:t>Otros</w:t>
            </w:r>
          </w:p>
          <w:p w:rsidR="00C9781F" w:rsidRPr="00E45883" w:rsidRDefault="00C9781F" w:rsidP="00B53A0A">
            <w:pPr>
              <w:pStyle w:val="texto"/>
              <w:tabs>
                <w:tab w:val="clear" w:pos="2835"/>
                <w:tab w:val="clear" w:pos="3969"/>
                <w:tab w:val="clear" w:pos="5103"/>
                <w:tab w:val="clear" w:pos="6237"/>
                <w:tab w:val="clear" w:pos="7371"/>
              </w:tabs>
              <w:spacing w:after="0"/>
              <w:ind w:left="102" w:right="-95" w:firstLine="0"/>
              <w:jc w:val="left"/>
              <w:rPr>
                <w:rFonts w:ascii="Arial Narrow" w:hAnsi="Arial Narrow"/>
                <w:sz w:val="20"/>
                <w:szCs w:val="20"/>
              </w:rPr>
            </w:pPr>
            <w:r w:rsidRPr="00E45883">
              <w:rPr>
                <w:rFonts w:ascii="Arial Narrow" w:hAnsi="Arial Narrow"/>
                <w:sz w:val="20"/>
                <w:szCs w:val="20"/>
              </w:rPr>
              <w:t>Total</w:t>
            </w:r>
          </w:p>
        </w:tc>
        <w:tc>
          <w:tcPr>
            <w:tcW w:w="851" w:type="dxa"/>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98</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7</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61</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166</w:t>
            </w:r>
          </w:p>
        </w:tc>
        <w:tc>
          <w:tcPr>
            <w:tcW w:w="818" w:type="dxa"/>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76</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2</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103</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181</w:t>
            </w:r>
          </w:p>
        </w:tc>
        <w:tc>
          <w:tcPr>
            <w:tcW w:w="819" w:type="dxa"/>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71</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1</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93</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165</w:t>
            </w:r>
          </w:p>
        </w:tc>
        <w:tc>
          <w:tcPr>
            <w:tcW w:w="819" w:type="dxa"/>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49</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10</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85</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144</w:t>
            </w:r>
          </w:p>
        </w:tc>
        <w:tc>
          <w:tcPr>
            <w:tcW w:w="775" w:type="dxa"/>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74</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4</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69</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147</w:t>
            </w:r>
          </w:p>
        </w:tc>
        <w:tc>
          <w:tcPr>
            <w:tcW w:w="847" w:type="dxa"/>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70</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3</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98</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171</w:t>
            </w:r>
          </w:p>
        </w:tc>
      </w:tr>
      <w:tr w:rsidR="00C9781F" w:rsidRPr="00673524" w:rsidTr="00A217FD">
        <w:trPr>
          <w:trHeight w:val="198"/>
          <w:jc w:val="center"/>
        </w:trPr>
        <w:tc>
          <w:tcPr>
            <w:tcW w:w="3860" w:type="dxa"/>
            <w:shd w:val="clear" w:color="auto" w:fill="B8CCE4" w:themeFill="accent1" w:themeFillTint="66"/>
          </w:tcPr>
          <w:p w:rsidR="00C9781F" w:rsidRPr="00673524" w:rsidRDefault="00C9781F" w:rsidP="00B53A0A">
            <w:pPr>
              <w:pStyle w:val="texto"/>
              <w:tabs>
                <w:tab w:val="clear" w:pos="2835"/>
                <w:tab w:val="clear" w:pos="3969"/>
                <w:tab w:val="clear" w:pos="5103"/>
                <w:tab w:val="clear" w:pos="6237"/>
                <w:tab w:val="clear" w:pos="7371"/>
              </w:tabs>
              <w:spacing w:after="0"/>
              <w:ind w:right="-95" w:firstLine="0"/>
              <w:jc w:val="right"/>
              <w:rPr>
                <w:rFonts w:ascii="Arial" w:hAnsi="Arial" w:cs="Arial"/>
                <w:sz w:val="18"/>
                <w:szCs w:val="18"/>
              </w:rPr>
            </w:pPr>
          </w:p>
        </w:tc>
        <w:tc>
          <w:tcPr>
            <w:tcW w:w="4929" w:type="dxa"/>
            <w:gridSpan w:val="6"/>
            <w:shd w:val="clear" w:color="auto" w:fill="B8CCE4" w:themeFill="accent1" w:themeFillTint="66"/>
          </w:tcPr>
          <w:p w:rsidR="00C9781F" w:rsidRPr="00673524" w:rsidRDefault="00C9781F" w:rsidP="00B53A0A">
            <w:pPr>
              <w:pStyle w:val="texto"/>
              <w:tabs>
                <w:tab w:val="clear" w:pos="2835"/>
                <w:tab w:val="clear" w:pos="3969"/>
                <w:tab w:val="clear" w:pos="5103"/>
                <w:tab w:val="clear" w:pos="6237"/>
                <w:tab w:val="clear" w:pos="7371"/>
              </w:tabs>
              <w:spacing w:after="0"/>
              <w:ind w:firstLine="0"/>
              <w:jc w:val="center"/>
              <w:rPr>
                <w:rFonts w:ascii="Arial" w:hAnsi="Arial" w:cs="Arial"/>
                <w:sz w:val="18"/>
                <w:szCs w:val="18"/>
              </w:rPr>
            </w:pPr>
            <w:r w:rsidRPr="00673524">
              <w:rPr>
                <w:rFonts w:ascii="Arial" w:hAnsi="Arial" w:cs="Arial"/>
                <w:sz w:val="18"/>
                <w:szCs w:val="18"/>
              </w:rPr>
              <w:t>Requerimientos relacionados con la receta electrónica</w:t>
            </w:r>
          </w:p>
        </w:tc>
      </w:tr>
      <w:tr w:rsidR="00C9781F" w:rsidRPr="00E45883" w:rsidTr="00A217FD">
        <w:trPr>
          <w:trHeight w:val="198"/>
          <w:jc w:val="center"/>
        </w:trPr>
        <w:tc>
          <w:tcPr>
            <w:tcW w:w="3860" w:type="dxa"/>
          </w:tcPr>
          <w:p w:rsidR="00C9781F" w:rsidRPr="00E45883" w:rsidRDefault="00C9781F" w:rsidP="00B53A0A">
            <w:pPr>
              <w:pStyle w:val="texto"/>
              <w:tabs>
                <w:tab w:val="clear" w:pos="2835"/>
                <w:tab w:val="clear" w:pos="3969"/>
                <w:tab w:val="clear" w:pos="5103"/>
                <w:tab w:val="clear" w:pos="6237"/>
                <w:tab w:val="clear" w:pos="7371"/>
              </w:tabs>
              <w:spacing w:after="0"/>
              <w:ind w:left="-94" w:right="-95" w:firstLine="0"/>
              <w:jc w:val="left"/>
              <w:rPr>
                <w:rFonts w:ascii="Arial Narrow" w:hAnsi="Arial Narrow"/>
                <w:sz w:val="20"/>
                <w:szCs w:val="20"/>
              </w:rPr>
            </w:pPr>
            <w:r w:rsidRPr="00E45883">
              <w:rPr>
                <w:rFonts w:ascii="Arial Narrow" w:hAnsi="Arial Narrow"/>
                <w:sz w:val="20"/>
                <w:szCs w:val="20"/>
              </w:rPr>
              <w:t>Motivo requerimiento:</w:t>
            </w:r>
          </w:p>
          <w:p w:rsidR="00C9781F" w:rsidRPr="00E45883" w:rsidRDefault="00C9781F" w:rsidP="00B53A0A">
            <w:pPr>
              <w:pStyle w:val="texto"/>
              <w:tabs>
                <w:tab w:val="clear" w:pos="2835"/>
                <w:tab w:val="clear" w:pos="3969"/>
                <w:tab w:val="clear" w:pos="5103"/>
                <w:tab w:val="clear" w:pos="6237"/>
                <w:tab w:val="clear" w:pos="7371"/>
              </w:tabs>
              <w:spacing w:after="0"/>
              <w:ind w:left="102" w:right="-95" w:firstLine="0"/>
              <w:jc w:val="left"/>
              <w:rPr>
                <w:rFonts w:ascii="Arial Narrow" w:hAnsi="Arial Narrow"/>
                <w:sz w:val="20"/>
                <w:szCs w:val="20"/>
              </w:rPr>
            </w:pPr>
            <w:r w:rsidRPr="00E45883">
              <w:rPr>
                <w:rFonts w:ascii="Arial Narrow" w:hAnsi="Arial Narrow"/>
                <w:sz w:val="20"/>
                <w:szCs w:val="20"/>
              </w:rPr>
              <w:t>Dispensaciones en vacío</w:t>
            </w:r>
          </w:p>
          <w:p w:rsidR="00C9781F" w:rsidRPr="00E45883" w:rsidRDefault="00C9781F" w:rsidP="00B53A0A">
            <w:pPr>
              <w:pStyle w:val="texto"/>
              <w:tabs>
                <w:tab w:val="clear" w:pos="2835"/>
                <w:tab w:val="clear" w:pos="3969"/>
                <w:tab w:val="clear" w:pos="5103"/>
                <w:tab w:val="clear" w:pos="6237"/>
                <w:tab w:val="clear" w:pos="7371"/>
              </w:tabs>
              <w:spacing w:after="0"/>
              <w:ind w:left="102" w:right="-95" w:firstLine="0"/>
              <w:jc w:val="left"/>
              <w:rPr>
                <w:rFonts w:ascii="Arial Narrow" w:hAnsi="Arial Narrow"/>
                <w:sz w:val="20"/>
                <w:szCs w:val="20"/>
              </w:rPr>
            </w:pPr>
            <w:r w:rsidRPr="00E45883">
              <w:rPr>
                <w:rFonts w:ascii="Arial Narrow" w:hAnsi="Arial Narrow"/>
                <w:sz w:val="20"/>
                <w:szCs w:val="20"/>
              </w:rPr>
              <w:t>Listado CIPNA,</w:t>
            </w:r>
            <w:r>
              <w:rPr>
                <w:rFonts w:ascii="Arial Narrow" w:hAnsi="Arial Narrow"/>
                <w:sz w:val="20"/>
                <w:szCs w:val="20"/>
              </w:rPr>
              <w:t xml:space="preserve"> </w:t>
            </w:r>
            <w:r w:rsidRPr="00E45883">
              <w:rPr>
                <w:rFonts w:ascii="Arial Narrow" w:hAnsi="Arial Narrow"/>
                <w:sz w:val="20"/>
                <w:szCs w:val="20"/>
              </w:rPr>
              <w:t>acceso sin presencia paciente Dispensación productos devueltos</w:t>
            </w:r>
          </w:p>
          <w:p w:rsidR="00C9781F" w:rsidRPr="00E45883" w:rsidRDefault="00C9781F" w:rsidP="00B53A0A">
            <w:pPr>
              <w:pStyle w:val="texto"/>
              <w:tabs>
                <w:tab w:val="clear" w:pos="2835"/>
                <w:tab w:val="clear" w:pos="3969"/>
                <w:tab w:val="clear" w:pos="5103"/>
                <w:tab w:val="clear" w:pos="6237"/>
                <w:tab w:val="clear" w:pos="7371"/>
              </w:tabs>
              <w:spacing w:after="0"/>
              <w:ind w:left="102" w:right="-95" w:firstLine="0"/>
              <w:jc w:val="left"/>
              <w:rPr>
                <w:rFonts w:ascii="Arial Narrow" w:hAnsi="Arial Narrow"/>
                <w:sz w:val="20"/>
                <w:szCs w:val="20"/>
              </w:rPr>
            </w:pPr>
            <w:r w:rsidRPr="00E45883">
              <w:rPr>
                <w:rFonts w:ascii="Arial Narrow" w:hAnsi="Arial Narrow"/>
                <w:sz w:val="20"/>
                <w:szCs w:val="20"/>
              </w:rPr>
              <w:t>Fraccionamiento envases</w:t>
            </w:r>
          </w:p>
          <w:p w:rsidR="00C9781F" w:rsidRPr="00E45883" w:rsidRDefault="00C9781F" w:rsidP="00B53A0A">
            <w:pPr>
              <w:pStyle w:val="texto"/>
              <w:tabs>
                <w:tab w:val="clear" w:pos="2835"/>
                <w:tab w:val="clear" w:pos="3969"/>
                <w:tab w:val="clear" w:pos="5103"/>
                <w:tab w:val="clear" w:pos="6237"/>
                <w:tab w:val="clear" w:pos="7371"/>
              </w:tabs>
              <w:spacing w:after="0"/>
              <w:ind w:left="102" w:right="-95" w:firstLine="0"/>
              <w:jc w:val="left"/>
              <w:rPr>
                <w:rFonts w:ascii="Arial Narrow" w:hAnsi="Arial Narrow"/>
                <w:sz w:val="20"/>
                <w:szCs w:val="20"/>
              </w:rPr>
            </w:pPr>
            <w:r w:rsidRPr="00E45883">
              <w:rPr>
                <w:rFonts w:ascii="Arial Narrow" w:hAnsi="Arial Narrow"/>
                <w:sz w:val="20"/>
                <w:szCs w:val="20"/>
              </w:rPr>
              <w:t>Cupones sin adherir a hoja facturación</w:t>
            </w:r>
          </w:p>
          <w:p w:rsidR="00C9781F" w:rsidRPr="00E45883" w:rsidRDefault="00C9781F" w:rsidP="00B53A0A">
            <w:pPr>
              <w:pStyle w:val="texto"/>
              <w:tabs>
                <w:tab w:val="clear" w:pos="2835"/>
                <w:tab w:val="clear" w:pos="3969"/>
                <w:tab w:val="clear" w:pos="5103"/>
                <w:tab w:val="clear" w:pos="6237"/>
                <w:tab w:val="clear" w:pos="7371"/>
              </w:tabs>
              <w:spacing w:after="0"/>
              <w:ind w:left="102" w:right="-95" w:firstLine="0"/>
              <w:jc w:val="left"/>
              <w:rPr>
                <w:rFonts w:ascii="Arial Narrow" w:hAnsi="Arial Narrow"/>
                <w:sz w:val="20"/>
                <w:szCs w:val="20"/>
              </w:rPr>
            </w:pPr>
            <w:r w:rsidRPr="00E45883">
              <w:rPr>
                <w:rFonts w:ascii="Arial Narrow" w:hAnsi="Arial Narrow"/>
                <w:sz w:val="20"/>
                <w:szCs w:val="20"/>
              </w:rPr>
              <w:t xml:space="preserve">Incumplimiento procedimiento facturación </w:t>
            </w:r>
          </w:p>
        </w:tc>
        <w:tc>
          <w:tcPr>
            <w:tcW w:w="851" w:type="dxa"/>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1</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0</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0</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0</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0</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0</w:t>
            </w:r>
          </w:p>
        </w:tc>
        <w:tc>
          <w:tcPr>
            <w:tcW w:w="818" w:type="dxa"/>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0</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5</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0</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0</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0</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0</w:t>
            </w:r>
          </w:p>
        </w:tc>
        <w:tc>
          <w:tcPr>
            <w:tcW w:w="819" w:type="dxa"/>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2</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7</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1</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0</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1</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0</w:t>
            </w:r>
          </w:p>
        </w:tc>
        <w:tc>
          <w:tcPr>
            <w:tcW w:w="819" w:type="dxa"/>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3</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6</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0</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0</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0</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0</w:t>
            </w:r>
          </w:p>
        </w:tc>
        <w:tc>
          <w:tcPr>
            <w:tcW w:w="775" w:type="dxa"/>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1</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6</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1</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1</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0</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1</w:t>
            </w:r>
          </w:p>
        </w:tc>
        <w:tc>
          <w:tcPr>
            <w:tcW w:w="847" w:type="dxa"/>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3</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1</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0</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0</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0</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0</w:t>
            </w:r>
          </w:p>
        </w:tc>
      </w:tr>
      <w:tr w:rsidR="00C9781F" w:rsidRPr="00673524" w:rsidTr="00A217FD">
        <w:trPr>
          <w:trHeight w:val="198"/>
          <w:jc w:val="center"/>
        </w:trPr>
        <w:tc>
          <w:tcPr>
            <w:tcW w:w="3860" w:type="dxa"/>
            <w:shd w:val="clear" w:color="auto" w:fill="B8CCE4" w:themeFill="accent1" w:themeFillTint="66"/>
          </w:tcPr>
          <w:p w:rsidR="00C9781F" w:rsidRPr="00673524" w:rsidRDefault="00C9781F" w:rsidP="00B53A0A">
            <w:pPr>
              <w:pStyle w:val="texto"/>
              <w:tabs>
                <w:tab w:val="clear" w:pos="2835"/>
                <w:tab w:val="clear" w:pos="3969"/>
                <w:tab w:val="clear" w:pos="5103"/>
                <w:tab w:val="clear" w:pos="6237"/>
                <w:tab w:val="clear" w:pos="7371"/>
              </w:tabs>
              <w:spacing w:after="0"/>
              <w:ind w:right="-95" w:firstLine="0"/>
              <w:jc w:val="right"/>
              <w:rPr>
                <w:rFonts w:ascii="Arial" w:hAnsi="Arial" w:cs="Arial"/>
                <w:sz w:val="18"/>
                <w:szCs w:val="18"/>
              </w:rPr>
            </w:pPr>
          </w:p>
        </w:tc>
        <w:tc>
          <w:tcPr>
            <w:tcW w:w="4929" w:type="dxa"/>
            <w:gridSpan w:val="6"/>
            <w:shd w:val="clear" w:color="auto" w:fill="B8CCE4" w:themeFill="accent1" w:themeFillTint="66"/>
          </w:tcPr>
          <w:p w:rsidR="00C9781F" w:rsidRPr="00673524" w:rsidRDefault="00C9781F" w:rsidP="00B53A0A">
            <w:pPr>
              <w:pStyle w:val="texto"/>
              <w:tabs>
                <w:tab w:val="clear" w:pos="2835"/>
                <w:tab w:val="clear" w:pos="3969"/>
                <w:tab w:val="clear" w:pos="5103"/>
                <w:tab w:val="clear" w:pos="6237"/>
                <w:tab w:val="clear" w:pos="7371"/>
              </w:tabs>
              <w:spacing w:after="0"/>
              <w:ind w:firstLine="0"/>
              <w:jc w:val="center"/>
              <w:rPr>
                <w:rFonts w:ascii="Arial" w:hAnsi="Arial" w:cs="Arial"/>
                <w:sz w:val="18"/>
                <w:szCs w:val="18"/>
              </w:rPr>
            </w:pPr>
            <w:r w:rsidRPr="00673524">
              <w:rPr>
                <w:rFonts w:ascii="Arial" w:hAnsi="Arial" w:cs="Arial"/>
                <w:sz w:val="18"/>
                <w:szCs w:val="18"/>
              </w:rPr>
              <w:t>Sanciones relacionadas con la receta electrónica</w:t>
            </w:r>
          </w:p>
        </w:tc>
      </w:tr>
      <w:tr w:rsidR="00C9781F" w:rsidRPr="00E45883" w:rsidTr="00A217FD">
        <w:trPr>
          <w:trHeight w:val="198"/>
          <w:jc w:val="center"/>
        </w:trPr>
        <w:tc>
          <w:tcPr>
            <w:tcW w:w="3860" w:type="dxa"/>
            <w:tcBorders>
              <w:bottom w:val="single" w:sz="2" w:space="0" w:color="auto"/>
            </w:tcBorders>
          </w:tcPr>
          <w:p w:rsidR="00C9781F" w:rsidRPr="00E45883" w:rsidRDefault="00C9781F" w:rsidP="00B53A0A">
            <w:pPr>
              <w:pStyle w:val="texto"/>
              <w:tabs>
                <w:tab w:val="clear" w:pos="2835"/>
                <w:tab w:val="clear" w:pos="3969"/>
                <w:tab w:val="clear" w:pos="5103"/>
                <w:tab w:val="clear" w:pos="6237"/>
                <w:tab w:val="clear" w:pos="7371"/>
              </w:tabs>
              <w:spacing w:after="0"/>
              <w:ind w:left="-80" w:right="-95" w:firstLine="0"/>
              <w:jc w:val="left"/>
              <w:rPr>
                <w:rFonts w:ascii="Arial Narrow" w:hAnsi="Arial Narrow"/>
                <w:sz w:val="20"/>
                <w:szCs w:val="20"/>
              </w:rPr>
            </w:pPr>
            <w:r w:rsidRPr="00E45883">
              <w:rPr>
                <w:rFonts w:ascii="Arial Narrow" w:hAnsi="Arial Narrow"/>
                <w:sz w:val="20"/>
                <w:szCs w:val="20"/>
              </w:rPr>
              <w:t>Nº sanciones</w:t>
            </w:r>
          </w:p>
        </w:tc>
        <w:tc>
          <w:tcPr>
            <w:tcW w:w="851" w:type="dxa"/>
            <w:tcBorders>
              <w:bottom w:val="single" w:sz="2" w:space="0" w:color="auto"/>
            </w:tcBorders>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9</w:t>
            </w:r>
          </w:p>
        </w:tc>
        <w:tc>
          <w:tcPr>
            <w:tcW w:w="818" w:type="dxa"/>
            <w:tcBorders>
              <w:bottom w:val="single" w:sz="2" w:space="0" w:color="auto"/>
            </w:tcBorders>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2</w:t>
            </w:r>
          </w:p>
        </w:tc>
        <w:tc>
          <w:tcPr>
            <w:tcW w:w="819" w:type="dxa"/>
            <w:tcBorders>
              <w:bottom w:val="single" w:sz="2" w:space="0" w:color="auto"/>
            </w:tcBorders>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3</w:t>
            </w:r>
          </w:p>
        </w:tc>
        <w:tc>
          <w:tcPr>
            <w:tcW w:w="819" w:type="dxa"/>
            <w:tcBorders>
              <w:bottom w:val="single" w:sz="2" w:space="0" w:color="auto"/>
            </w:tcBorders>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4</w:t>
            </w:r>
          </w:p>
        </w:tc>
        <w:tc>
          <w:tcPr>
            <w:tcW w:w="775" w:type="dxa"/>
            <w:tcBorders>
              <w:bottom w:val="single" w:sz="2" w:space="0" w:color="auto"/>
            </w:tcBorders>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0</w:t>
            </w:r>
          </w:p>
        </w:tc>
        <w:tc>
          <w:tcPr>
            <w:tcW w:w="847" w:type="dxa"/>
            <w:tcBorders>
              <w:bottom w:val="single" w:sz="2" w:space="0" w:color="auto"/>
            </w:tcBorders>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3</w:t>
            </w:r>
          </w:p>
        </w:tc>
      </w:tr>
      <w:tr w:rsidR="00C9781F" w:rsidRPr="00E45883" w:rsidTr="00A217FD">
        <w:trPr>
          <w:trHeight w:val="198"/>
          <w:jc w:val="center"/>
        </w:trPr>
        <w:tc>
          <w:tcPr>
            <w:tcW w:w="3860" w:type="dxa"/>
            <w:tcBorders>
              <w:top w:val="single" w:sz="2" w:space="0" w:color="auto"/>
              <w:bottom w:val="single" w:sz="2" w:space="0" w:color="auto"/>
            </w:tcBorders>
          </w:tcPr>
          <w:p w:rsidR="00C9781F" w:rsidRPr="00E45883" w:rsidRDefault="00C9781F" w:rsidP="00B53A0A">
            <w:pPr>
              <w:pStyle w:val="texto"/>
              <w:tabs>
                <w:tab w:val="clear" w:pos="2835"/>
                <w:tab w:val="clear" w:pos="3969"/>
                <w:tab w:val="clear" w:pos="5103"/>
                <w:tab w:val="clear" w:pos="6237"/>
                <w:tab w:val="clear" w:pos="7371"/>
              </w:tabs>
              <w:spacing w:after="0"/>
              <w:ind w:left="-80" w:right="-95" w:firstLine="0"/>
              <w:jc w:val="left"/>
              <w:rPr>
                <w:rFonts w:ascii="Arial Narrow" w:hAnsi="Arial Narrow"/>
                <w:sz w:val="20"/>
                <w:szCs w:val="20"/>
              </w:rPr>
            </w:pPr>
            <w:r w:rsidRPr="00E45883">
              <w:rPr>
                <w:rFonts w:ascii="Arial Narrow" w:hAnsi="Arial Narrow"/>
                <w:sz w:val="20"/>
                <w:szCs w:val="20"/>
              </w:rPr>
              <w:t>Importe</w:t>
            </w:r>
          </w:p>
        </w:tc>
        <w:tc>
          <w:tcPr>
            <w:tcW w:w="851" w:type="dxa"/>
            <w:tcBorders>
              <w:top w:val="single" w:sz="2" w:space="0" w:color="auto"/>
              <w:bottom w:val="single" w:sz="2" w:space="0" w:color="auto"/>
            </w:tcBorders>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180.000</w:t>
            </w:r>
          </w:p>
        </w:tc>
        <w:tc>
          <w:tcPr>
            <w:tcW w:w="818" w:type="dxa"/>
            <w:tcBorders>
              <w:top w:val="single" w:sz="2" w:space="0" w:color="auto"/>
              <w:bottom w:val="single" w:sz="2" w:space="0" w:color="auto"/>
            </w:tcBorders>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60.000</w:t>
            </w:r>
          </w:p>
        </w:tc>
        <w:tc>
          <w:tcPr>
            <w:tcW w:w="819" w:type="dxa"/>
            <w:tcBorders>
              <w:top w:val="single" w:sz="2" w:space="0" w:color="auto"/>
              <w:bottom w:val="single" w:sz="2" w:space="0" w:color="auto"/>
            </w:tcBorders>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25.000</w:t>
            </w:r>
          </w:p>
        </w:tc>
        <w:tc>
          <w:tcPr>
            <w:tcW w:w="819" w:type="dxa"/>
            <w:tcBorders>
              <w:top w:val="single" w:sz="2" w:space="0" w:color="auto"/>
              <w:bottom w:val="single" w:sz="2" w:space="0" w:color="auto"/>
            </w:tcBorders>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57.000</w:t>
            </w:r>
          </w:p>
        </w:tc>
        <w:tc>
          <w:tcPr>
            <w:tcW w:w="775" w:type="dxa"/>
            <w:tcBorders>
              <w:top w:val="single" w:sz="2" w:space="0" w:color="auto"/>
              <w:bottom w:val="single" w:sz="2" w:space="0" w:color="auto"/>
            </w:tcBorders>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0</w:t>
            </w:r>
          </w:p>
        </w:tc>
        <w:tc>
          <w:tcPr>
            <w:tcW w:w="847" w:type="dxa"/>
            <w:tcBorders>
              <w:top w:val="single" w:sz="2" w:space="0" w:color="auto"/>
              <w:bottom w:val="single" w:sz="2" w:space="0" w:color="auto"/>
            </w:tcBorders>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vertAlign w:val="superscript"/>
              </w:rPr>
            </w:pPr>
            <w:r w:rsidRPr="00E45883">
              <w:rPr>
                <w:rFonts w:ascii="Arial Narrow" w:hAnsi="Arial Narrow"/>
                <w:sz w:val="20"/>
                <w:szCs w:val="20"/>
              </w:rPr>
              <w:t>20.000</w:t>
            </w:r>
            <w:r w:rsidRPr="00E45883">
              <w:rPr>
                <w:rFonts w:ascii="Arial Narrow" w:hAnsi="Arial Narrow"/>
                <w:sz w:val="20"/>
                <w:szCs w:val="20"/>
                <w:vertAlign w:val="superscript"/>
              </w:rPr>
              <w:t>a</w:t>
            </w:r>
          </w:p>
        </w:tc>
      </w:tr>
      <w:tr w:rsidR="00C9781F" w:rsidRPr="00E45883" w:rsidTr="00A217FD">
        <w:trPr>
          <w:trHeight w:val="198"/>
          <w:jc w:val="center"/>
        </w:trPr>
        <w:tc>
          <w:tcPr>
            <w:tcW w:w="3860" w:type="dxa"/>
            <w:tcBorders>
              <w:top w:val="single" w:sz="2" w:space="0" w:color="auto"/>
              <w:bottom w:val="single" w:sz="4" w:space="0" w:color="auto"/>
            </w:tcBorders>
          </w:tcPr>
          <w:p w:rsidR="00C9781F" w:rsidRPr="00E45883" w:rsidRDefault="00C9781F" w:rsidP="00B53A0A">
            <w:pPr>
              <w:pStyle w:val="texto"/>
              <w:tabs>
                <w:tab w:val="clear" w:pos="2835"/>
                <w:tab w:val="clear" w:pos="3969"/>
                <w:tab w:val="clear" w:pos="5103"/>
                <w:tab w:val="clear" w:pos="6237"/>
                <w:tab w:val="clear" w:pos="7371"/>
              </w:tabs>
              <w:spacing w:after="0"/>
              <w:ind w:left="-94" w:right="-95" w:firstLine="0"/>
              <w:jc w:val="left"/>
              <w:rPr>
                <w:rFonts w:ascii="Arial Narrow" w:hAnsi="Arial Narrow"/>
                <w:sz w:val="20"/>
                <w:szCs w:val="20"/>
              </w:rPr>
            </w:pPr>
            <w:r w:rsidRPr="00E45883">
              <w:rPr>
                <w:rFonts w:ascii="Arial Narrow" w:hAnsi="Arial Narrow"/>
                <w:sz w:val="20"/>
                <w:szCs w:val="20"/>
              </w:rPr>
              <w:t>Motivo sanción:</w:t>
            </w:r>
          </w:p>
          <w:p w:rsidR="00C9781F" w:rsidRPr="00E45883" w:rsidRDefault="00C9781F" w:rsidP="00B53A0A">
            <w:pPr>
              <w:pStyle w:val="texto"/>
              <w:tabs>
                <w:tab w:val="clear" w:pos="2835"/>
                <w:tab w:val="clear" w:pos="3969"/>
                <w:tab w:val="clear" w:pos="5103"/>
                <w:tab w:val="clear" w:pos="6237"/>
                <w:tab w:val="clear" w:pos="7371"/>
              </w:tabs>
              <w:spacing w:after="0"/>
              <w:ind w:left="102" w:right="-95" w:firstLine="0"/>
              <w:jc w:val="left"/>
              <w:rPr>
                <w:rFonts w:ascii="Arial Narrow" w:hAnsi="Arial Narrow"/>
                <w:sz w:val="20"/>
                <w:szCs w:val="20"/>
              </w:rPr>
            </w:pPr>
            <w:r w:rsidRPr="00E45883">
              <w:rPr>
                <w:rFonts w:ascii="Arial Narrow" w:hAnsi="Arial Narrow"/>
                <w:sz w:val="20"/>
                <w:szCs w:val="20"/>
              </w:rPr>
              <w:t>Dispensación en vacío</w:t>
            </w:r>
          </w:p>
          <w:p w:rsidR="00C9781F" w:rsidRDefault="00C9781F" w:rsidP="00B53A0A">
            <w:pPr>
              <w:pStyle w:val="texto"/>
              <w:tabs>
                <w:tab w:val="clear" w:pos="2835"/>
                <w:tab w:val="clear" w:pos="3969"/>
                <w:tab w:val="clear" w:pos="5103"/>
                <w:tab w:val="clear" w:pos="6237"/>
                <w:tab w:val="clear" w:pos="7371"/>
              </w:tabs>
              <w:spacing w:after="0"/>
              <w:ind w:left="102" w:right="-95" w:firstLine="0"/>
              <w:jc w:val="left"/>
              <w:rPr>
                <w:rFonts w:ascii="Arial Narrow" w:hAnsi="Arial Narrow"/>
                <w:sz w:val="20"/>
                <w:szCs w:val="20"/>
              </w:rPr>
            </w:pPr>
            <w:r>
              <w:rPr>
                <w:rFonts w:ascii="Arial Narrow" w:hAnsi="Arial Narrow"/>
                <w:sz w:val="20"/>
                <w:szCs w:val="20"/>
              </w:rPr>
              <w:t xml:space="preserve">Medicamentos sin cupón </w:t>
            </w:r>
            <w:r w:rsidRPr="00E45883">
              <w:rPr>
                <w:rFonts w:ascii="Arial Narrow" w:hAnsi="Arial Narrow"/>
                <w:sz w:val="20"/>
                <w:szCs w:val="20"/>
              </w:rPr>
              <w:t xml:space="preserve">procedentes de </w:t>
            </w:r>
          </w:p>
          <w:p w:rsidR="00C9781F" w:rsidRPr="00E45883" w:rsidRDefault="00C9781F" w:rsidP="00B53A0A">
            <w:pPr>
              <w:pStyle w:val="texto"/>
              <w:tabs>
                <w:tab w:val="clear" w:pos="2835"/>
                <w:tab w:val="clear" w:pos="3969"/>
                <w:tab w:val="clear" w:pos="5103"/>
                <w:tab w:val="clear" w:pos="6237"/>
                <w:tab w:val="clear" w:pos="7371"/>
              </w:tabs>
              <w:spacing w:after="0"/>
              <w:ind w:left="102" w:right="-95" w:firstLine="0"/>
              <w:jc w:val="left"/>
              <w:rPr>
                <w:rFonts w:ascii="Arial Narrow" w:hAnsi="Arial Narrow"/>
                <w:sz w:val="20"/>
                <w:szCs w:val="20"/>
              </w:rPr>
            </w:pPr>
            <w:r w:rsidRPr="00E45883">
              <w:rPr>
                <w:rFonts w:ascii="Arial Narrow" w:hAnsi="Arial Narrow"/>
                <w:sz w:val="20"/>
                <w:szCs w:val="20"/>
              </w:rPr>
              <w:t xml:space="preserve">devoluciones </w:t>
            </w:r>
          </w:p>
        </w:tc>
        <w:tc>
          <w:tcPr>
            <w:tcW w:w="851" w:type="dxa"/>
            <w:tcBorders>
              <w:top w:val="single" w:sz="2" w:space="0" w:color="auto"/>
              <w:bottom w:val="single" w:sz="4" w:space="0" w:color="auto"/>
            </w:tcBorders>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7</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vertAlign w:val="superscript"/>
              </w:rPr>
            </w:pPr>
            <w:r w:rsidRPr="00E45883">
              <w:rPr>
                <w:rFonts w:ascii="Arial Narrow" w:hAnsi="Arial Narrow"/>
                <w:sz w:val="20"/>
                <w:szCs w:val="20"/>
              </w:rPr>
              <w:t>3</w:t>
            </w:r>
            <w:r w:rsidRPr="00E45883">
              <w:rPr>
                <w:rFonts w:ascii="Arial Narrow" w:hAnsi="Arial Narrow"/>
                <w:sz w:val="20"/>
                <w:szCs w:val="20"/>
                <w:vertAlign w:val="superscript"/>
              </w:rPr>
              <w:t>b</w:t>
            </w:r>
          </w:p>
        </w:tc>
        <w:tc>
          <w:tcPr>
            <w:tcW w:w="818" w:type="dxa"/>
            <w:tcBorders>
              <w:top w:val="single" w:sz="2" w:space="0" w:color="auto"/>
              <w:bottom w:val="single" w:sz="4" w:space="0" w:color="auto"/>
            </w:tcBorders>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2</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0</w:t>
            </w:r>
          </w:p>
        </w:tc>
        <w:tc>
          <w:tcPr>
            <w:tcW w:w="819" w:type="dxa"/>
            <w:tcBorders>
              <w:top w:val="single" w:sz="2" w:space="0" w:color="auto"/>
              <w:bottom w:val="single" w:sz="4" w:space="0" w:color="auto"/>
            </w:tcBorders>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3</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0</w:t>
            </w:r>
          </w:p>
        </w:tc>
        <w:tc>
          <w:tcPr>
            <w:tcW w:w="819" w:type="dxa"/>
            <w:tcBorders>
              <w:top w:val="single" w:sz="2" w:space="0" w:color="auto"/>
              <w:bottom w:val="single" w:sz="4" w:space="0" w:color="auto"/>
            </w:tcBorders>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4</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0</w:t>
            </w:r>
          </w:p>
        </w:tc>
        <w:tc>
          <w:tcPr>
            <w:tcW w:w="775" w:type="dxa"/>
            <w:tcBorders>
              <w:top w:val="single" w:sz="2" w:space="0" w:color="auto"/>
              <w:bottom w:val="single" w:sz="4" w:space="0" w:color="auto"/>
            </w:tcBorders>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0</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0</w:t>
            </w:r>
          </w:p>
        </w:tc>
        <w:tc>
          <w:tcPr>
            <w:tcW w:w="847" w:type="dxa"/>
            <w:tcBorders>
              <w:top w:val="single" w:sz="2" w:space="0" w:color="auto"/>
              <w:bottom w:val="single" w:sz="4" w:space="0" w:color="auto"/>
            </w:tcBorders>
          </w:tcPr>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3</w:t>
            </w: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p>
          <w:p w:rsidR="00C9781F" w:rsidRPr="00E45883" w:rsidRDefault="00C9781F" w:rsidP="00B53A0A">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E45883">
              <w:rPr>
                <w:rFonts w:ascii="Arial Narrow" w:hAnsi="Arial Narrow"/>
                <w:sz w:val="20"/>
                <w:szCs w:val="20"/>
              </w:rPr>
              <w:t>0</w:t>
            </w:r>
          </w:p>
        </w:tc>
      </w:tr>
    </w:tbl>
    <w:p w:rsidR="00C9781F" w:rsidRPr="00E45883" w:rsidRDefault="00C9781F" w:rsidP="00C9781F">
      <w:pPr>
        <w:pStyle w:val="texto"/>
        <w:tabs>
          <w:tab w:val="clear" w:pos="2835"/>
          <w:tab w:val="clear" w:pos="3969"/>
          <w:tab w:val="clear" w:pos="5103"/>
          <w:tab w:val="clear" w:pos="6237"/>
          <w:tab w:val="clear" w:pos="7371"/>
        </w:tabs>
        <w:spacing w:before="60" w:after="0"/>
        <w:ind w:left="28" w:firstLine="0"/>
        <w:jc w:val="left"/>
        <w:rPr>
          <w:rFonts w:ascii="Arial" w:hAnsi="Arial" w:cs="Arial"/>
          <w:sz w:val="16"/>
          <w:szCs w:val="16"/>
        </w:rPr>
      </w:pPr>
      <w:proofErr w:type="gramStart"/>
      <w:r w:rsidRPr="00E45883">
        <w:rPr>
          <w:rFonts w:ascii="Arial" w:hAnsi="Arial" w:cs="Arial"/>
          <w:sz w:val="16"/>
          <w:szCs w:val="16"/>
          <w:vertAlign w:val="superscript"/>
        </w:rPr>
        <w:t>a</w:t>
      </w:r>
      <w:proofErr w:type="gramEnd"/>
      <w:r w:rsidRPr="00E45883">
        <w:rPr>
          <w:rFonts w:ascii="Arial" w:hAnsi="Arial" w:cs="Arial"/>
          <w:sz w:val="16"/>
          <w:szCs w:val="16"/>
        </w:rPr>
        <w:t xml:space="preserve"> El importe correspondiente</w:t>
      </w:r>
      <w:r>
        <w:rPr>
          <w:rFonts w:ascii="Arial" w:hAnsi="Arial" w:cs="Arial"/>
          <w:sz w:val="16"/>
          <w:szCs w:val="16"/>
        </w:rPr>
        <w:t xml:space="preserve"> </w:t>
      </w:r>
      <w:r w:rsidRPr="00E45883">
        <w:rPr>
          <w:rFonts w:ascii="Arial" w:hAnsi="Arial" w:cs="Arial"/>
          <w:sz w:val="16"/>
          <w:szCs w:val="16"/>
        </w:rPr>
        <w:t>a una sanción está pendiente de tramitación.</w:t>
      </w:r>
    </w:p>
    <w:p w:rsidR="00C9781F" w:rsidRPr="00E45883" w:rsidRDefault="00C9781F" w:rsidP="00C9781F">
      <w:pPr>
        <w:pStyle w:val="texto"/>
        <w:tabs>
          <w:tab w:val="clear" w:pos="2835"/>
          <w:tab w:val="clear" w:pos="3969"/>
          <w:tab w:val="clear" w:pos="5103"/>
          <w:tab w:val="clear" w:pos="6237"/>
          <w:tab w:val="clear" w:pos="7371"/>
        </w:tabs>
        <w:spacing w:after="0"/>
        <w:ind w:left="28" w:firstLine="0"/>
        <w:jc w:val="left"/>
        <w:rPr>
          <w:rFonts w:ascii="Arial" w:hAnsi="Arial" w:cs="Arial"/>
          <w:sz w:val="16"/>
          <w:szCs w:val="16"/>
        </w:rPr>
      </w:pPr>
      <w:proofErr w:type="gramStart"/>
      <w:r w:rsidRPr="00E45883">
        <w:rPr>
          <w:rFonts w:ascii="Arial" w:hAnsi="Arial" w:cs="Arial"/>
          <w:sz w:val="16"/>
          <w:szCs w:val="16"/>
          <w:vertAlign w:val="superscript"/>
        </w:rPr>
        <w:t>b</w:t>
      </w:r>
      <w:proofErr w:type="gramEnd"/>
      <w:r w:rsidRPr="00E45883">
        <w:rPr>
          <w:rFonts w:ascii="Arial" w:hAnsi="Arial" w:cs="Arial"/>
          <w:sz w:val="16"/>
          <w:szCs w:val="16"/>
        </w:rPr>
        <w:t xml:space="preserve"> Una sanción fue interpuesta</w:t>
      </w:r>
      <w:r>
        <w:rPr>
          <w:rFonts w:ascii="Arial" w:hAnsi="Arial" w:cs="Arial"/>
          <w:sz w:val="16"/>
          <w:szCs w:val="16"/>
        </w:rPr>
        <w:t xml:space="preserve"> </w:t>
      </w:r>
      <w:r w:rsidRPr="00E45883">
        <w:rPr>
          <w:rFonts w:ascii="Arial" w:hAnsi="Arial" w:cs="Arial"/>
          <w:sz w:val="16"/>
          <w:szCs w:val="16"/>
        </w:rPr>
        <w:t>por ambos motivos.</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spacing w:before="240"/>
        <w:ind w:left="0" w:firstLine="289"/>
        <w:rPr>
          <w:rFonts w:cs="Arial"/>
        </w:rPr>
      </w:pPr>
      <w:r w:rsidRPr="00285242">
        <w:rPr>
          <w:rFonts w:cs="Arial"/>
        </w:rPr>
        <w:lastRenderedPageBreak/>
        <w:t xml:space="preserve">A pesar de la trascendencia de la gestión que estamos analizando, y de que el SNS-O realizó el desarrollo informático de LAMIA, </w:t>
      </w:r>
      <w:r>
        <w:rPr>
          <w:rFonts w:cs="Arial"/>
        </w:rPr>
        <w:t>destacamos</w:t>
      </w:r>
      <w:r w:rsidRPr="00285242">
        <w:rPr>
          <w:rFonts w:cs="Arial"/>
        </w:rPr>
        <w:t xml:space="preserve"> que la e</w:t>
      </w:r>
      <w:r w:rsidRPr="00285242">
        <w:rPr>
          <w:rFonts w:cs="Arial"/>
        </w:rPr>
        <w:t>m</w:t>
      </w:r>
      <w:r w:rsidRPr="00285242">
        <w:rPr>
          <w:rFonts w:cs="Arial"/>
        </w:rPr>
        <w:t>presa externa que se encarga de la digitalización de los cupones, fue quien d</w:t>
      </w:r>
      <w:r w:rsidRPr="00285242">
        <w:rPr>
          <w:rFonts w:cs="Arial"/>
        </w:rPr>
        <w:t>i</w:t>
      </w:r>
      <w:r w:rsidRPr="00285242">
        <w:rPr>
          <w:rFonts w:cs="Arial"/>
        </w:rPr>
        <w:t>señó la pasarela informática de intercambio de información e integración entre los distintos software de las farmacias</w:t>
      </w:r>
      <w:r w:rsidR="00E70E3E">
        <w:rPr>
          <w:rFonts w:cs="Arial"/>
        </w:rPr>
        <w:t xml:space="preserve">, el COFNA como agente facturador </w:t>
      </w:r>
      <w:r w:rsidRPr="00285242">
        <w:rPr>
          <w:rFonts w:cs="Arial"/>
        </w:rPr>
        <w:t>y LAMIA.</w:t>
      </w:r>
    </w:p>
    <w:p w:rsidR="00C9781F" w:rsidRPr="00A46CFD" w:rsidRDefault="00C9781F" w:rsidP="00C9781F">
      <w:pPr>
        <w:keepNext/>
        <w:spacing w:before="240" w:after="120"/>
        <w:ind w:firstLine="0"/>
        <w:rPr>
          <w:rFonts w:ascii="Arial" w:hAnsi="Arial"/>
          <w:i/>
          <w:iCs/>
          <w:color w:val="000000"/>
          <w:spacing w:val="10"/>
          <w:kern w:val="28"/>
          <w:sz w:val="25"/>
          <w:szCs w:val="26"/>
        </w:rPr>
      </w:pPr>
      <w:r w:rsidRPr="00A46CFD">
        <w:rPr>
          <w:rFonts w:ascii="Arial" w:hAnsi="Arial"/>
          <w:i/>
          <w:iCs/>
          <w:color w:val="000000"/>
          <w:spacing w:val="10"/>
          <w:kern w:val="28"/>
          <w:sz w:val="25"/>
          <w:szCs w:val="26"/>
        </w:rPr>
        <w:t>Cotejos</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285242">
        <w:rPr>
          <w:rFonts w:cs="Arial"/>
        </w:rPr>
        <w:t xml:space="preserve">La persona encargada de realizar los cotejos es la misma que actualiza y carga mensualmente el </w:t>
      </w:r>
      <w:r w:rsidR="00445899">
        <w:rPr>
          <w:rFonts w:cs="Arial"/>
        </w:rPr>
        <w:t>Nomenclátor</w:t>
      </w:r>
      <w:r w:rsidRPr="00285242">
        <w:rPr>
          <w:rFonts w:cs="Arial"/>
        </w:rPr>
        <w:t>, lo que supone que la segregación de fu</w:t>
      </w:r>
      <w:r w:rsidRPr="00285242">
        <w:rPr>
          <w:rFonts w:cs="Arial"/>
        </w:rPr>
        <w:t>n</w:t>
      </w:r>
      <w:r w:rsidRPr="00285242">
        <w:rPr>
          <w:rFonts w:cs="Arial"/>
        </w:rPr>
        <w:t>ciones no sea la más adecuada, y además que la carga de trabajo de esta pers</w:t>
      </w:r>
      <w:r w:rsidRPr="00285242">
        <w:rPr>
          <w:rFonts w:cs="Arial"/>
        </w:rPr>
        <w:t>o</w:t>
      </w:r>
      <w:r w:rsidRPr="00285242">
        <w:rPr>
          <w:rFonts w:cs="Arial"/>
        </w:rPr>
        <w:t xml:space="preserve">na sea especialmente significativa en determinadas fechas. </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285242">
        <w:rPr>
          <w:rFonts w:cs="Arial"/>
        </w:rPr>
        <w:t>LAMIA dispone de un módulo de cotejos para realizar determinados cr</w:t>
      </w:r>
      <w:r w:rsidRPr="00285242">
        <w:rPr>
          <w:rFonts w:cs="Arial"/>
        </w:rPr>
        <w:t>u</w:t>
      </w:r>
      <w:r w:rsidRPr="00285242">
        <w:rPr>
          <w:rFonts w:cs="Arial"/>
        </w:rPr>
        <w:t xml:space="preserve">ces, pero la persona que los lleva a cabo no lo utiliza en su totalidad por falta de tiempo o por la falta de </w:t>
      </w:r>
      <w:r w:rsidR="00E70E3E">
        <w:rPr>
          <w:rFonts w:cs="Arial"/>
        </w:rPr>
        <w:t>exactitud</w:t>
      </w:r>
      <w:r w:rsidRPr="00285242">
        <w:rPr>
          <w:rFonts w:cs="Arial"/>
        </w:rPr>
        <w:t xml:space="preserve"> en los resultados obtenidos, al no contar con toda la información que necesita, y tener que modificar los datos para p</w:t>
      </w:r>
      <w:r w:rsidRPr="00285242">
        <w:rPr>
          <w:rFonts w:cs="Arial"/>
        </w:rPr>
        <w:t>o</w:t>
      </w:r>
      <w:r w:rsidRPr="00285242">
        <w:rPr>
          <w:rFonts w:cs="Arial"/>
        </w:rPr>
        <w:t xml:space="preserve">der llevarlos a cabo. </w:t>
      </w:r>
    </w:p>
    <w:p w:rsidR="00C9781F" w:rsidRDefault="00C9781F" w:rsidP="00C9781F">
      <w:pPr>
        <w:pStyle w:val="texto"/>
        <w:tabs>
          <w:tab w:val="clear" w:pos="2835"/>
          <w:tab w:val="clear" w:pos="3969"/>
          <w:tab w:val="clear" w:pos="5103"/>
          <w:tab w:val="clear" w:pos="6237"/>
          <w:tab w:val="clear" w:pos="7371"/>
        </w:tabs>
        <w:spacing w:before="120"/>
        <w:rPr>
          <w:szCs w:val="26"/>
        </w:rPr>
      </w:pPr>
      <w:r>
        <w:rPr>
          <w:szCs w:val="26"/>
        </w:rPr>
        <w:t>Al respecto indicamos que la última versión de LAMIA implantada en d</w:t>
      </w:r>
      <w:r>
        <w:rPr>
          <w:szCs w:val="26"/>
        </w:rPr>
        <w:t>i</w:t>
      </w:r>
      <w:r>
        <w:rPr>
          <w:szCs w:val="26"/>
        </w:rPr>
        <w:t>ciembre de 2018 ha mejorado el tratamiento de los datos, lo que en principio permitirá que los cotejos que ofrece la aplicación sean más útiles y productivos, si bien no lo hemos verificado.</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285242">
        <w:rPr>
          <w:rFonts w:cs="Arial"/>
        </w:rPr>
        <w:t>No existe un procedimiento estandarizado de realización de cotejos de la factura, y la persona que los lleva a cabo, no siempre hace los mismos y depe</w:t>
      </w:r>
      <w:r w:rsidRPr="00285242">
        <w:rPr>
          <w:rFonts w:cs="Arial"/>
        </w:rPr>
        <w:t>n</w:t>
      </w:r>
      <w:r w:rsidRPr="00285242">
        <w:rPr>
          <w:rFonts w:cs="Arial"/>
        </w:rPr>
        <w:t>diendo del tiempo del que disponga, se llevan a cabo más o menos controles</w:t>
      </w:r>
      <w:r w:rsidR="00E70E3E">
        <w:rPr>
          <w:rFonts w:cs="Arial"/>
        </w:rPr>
        <w:t>; tras la implantación de la actualización de LAMIA</w:t>
      </w:r>
      <w:r w:rsidRPr="00285242">
        <w:rPr>
          <w:rFonts w:cs="Arial"/>
        </w:rPr>
        <w:t xml:space="preserve"> </w:t>
      </w:r>
      <w:r w:rsidR="00E70E3E">
        <w:rPr>
          <w:rFonts w:cs="Arial"/>
        </w:rPr>
        <w:t xml:space="preserve">en diciembre de 2018 está previsto formalizar este procedimiento. Por otro lado, </w:t>
      </w:r>
      <w:r w:rsidRPr="00285242">
        <w:rPr>
          <w:rFonts w:cs="Arial"/>
        </w:rPr>
        <w:t>no se deja constancia de las revisiones y cruces realizados.</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285242">
        <w:rPr>
          <w:rFonts w:cs="Arial"/>
        </w:rPr>
        <w:t xml:space="preserve">En el proceso de revisión de la factura, no se verifica que los descuentos y abonos aplicados </w:t>
      </w:r>
      <w:r>
        <w:rPr>
          <w:rFonts w:cs="Arial"/>
        </w:rPr>
        <w:t>s</w:t>
      </w:r>
      <w:r w:rsidRPr="00285242">
        <w:rPr>
          <w:rFonts w:cs="Arial"/>
        </w:rPr>
        <w:t>on los que corresponden</w:t>
      </w:r>
      <w:r>
        <w:rPr>
          <w:rFonts w:cs="Arial"/>
        </w:rPr>
        <w:t xml:space="preserve"> a la normativa aplicable</w:t>
      </w:r>
      <w:r w:rsidRPr="00285242">
        <w:rPr>
          <w:rFonts w:cs="Arial"/>
        </w:rPr>
        <w:t>, si bien en las facturas de los meses revisados hemos constatado que las cantidades de</w:t>
      </w:r>
      <w:r w:rsidRPr="00285242">
        <w:rPr>
          <w:rFonts w:cs="Arial"/>
        </w:rPr>
        <w:t>s</w:t>
      </w:r>
      <w:r w:rsidRPr="00285242">
        <w:rPr>
          <w:rFonts w:cs="Arial"/>
        </w:rPr>
        <w:t>contadas y abonadas son correctas.</w:t>
      </w:r>
    </w:p>
    <w:p w:rsidR="00C9781F" w:rsidRPr="00723975" w:rsidRDefault="00C9781F" w:rsidP="00C9781F">
      <w:pPr>
        <w:pStyle w:val="atitulo2"/>
        <w:spacing w:before="240" w:after="200"/>
      </w:pPr>
      <w:bookmarkStart w:id="64" w:name="_Toc3461813"/>
      <w:bookmarkStart w:id="65" w:name="_Toc4671432"/>
      <w:bookmarkEnd w:id="58"/>
      <w:r>
        <w:t>V.2</w:t>
      </w:r>
      <w:r w:rsidRPr="00723975">
        <w:t xml:space="preserve">. </w:t>
      </w:r>
      <w:bookmarkEnd w:id="59"/>
      <w:r>
        <w:t>Auditoría de cumplimiento y financiera del proceso de gestión fa</w:t>
      </w:r>
      <w:r>
        <w:t>r</w:t>
      </w:r>
      <w:r>
        <w:t>macéutica</w:t>
      </w:r>
      <w:bookmarkEnd w:id="64"/>
      <w:bookmarkEnd w:id="65"/>
      <w:r>
        <w:t xml:space="preserve"> </w:t>
      </w:r>
    </w:p>
    <w:p w:rsidR="00C9781F" w:rsidRDefault="00C9781F" w:rsidP="00C9781F">
      <w:pPr>
        <w:pStyle w:val="texto"/>
        <w:spacing w:after="120"/>
      </w:pPr>
      <w:r>
        <w:t>Hemos realizado una auditoría de cumplimiento de la normativa básica apl</w:t>
      </w:r>
      <w:r>
        <w:t>i</w:t>
      </w:r>
      <w:r>
        <w:t>cable a la gestión farmacéutica sobre los siguientes aspectos:</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285242">
        <w:rPr>
          <w:rFonts w:cs="Arial"/>
        </w:rPr>
        <w:t>Aplicación de los precios de los medicamentos y productos sanitarios d</w:t>
      </w:r>
      <w:r w:rsidRPr="00285242">
        <w:rPr>
          <w:rFonts w:cs="Arial"/>
        </w:rPr>
        <w:t>e</w:t>
      </w:r>
      <w:r w:rsidRPr="00285242">
        <w:rPr>
          <w:rFonts w:cs="Arial"/>
        </w:rPr>
        <w:t>terminados en la normativa en la facturas del COFNA al SNS-O.</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285242">
        <w:rPr>
          <w:rFonts w:cs="Arial"/>
        </w:rPr>
        <w:t>Realización de los descuentos establecidos en la normativa en las facturas del COFNA al SNS-O.</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285242">
        <w:rPr>
          <w:rFonts w:cs="Arial"/>
        </w:rPr>
        <w:lastRenderedPageBreak/>
        <w:t>Cálculo del porcentaje de aportación de cada ciudadano que determina la cantidad que debe abonar por diferencia el SNS-O.</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285242">
        <w:rPr>
          <w:rFonts w:cs="Arial"/>
        </w:rPr>
        <w:t>Aplicación del precio de los medicamentos y productos sanitarios a los p</w:t>
      </w:r>
      <w:r w:rsidRPr="00285242">
        <w:rPr>
          <w:rFonts w:cs="Arial"/>
        </w:rPr>
        <w:t>a</w:t>
      </w:r>
      <w:r w:rsidRPr="00285242">
        <w:rPr>
          <w:rFonts w:cs="Arial"/>
        </w:rPr>
        <w:t>cientes en las oficinas de farmacia.</w:t>
      </w:r>
    </w:p>
    <w:p w:rsidR="00C9781F" w:rsidRDefault="00C9781F" w:rsidP="00C9781F">
      <w:pPr>
        <w:pStyle w:val="texto"/>
        <w:rPr>
          <w:szCs w:val="26"/>
        </w:rPr>
      </w:pPr>
      <w:r>
        <w:rPr>
          <w:szCs w:val="26"/>
        </w:rPr>
        <w:t>Para llevar a cabo nuestro análisis, además de tener en cuenta la evaluación realizada del procedimiento, examinamos las facturas de noviembre de 2017 y agosto de 2018, y recogimos una muestra de 98 tickets correspondientes a di</w:t>
      </w:r>
      <w:r>
        <w:rPr>
          <w:szCs w:val="26"/>
        </w:rPr>
        <w:t>s</w:t>
      </w:r>
      <w:r>
        <w:rPr>
          <w:szCs w:val="26"/>
        </w:rPr>
        <w:t xml:space="preserve">pensaciones </w:t>
      </w:r>
      <w:r w:rsidRPr="00F21FB6">
        <w:rPr>
          <w:szCs w:val="26"/>
        </w:rPr>
        <w:t xml:space="preserve">en </w:t>
      </w:r>
      <w:r>
        <w:rPr>
          <w:szCs w:val="26"/>
        </w:rPr>
        <w:t>50</w:t>
      </w:r>
      <w:r w:rsidRPr="00F21FB6">
        <w:rPr>
          <w:szCs w:val="26"/>
        </w:rPr>
        <w:t xml:space="preserve"> oficinas de farmacia para un total de </w:t>
      </w:r>
      <w:r>
        <w:rPr>
          <w:szCs w:val="26"/>
        </w:rPr>
        <w:t>147</w:t>
      </w:r>
      <w:r w:rsidRPr="00F21FB6">
        <w:rPr>
          <w:szCs w:val="26"/>
        </w:rPr>
        <w:t xml:space="preserve"> medicamentos</w:t>
      </w:r>
      <w:r>
        <w:rPr>
          <w:szCs w:val="26"/>
        </w:rPr>
        <w:t xml:space="preserve"> que supusieron un </w:t>
      </w:r>
      <w:r w:rsidRPr="00F21FB6">
        <w:rPr>
          <w:szCs w:val="26"/>
        </w:rPr>
        <w:t xml:space="preserve">importe de </w:t>
      </w:r>
      <w:r>
        <w:rPr>
          <w:szCs w:val="26"/>
        </w:rPr>
        <w:t>2.941</w:t>
      </w:r>
      <w:r w:rsidRPr="00F21FB6">
        <w:rPr>
          <w:szCs w:val="26"/>
        </w:rPr>
        <w:t xml:space="preserve"> eu</w:t>
      </w:r>
      <w:r>
        <w:rPr>
          <w:szCs w:val="26"/>
        </w:rPr>
        <w:t>ros, de los cuales los pacientes aportaron un total de 704 euros. Las conclusiones extraídas al respecto son las siguientes:</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285242">
        <w:rPr>
          <w:rFonts w:cs="Arial"/>
        </w:rPr>
        <w:t>Tanto los precios como los descuentos aplicados en las facturas del C</w:t>
      </w:r>
      <w:r w:rsidRPr="00285242">
        <w:rPr>
          <w:rFonts w:cs="Arial"/>
        </w:rPr>
        <w:t>O</w:t>
      </w:r>
      <w:r w:rsidRPr="00285242">
        <w:rPr>
          <w:rFonts w:cs="Arial"/>
        </w:rPr>
        <w:t xml:space="preserve">FNA al SNS-O son los establecidos en la normativa aplicable. </w:t>
      </w:r>
    </w:p>
    <w:p w:rsidR="00C9781F" w:rsidRPr="00957D2A"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285242">
        <w:rPr>
          <w:rFonts w:cs="Arial"/>
        </w:rPr>
        <w:t>En cuanto al porcentaje de aportación de los ciudadanos que es el parám</w:t>
      </w:r>
      <w:r w:rsidRPr="00285242">
        <w:rPr>
          <w:rFonts w:cs="Arial"/>
        </w:rPr>
        <w:t>e</w:t>
      </w:r>
      <w:r w:rsidRPr="00285242">
        <w:rPr>
          <w:rFonts w:cs="Arial"/>
        </w:rPr>
        <w:t xml:space="preserve">tro que fija el gasto del SNS-O, tal y como hemos mencionado en el epígrafe III de este informe, no hemos podido verificar si es correcto o no al no tener acceso al fichero que remite la HTN al INSS. </w:t>
      </w:r>
      <w:r w:rsidR="00E70E3E">
        <w:rPr>
          <w:rFonts w:cs="Arial"/>
        </w:rPr>
        <w:t>La</w:t>
      </w:r>
      <w:r w:rsidRPr="00957D2A">
        <w:rPr>
          <w:rFonts w:cs="Arial"/>
        </w:rPr>
        <w:t xml:space="preserve"> única parte de este proceso que hemos podido verificar es la correspondiente a la actualización de datos realizada por el SNS-O en diciembre de 2018 que fue correcta y se correspo</w:t>
      </w:r>
      <w:r w:rsidRPr="00957D2A">
        <w:rPr>
          <w:rFonts w:cs="Arial"/>
        </w:rPr>
        <w:t>n</w:t>
      </w:r>
      <w:r w:rsidRPr="00957D2A">
        <w:rPr>
          <w:rFonts w:cs="Arial"/>
        </w:rPr>
        <w:t>día con el fichero remitido por el ministerio.</w:t>
      </w:r>
    </w:p>
    <w:p w:rsidR="00C9781F" w:rsidRDefault="00E70E3E" w:rsidP="00C9781F">
      <w:pPr>
        <w:pStyle w:val="texto"/>
        <w:tabs>
          <w:tab w:val="clear" w:pos="2835"/>
          <w:tab w:val="clear" w:pos="3969"/>
          <w:tab w:val="clear" w:pos="5103"/>
          <w:tab w:val="clear" w:pos="6237"/>
          <w:tab w:val="clear" w:pos="7371"/>
        </w:tabs>
        <w:rPr>
          <w:szCs w:val="26"/>
        </w:rPr>
      </w:pPr>
      <w:r>
        <w:rPr>
          <w:szCs w:val="26"/>
        </w:rPr>
        <w:t>Al respecto</w:t>
      </w:r>
      <w:r w:rsidR="00C9781F">
        <w:rPr>
          <w:szCs w:val="26"/>
        </w:rPr>
        <w:t xml:space="preserve"> hemos constatado que, después de la actualización anual de los datos </w:t>
      </w:r>
      <w:r>
        <w:rPr>
          <w:szCs w:val="26"/>
        </w:rPr>
        <w:t xml:space="preserve">sobre el porcentaje de aportación de los pacientes realizada </w:t>
      </w:r>
      <w:r w:rsidR="00C9781F">
        <w:rPr>
          <w:szCs w:val="26"/>
        </w:rPr>
        <w:t xml:space="preserve">en diciembre de 2018, en dos casos de nuestra muestra revisada de tickets, este porcentaje es del 40 por ciento cuando debiera ser del 50 por ciento. </w:t>
      </w:r>
      <w:r>
        <w:rPr>
          <w:szCs w:val="26"/>
        </w:rPr>
        <w:t>Esto implica que e</w:t>
      </w:r>
      <w:r w:rsidR="00C9781F">
        <w:rPr>
          <w:szCs w:val="26"/>
        </w:rPr>
        <w:t>n e</w:t>
      </w:r>
      <w:r w:rsidR="00C9781F">
        <w:rPr>
          <w:szCs w:val="26"/>
        </w:rPr>
        <w:t>s</w:t>
      </w:r>
      <w:r w:rsidR="00C9781F">
        <w:rPr>
          <w:szCs w:val="26"/>
        </w:rPr>
        <w:t xml:space="preserve">tos casos, el SNS-O </w:t>
      </w:r>
      <w:r w:rsidR="00161253">
        <w:rPr>
          <w:szCs w:val="26"/>
        </w:rPr>
        <w:t>está</w:t>
      </w:r>
      <w:r w:rsidR="00C9781F">
        <w:rPr>
          <w:szCs w:val="26"/>
        </w:rPr>
        <w:t xml:space="preserve"> abonando una cantidad superior a la que le correspo</w:t>
      </w:r>
      <w:r w:rsidR="00C9781F">
        <w:rPr>
          <w:szCs w:val="26"/>
        </w:rPr>
        <w:t>n</w:t>
      </w:r>
      <w:r w:rsidR="00C9781F">
        <w:rPr>
          <w:szCs w:val="26"/>
        </w:rPr>
        <w:t xml:space="preserve">de según la normativa. </w:t>
      </w:r>
    </w:p>
    <w:p w:rsidR="00C9781F" w:rsidRPr="00723975" w:rsidRDefault="00C9781F" w:rsidP="00C9781F">
      <w:pPr>
        <w:pStyle w:val="atitulo2"/>
        <w:spacing w:before="240" w:after="200"/>
      </w:pPr>
      <w:bookmarkStart w:id="66" w:name="_Toc3461814"/>
      <w:bookmarkStart w:id="67" w:name="_Toc4671433"/>
      <w:r>
        <w:t>V.3</w:t>
      </w:r>
      <w:r w:rsidRPr="00723975">
        <w:t xml:space="preserve">. </w:t>
      </w:r>
      <w:r>
        <w:t>Conclusión final y recomendaciones</w:t>
      </w:r>
      <w:bookmarkEnd w:id="66"/>
      <w:bookmarkEnd w:id="67"/>
      <w:r>
        <w:t xml:space="preserve"> </w:t>
      </w:r>
    </w:p>
    <w:p w:rsidR="00C9781F" w:rsidRDefault="00C9781F" w:rsidP="00C9781F">
      <w:pPr>
        <w:pStyle w:val="texto"/>
        <w:rPr>
          <w:szCs w:val="26"/>
        </w:rPr>
      </w:pPr>
      <w:r>
        <w:rPr>
          <w:szCs w:val="26"/>
        </w:rPr>
        <w:t xml:space="preserve">En </w:t>
      </w:r>
      <w:r w:rsidRPr="007A01C1">
        <w:rPr>
          <w:b/>
          <w:szCs w:val="26"/>
        </w:rPr>
        <w:t>conclusión</w:t>
      </w:r>
      <w:r>
        <w:rPr>
          <w:szCs w:val="26"/>
        </w:rPr>
        <w:t>, esta Cámara opina que, la implantación de la receta electr</w:t>
      </w:r>
      <w:r>
        <w:rPr>
          <w:szCs w:val="26"/>
        </w:rPr>
        <w:t>ó</w:t>
      </w:r>
      <w:r>
        <w:rPr>
          <w:szCs w:val="26"/>
        </w:rPr>
        <w:t>nica, incluida su facturación, ha supuesto un avance muy significativo en la gestión de la prestación farmacéutica y ha permitido mejorar de forma releva</w:t>
      </w:r>
      <w:r>
        <w:rPr>
          <w:szCs w:val="26"/>
        </w:rPr>
        <w:t>n</w:t>
      </w:r>
      <w:r>
        <w:rPr>
          <w:szCs w:val="26"/>
        </w:rPr>
        <w:t xml:space="preserve">te el control del gasto asociado a esta gestión que en 2017 alcanzó los 138,75 millones de euros. Este control probablemente mejorará con la implantación en febrero de 2019 SEVEM que implica la implementación de un procedimiento de identificación y trazabilidad inequívoca de cada envase de medicamentos. </w:t>
      </w:r>
    </w:p>
    <w:p w:rsidR="00C9781F" w:rsidRDefault="00C9781F" w:rsidP="00C9781F">
      <w:pPr>
        <w:pStyle w:val="texto"/>
        <w:rPr>
          <w:szCs w:val="26"/>
        </w:rPr>
      </w:pPr>
      <w:r>
        <w:rPr>
          <w:szCs w:val="26"/>
        </w:rPr>
        <w:t>Los sistemas de información que soportan la gestión de la prestación farm</w:t>
      </w:r>
      <w:r>
        <w:rPr>
          <w:szCs w:val="26"/>
        </w:rPr>
        <w:t>a</w:t>
      </w:r>
      <w:r>
        <w:rPr>
          <w:szCs w:val="26"/>
        </w:rPr>
        <w:t>céutica conforman un complejo entramado tecnológico sobre el cual, en gen</w:t>
      </w:r>
      <w:r>
        <w:rPr>
          <w:szCs w:val="26"/>
        </w:rPr>
        <w:t>e</w:t>
      </w:r>
      <w:r>
        <w:rPr>
          <w:szCs w:val="26"/>
        </w:rPr>
        <w:t>ral, se ejerce un control adecuado, y se cumple la normativa aplicable. Los pr</w:t>
      </w:r>
      <w:r>
        <w:rPr>
          <w:szCs w:val="26"/>
        </w:rPr>
        <w:t>o</w:t>
      </w:r>
      <w:r>
        <w:rPr>
          <w:szCs w:val="26"/>
        </w:rPr>
        <w:t>cedimientos de auditoría de estos sistemas aplicados nos han permitido obtener una evidencia significativamente mayor a la recabada en otros trabajos; ente</w:t>
      </w:r>
      <w:r>
        <w:rPr>
          <w:szCs w:val="26"/>
        </w:rPr>
        <w:t>n</w:t>
      </w:r>
      <w:r>
        <w:rPr>
          <w:szCs w:val="26"/>
        </w:rPr>
        <w:t>demos que esta debe ser la línea que marque los futuros trabajos que realice e</w:t>
      </w:r>
      <w:r>
        <w:rPr>
          <w:szCs w:val="26"/>
        </w:rPr>
        <w:t>s</w:t>
      </w:r>
      <w:r>
        <w:rPr>
          <w:szCs w:val="26"/>
        </w:rPr>
        <w:lastRenderedPageBreak/>
        <w:t>ta Cámara para evaluar en mayor profundidad la gestión de los fondos públicos y contribuir a su mejora, siempre que se proporcione por parte de los entes a</w:t>
      </w:r>
      <w:r>
        <w:rPr>
          <w:szCs w:val="26"/>
        </w:rPr>
        <w:t>u</w:t>
      </w:r>
      <w:r>
        <w:rPr>
          <w:szCs w:val="26"/>
        </w:rPr>
        <w:t>ditados toda la información necesaria para ello.</w:t>
      </w:r>
    </w:p>
    <w:p w:rsidR="00C9781F" w:rsidRDefault="00C9781F" w:rsidP="00C9781F">
      <w:pPr>
        <w:pStyle w:val="texto"/>
        <w:rPr>
          <w:szCs w:val="26"/>
          <w:lang w:val="es-ES" w:eastAsia="es-ES"/>
        </w:rPr>
      </w:pPr>
      <w:r>
        <w:rPr>
          <w:szCs w:val="26"/>
        </w:rPr>
        <w:t>Por otro lado, hemos constatado que, si bien la colaboración por parte del personal externo subcontratado por la DGIT</w:t>
      </w:r>
      <w:r w:rsidR="00161253">
        <w:rPr>
          <w:szCs w:val="26"/>
        </w:rPr>
        <w:t>I</w:t>
      </w:r>
      <w:r>
        <w:rPr>
          <w:szCs w:val="26"/>
        </w:rPr>
        <w:t>P ha sido total y fundamental para nuestra fiscalización, tal y como indicaba el informe de esta Cámara de junio de 2016 sobre la gestión de la informática en la Administración de la Comun</w:t>
      </w:r>
      <w:r>
        <w:rPr>
          <w:szCs w:val="26"/>
        </w:rPr>
        <w:t>i</w:t>
      </w:r>
      <w:r>
        <w:rPr>
          <w:szCs w:val="26"/>
        </w:rPr>
        <w:t>dad Foral de Navarra,</w:t>
      </w:r>
      <w:r>
        <w:rPr>
          <w:szCs w:val="26"/>
          <w:lang w:val="es-ES" w:eastAsia="es-ES"/>
        </w:rPr>
        <w:t xml:space="preserve"> el </w:t>
      </w:r>
      <w:r w:rsidR="00E70E3E">
        <w:rPr>
          <w:szCs w:val="26"/>
          <w:lang w:val="es-ES" w:eastAsia="es-ES"/>
        </w:rPr>
        <w:t xml:space="preserve">desarrollo, mantenimiento, soporte y operación </w:t>
      </w:r>
      <w:r>
        <w:rPr>
          <w:szCs w:val="26"/>
          <w:lang w:val="es-ES" w:eastAsia="es-ES"/>
        </w:rPr>
        <w:t>de las aplicaciones informáticas</w:t>
      </w:r>
      <w:r w:rsidR="00E70E3E">
        <w:rPr>
          <w:szCs w:val="26"/>
          <w:lang w:val="es-ES" w:eastAsia="es-ES"/>
        </w:rPr>
        <w:t>,</w:t>
      </w:r>
      <w:r>
        <w:rPr>
          <w:szCs w:val="26"/>
          <w:lang w:val="es-ES" w:eastAsia="es-ES"/>
        </w:rPr>
        <w:t xml:space="preserve"> </w:t>
      </w:r>
      <w:r w:rsidR="00E70E3E">
        <w:rPr>
          <w:szCs w:val="26"/>
          <w:lang w:val="es-ES" w:eastAsia="es-ES"/>
        </w:rPr>
        <w:t>se realiza a través de asistencias técnicas contratadas a empresas externas a la administración en las que</w:t>
      </w:r>
      <w:r>
        <w:rPr>
          <w:szCs w:val="26"/>
          <w:lang w:val="es-ES" w:eastAsia="es-ES"/>
        </w:rPr>
        <w:t xml:space="preserve"> recae </w:t>
      </w:r>
      <w:r w:rsidR="00E70E3E">
        <w:rPr>
          <w:szCs w:val="26"/>
          <w:lang w:val="es-ES" w:eastAsia="es-ES"/>
        </w:rPr>
        <w:t>el conocimiento técn</w:t>
      </w:r>
      <w:r w:rsidR="00E70E3E">
        <w:rPr>
          <w:szCs w:val="26"/>
          <w:lang w:val="es-ES" w:eastAsia="es-ES"/>
        </w:rPr>
        <w:t>i</w:t>
      </w:r>
      <w:r w:rsidR="00E70E3E">
        <w:rPr>
          <w:szCs w:val="26"/>
          <w:lang w:val="es-ES" w:eastAsia="es-ES"/>
        </w:rPr>
        <w:t xml:space="preserve">co sobre las mismas; este hecho produce una dependencia del personal de estas entidades. </w:t>
      </w:r>
      <w:r>
        <w:rPr>
          <w:szCs w:val="26"/>
          <w:lang w:val="es-ES" w:eastAsia="es-ES"/>
        </w:rPr>
        <w:t xml:space="preserve">Como ya mencionamos en dicho informe, esto está suponiendo una cierta descapitalización del factor humano y un riesgo para la administración al no contar con personal propio con los conocimientos técnicos suficientes sobre las aplicaciones que hemos analizado. </w:t>
      </w:r>
    </w:p>
    <w:p w:rsidR="00C9781F" w:rsidRDefault="00C9781F" w:rsidP="00C9781F">
      <w:pPr>
        <w:pStyle w:val="texto"/>
        <w:rPr>
          <w:szCs w:val="26"/>
        </w:rPr>
      </w:pPr>
      <w:r>
        <w:rPr>
          <w:szCs w:val="26"/>
        </w:rPr>
        <w:t>Teniendo en cuenta el trabajo realizado, exponemos a continuación las r</w:t>
      </w:r>
      <w:r>
        <w:rPr>
          <w:szCs w:val="26"/>
        </w:rPr>
        <w:t>e</w:t>
      </w:r>
      <w:r>
        <w:rPr>
          <w:szCs w:val="26"/>
        </w:rPr>
        <w:t>comendaciones que consideramos pueden contribuir a mejorar la gestión anal</w:t>
      </w:r>
      <w:r>
        <w:rPr>
          <w:szCs w:val="26"/>
        </w:rPr>
        <w:t>i</w:t>
      </w:r>
      <w:r>
        <w:rPr>
          <w:szCs w:val="26"/>
        </w:rPr>
        <w:t>zada:</w:t>
      </w:r>
    </w:p>
    <w:p w:rsidR="00C9781F" w:rsidRPr="00037209" w:rsidRDefault="00C9781F" w:rsidP="00C9781F">
      <w:pPr>
        <w:pStyle w:val="texto"/>
        <w:tabs>
          <w:tab w:val="clear" w:pos="2835"/>
          <w:tab w:val="clear" w:pos="3969"/>
          <w:tab w:val="clear" w:pos="5103"/>
          <w:tab w:val="clear" w:pos="6237"/>
          <w:tab w:val="clear" w:pos="7371"/>
        </w:tabs>
        <w:spacing w:before="120"/>
        <w:rPr>
          <w:rFonts w:ascii="Arial" w:hAnsi="Arial" w:cs="Arial"/>
          <w:i/>
          <w:sz w:val="25"/>
          <w:szCs w:val="25"/>
        </w:rPr>
      </w:pPr>
      <w:r w:rsidRPr="00037209">
        <w:rPr>
          <w:rFonts w:ascii="Arial" w:hAnsi="Arial" w:cs="Arial"/>
          <w:i/>
          <w:sz w:val="25"/>
          <w:szCs w:val="25"/>
        </w:rPr>
        <w:t>ATENEA, HCI y LAMIA</w:t>
      </w:r>
    </w:p>
    <w:bookmarkEnd w:id="60"/>
    <w:bookmarkEnd w:id="61"/>
    <w:bookmarkEnd w:id="62"/>
    <w:bookmarkEnd w:id="63"/>
    <w:p w:rsidR="00C9781F" w:rsidRPr="00285242" w:rsidRDefault="00E70E3E"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Actualizar el</w:t>
      </w:r>
      <w:r w:rsidR="00C9781F" w:rsidRPr="00285242">
        <w:rPr>
          <w:rFonts w:cs="Arial"/>
          <w:i/>
        </w:rPr>
        <w:t xml:space="preserve"> procedimiento de gestión de accesos de usuarios</w:t>
      </w:r>
      <w:r w:rsidR="00C9781F">
        <w:rPr>
          <w:rFonts w:cs="Arial"/>
          <w:i/>
        </w:rPr>
        <w:t xml:space="preserve"> </w:t>
      </w:r>
      <w:r w:rsidR="00C9781F" w:rsidRPr="00285242">
        <w:rPr>
          <w:rFonts w:cs="Arial"/>
          <w:i/>
        </w:rPr>
        <w:t>establecie</w:t>
      </w:r>
      <w:r w:rsidR="00C9781F" w:rsidRPr="00285242">
        <w:rPr>
          <w:rFonts w:cs="Arial"/>
          <w:i/>
        </w:rPr>
        <w:t>n</w:t>
      </w:r>
      <w:r w:rsidR="00C9781F" w:rsidRPr="00285242">
        <w:rPr>
          <w:rFonts w:cs="Arial"/>
          <w:i/>
        </w:rPr>
        <w:t>do un flujograma diferenciado para cada tipo de usuario que contemple la r</w:t>
      </w:r>
      <w:r w:rsidR="00C9781F" w:rsidRPr="00285242">
        <w:rPr>
          <w:rFonts w:cs="Arial"/>
          <w:i/>
        </w:rPr>
        <w:t>e</w:t>
      </w:r>
      <w:r w:rsidR="00C9781F" w:rsidRPr="00285242">
        <w:rPr>
          <w:rFonts w:cs="Arial"/>
          <w:i/>
        </w:rPr>
        <w:t xml:space="preserve">visión periódica de los usuarios activos. </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285242">
        <w:rPr>
          <w:rFonts w:cs="Arial"/>
          <w:i/>
        </w:rPr>
        <w:t>Registrar la fecha de creación de los usuarios de LAMIA y quién lo hizo</w:t>
      </w:r>
      <w:r w:rsidR="00D471A6">
        <w:rPr>
          <w:rFonts w:cs="Arial"/>
          <w:i/>
        </w:rPr>
        <w:t xml:space="preserve"> siguiendo el procedimiento de gestión de accesos y</w:t>
      </w:r>
      <w:r w:rsidRPr="00285242">
        <w:rPr>
          <w:rFonts w:cs="Arial"/>
          <w:i/>
        </w:rPr>
        <w:t xml:space="preserve"> activando el log de audit</w:t>
      </w:r>
      <w:r w:rsidRPr="00285242">
        <w:rPr>
          <w:rFonts w:cs="Arial"/>
          <w:i/>
        </w:rPr>
        <w:t>o</w:t>
      </w:r>
      <w:r w:rsidRPr="00285242">
        <w:rPr>
          <w:rFonts w:cs="Arial"/>
          <w:i/>
        </w:rPr>
        <w:t>ría al menos para monitorizar la creación y modificación de usuarios en el si</w:t>
      </w:r>
      <w:r w:rsidRPr="00285242">
        <w:rPr>
          <w:rFonts w:cs="Arial"/>
          <w:i/>
        </w:rPr>
        <w:t>s</w:t>
      </w:r>
      <w:r w:rsidRPr="00285242">
        <w:rPr>
          <w:rFonts w:cs="Arial"/>
          <w:i/>
        </w:rPr>
        <w:t>tema por los administradores.</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285242">
        <w:rPr>
          <w:rFonts w:cs="Arial"/>
          <w:i/>
        </w:rPr>
        <w:t xml:space="preserve">Asignar el rol adecuado a cada usuario de los distintos módulos de LAMIA dejando rastro de dicha asignación, así como de quién lo ha autorizado para poder controlar el histórico de los usuarios. </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285242">
        <w:rPr>
          <w:rFonts w:cs="Arial"/>
          <w:i/>
        </w:rPr>
        <w:t>Realizar una revisión y depuración exhaustiva de los usuarios activos en LAMIA y eliminar, si procede, aquellos que ya no presten sus servicios en el SNS-O.</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285242">
        <w:rPr>
          <w:rFonts w:cs="Arial"/>
          <w:i/>
        </w:rPr>
        <w:t>Otorgar a los usuarios desarrolladores</w:t>
      </w:r>
      <w:r>
        <w:rPr>
          <w:rFonts w:cs="Arial"/>
          <w:i/>
        </w:rPr>
        <w:t xml:space="preserve">, </w:t>
      </w:r>
      <w:r w:rsidRPr="00285242">
        <w:rPr>
          <w:rFonts w:cs="Arial"/>
          <w:i/>
        </w:rPr>
        <w:t>aun estando autorizados para ello</w:t>
      </w:r>
      <w:r>
        <w:rPr>
          <w:rFonts w:cs="Arial"/>
          <w:i/>
        </w:rPr>
        <w:t xml:space="preserve">, </w:t>
      </w:r>
      <w:r w:rsidRPr="00285242">
        <w:rPr>
          <w:rFonts w:cs="Arial"/>
          <w:i/>
        </w:rPr>
        <w:t>acceso temporal y no continuo</w:t>
      </w:r>
      <w:r w:rsidR="00D471A6">
        <w:rPr>
          <w:rFonts w:cs="Arial"/>
          <w:i/>
        </w:rPr>
        <w:t xml:space="preserve"> en modo lectura</w:t>
      </w:r>
      <w:r w:rsidRPr="00285242">
        <w:rPr>
          <w:rFonts w:cs="Arial"/>
          <w:i/>
        </w:rPr>
        <w:t xml:space="preserve"> al entorno de producción para la resolución de incidencias y validación de des</w:t>
      </w:r>
      <w:r>
        <w:rPr>
          <w:rFonts w:cs="Arial"/>
          <w:i/>
        </w:rPr>
        <w:t>pliegue, monitorizando en todo caso de forma regular su actividad en el sistema.</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285242">
        <w:rPr>
          <w:rFonts w:cs="Arial"/>
          <w:i/>
        </w:rPr>
        <w:t>Mantener un log con el registro de todos los pasos a producción de LAMIA en el entorno de producción para poder extraer los cambios directamente de</w:t>
      </w:r>
      <w:r w:rsidRPr="00285242">
        <w:rPr>
          <w:rFonts w:cs="Arial"/>
          <w:i/>
        </w:rPr>
        <w:t>s</w:t>
      </w:r>
      <w:r w:rsidRPr="00285242">
        <w:rPr>
          <w:rFonts w:cs="Arial"/>
          <w:i/>
        </w:rPr>
        <w:t>de la herramienta.</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285242">
        <w:rPr>
          <w:rFonts w:cs="Arial"/>
          <w:i/>
        </w:rPr>
        <w:lastRenderedPageBreak/>
        <w:t>Fortalecer la política de contraseñas en ATENEA y HCI considerando el nivel de confidencialidad de los datos que contienen.</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285242">
        <w:rPr>
          <w:rFonts w:cs="Arial"/>
          <w:i/>
        </w:rPr>
        <w:t xml:space="preserve">Formalizar las políticas de seguridad de las aplicaciones de forma que sean accesibles a </w:t>
      </w:r>
      <w:r w:rsidR="00D471A6">
        <w:rPr>
          <w:rFonts w:cs="Arial"/>
          <w:i/>
        </w:rPr>
        <w:t>los</w:t>
      </w:r>
      <w:r w:rsidRPr="00285242">
        <w:rPr>
          <w:rFonts w:cs="Arial"/>
          <w:i/>
        </w:rPr>
        <w:t xml:space="preserve"> usuarios que las </w:t>
      </w:r>
      <w:r w:rsidR="00D471A6">
        <w:rPr>
          <w:rFonts w:cs="Arial"/>
          <w:i/>
        </w:rPr>
        <w:t>mismas</w:t>
      </w:r>
      <w:r w:rsidRPr="00285242">
        <w:rPr>
          <w:rFonts w:cs="Arial"/>
          <w:i/>
        </w:rPr>
        <w:t>.</w:t>
      </w:r>
    </w:p>
    <w:p w:rsidR="00C9781F"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285242">
        <w:rPr>
          <w:rFonts w:cs="Arial"/>
          <w:i/>
        </w:rPr>
        <w:t>Actualizar el estado de la realización de las pruebas sobre la aplicación si han resultado incorrectas antes de dar por terminada dicha prueba.</w:t>
      </w:r>
    </w:p>
    <w:p w:rsidR="00C9781F"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285242">
        <w:rPr>
          <w:rFonts w:cs="Arial"/>
          <w:i/>
        </w:rPr>
        <w:t xml:space="preserve">Implementar por parte del SNS-O en las aplicaciones </w:t>
      </w:r>
      <w:r w:rsidR="00245EA5">
        <w:rPr>
          <w:rFonts w:cs="Arial"/>
          <w:i/>
        </w:rPr>
        <w:t>todas las pasarelas o</w:t>
      </w:r>
      <w:r w:rsidRPr="00285242">
        <w:rPr>
          <w:rFonts w:cs="Arial"/>
          <w:i/>
        </w:rPr>
        <w:t xml:space="preserve"> mecanismos de integración de la información de modo que se mantenga un control adecuado estableciendo las condiciones que aporten la mayor segur</w:t>
      </w:r>
      <w:r w:rsidRPr="00285242">
        <w:rPr>
          <w:rFonts w:cs="Arial"/>
          <w:i/>
        </w:rPr>
        <w:t>i</w:t>
      </w:r>
      <w:r w:rsidRPr="00285242">
        <w:rPr>
          <w:rFonts w:cs="Arial"/>
          <w:i/>
        </w:rPr>
        <w:t>dad posible a los procesos implicados.</w:t>
      </w:r>
    </w:p>
    <w:p w:rsidR="00C9781F" w:rsidRPr="00DF51BD" w:rsidRDefault="00C9781F" w:rsidP="00C9781F">
      <w:pPr>
        <w:keepNext/>
        <w:spacing w:before="240" w:after="120"/>
        <w:ind w:firstLine="0"/>
        <w:rPr>
          <w:rFonts w:ascii="Arial" w:hAnsi="Arial"/>
          <w:i/>
          <w:iCs/>
          <w:color w:val="000000"/>
          <w:spacing w:val="10"/>
          <w:kern w:val="28"/>
          <w:sz w:val="25"/>
          <w:szCs w:val="26"/>
        </w:rPr>
      </w:pPr>
      <w:r w:rsidRPr="00DF51BD">
        <w:rPr>
          <w:rFonts w:ascii="Arial" w:hAnsi="Arial"/>
          <w:i/>
          <w:iCs/>
          <w:color w:val="000000"/>
          <w:spacing w:val="10"/>
          <w:kern w:val="28"/>
          <w:sz w:val="25"/>
          <w:szCs w:val="26"/>
        </w:rPr>
        <w:t xml:space="preserve">Incorporación de datos del </w:t>
      </w:r>
      <w:r w:rsidR="00445899">
        <w:rPr>
          <w:rFonts w:ascii="Arial" w:hAnsi="Arial"/>
          <w:i/>
          <w:iCs/>
          <w:color w:val="000000"/>
          <w:spacing w:val="10"/>
          <w:kern w:val="28"/>
          <w:sz w:val="25"/>
          <w:szCs w:val="26"/>
        </w:rPr>
        <w:t>Nomenclátor</w:t>
      </w:r>
      <w:r w:rsidRPr="00DF51BD">
        <w:rPr>
          <w:rFonts w:ascii="Arial" w:hAnsi="Arial"/>
          <w:i/>
          <w:iCs/>
          <w:color w:val="000000"/>
          <w:spacing w:val="10"/>
          <w:kern w:val="28"/>
          <w:sz w:val="25"/>
          <w:szCs w:val="26"/>
        </w:rPr>
        <w:t xml:space="preserve"> a los sistemas información del SNS-O</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285242">
        <w:rPr>
          <w:rFonts w:cs="Arial"/>
          <w:i/>
        </w:rPr>
        <w:t>Realizar una adecuada segregación de funciones en aquellas fases del procedimiento de gestión de la prestación farmacéutica identificadas a lo largo del informe donde las tareas estaban concentradas en una única persona, de</w:t>
      </w:r>
      <w:r w:rsidRPr="00285242">
        <w:rPr>
          <w:rFonts w:cs="Arial"/>
          <w:i/>
        </w:rPr>
        <w:t>s</w:t>
      </w:r>
      <w:r w:rsidRPr="00285242">
        <w:rPr>
          <w:rFonts w:cs="Arial"/>
          <w:i/>
        </w:rPr>
        <w:t>tinando más personal a las mismas.</w:t>
      </w:r>
    </w:p>
    <w:p w:rsidR="00C9781F" w:rsidRDefault="001B184D"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Actualiz</w:t>
      </w:r>
      <w:r w:rsidR="00C9781F" w:rsidRPr="00285242">
        <w:rPr>
          <w:rFonts w:cs="Arial"/>
          <w:i/>
        </w:rPr>
        <w:t xml:space="preserve">ar </w:t>
      </w:r>
      <w:r>
        <w:rPr>
          <w:rFonts w:cs="Arial"/>
          <w:i/>
        </w:rPr>
        <w:t xml:space="preserve">el </w:t>
      </w:r>
      <w:r w:rsidR="00C9781F" w:rsidRPr="00285242">
        <w:rPr>
          <w:rFonts w:cs="Arial"/>
          <w:i/>
        </w:rPr>
        <w:t xml:space="preserve">procedimiento de incorporación de la información del </w:t>
      </w:r>
      <w:r w:rsidR="00445899">
        <w:rPr>
          <w:rFonts w:cs="Arial"/>
          <w:i/>
        </w:rPr>
        <w:t>N</w:t>
      </w:r>
      <w:r w:rsidR="00445899">
        <w:rPr>
          <w:rFonts w:cs="Arial"/>
          <w:i/>
        </w:rPr>
        <w:t>o</w:t>
      </w:r>
      <w:r w:rsidR="00445899">
        <w:rPr>
          <w:rFonts w:cs="Arial"/>
          <w:i/>
        </w:rPr>
        <w:t>menclátor</w:t>
      </w:r>
      <w:r w:rsidR="00C9781F" w:rsidRPr="00285242">
        <w:rPr>
          <w:rFonts w:cs="Arial"/>
          <w:i/>
        </w:rPr>
        <w:t xml:space="preserve"> a los sistemas de información del SNS-O.</w:t>
      </w:r>
    </w:p>
    <w:p w:rsidR="00C9781F"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Mantener un log de las modificaciones realizadas a raíz de las actualiz</w:t>
      </w:r>
      <w:r>
        <w:rPr>
          <w:rFonts w:cs="Arial"/>
          <w:i/>
        </w:rPr>
        <w:t>a</w:t>
      </w:r>
      <w:r>
        <w:rPr>
          <w:rFonts w:cs="Arial"/>
          <w:i/>
        </w:rPr>
        <w:t xml:space="preserve">ciones del </w:t>
      </w:r>
      <w:r w:rsidR="00445899">
        <w:rPr>
          <w:rFonts w:cs="Arial"/>
          <w:i/>
        </w:rPr>
        <w:t>Nomenclátor</w:t>
      </w:r>
      <w:r>
        <w:rPr>
          <w:rFonts w:cs="Arial"/>
          <w:i/>
        </w:rPr>
        <w:t xml:space="preserve"> teniendo en cuenta que son datos que se incorporan a LAMIA y a otros sistemas.</w:t>
      </w:r>
    </w:p>
    <w:p w:rsidR="00C9781F" w:rsidRPr="00DF51BD" w:rsidRDefault="00C9781F" w:rsidP="00C9781F">
      <w:pPr>
        <w:keepNext/>
        <w:spacing w:before="240" w:after="120"/>
        <w:ind w:firstLine="0"/>
        <w:rPr>
          <w:rFonts w:ascii="Arial" w:hAnsi="Arial"/>
          <w:i/>
          <w:iCs/>
          <w:color w:val="000000"/>
          <w:spacing w:val="10"/>
          <w:kern w:val="28"/>
          <w:sz w:val="25"/>
          <w:szCs w:val="26"/>
        </w:rPr>
      </w:pPr>
      <w:r>
        <w:rPr>
          <w:rFonts w:ascii="Arial" w:hAnsi="Arial"/>
          <w:i/>
          <w:iCs/>
          <w:color w:val="000000"/>
          <w:spacing w:val="10"/>
          <w:kern w:val="28"/>
          <w:sz w:val="25"/>
          <w:szCs w:val="26"/>
        </w:rPr>
        <w:t>Prescripción</w:t>
      </w:r>
    </w:p>
    <w:p w:rsidR="00C9781F"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285242">
        <w:rPr>
          <w:rFonts w:cs="Arial"/>
          <w:i/>
        </w:rPr>
        <w:t>Incluir en LAMIA una limitación al número de envases a la hora de pre</w:t>
      </w:r>
      <w:r w:rsidRPr="00285242">
        <w:rPr>
          <w:rFonts w:cs="Arial"/>
          <w:i/>
        </w:rPr>
        <w:t>s</w:t>
      </w:r>
      <w:r w:rsidRPr="00285242">
        <w:rPr>
          <w:rFonts w:cs="Arial"/>
          <w:i/>
        </w:rPr>
        <w:t>cribir, salvo en aquellas excepciones debidamente justificadas.</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285242">
        <w:rPr>
          <w:rFonts w:cs="Arial"/>
          <w:i/>
        </w:rPr>
        <w:t>Eliminar la firma automática</w:t>
      </w:r>
      <w:r w:rsidR="00245EA5">
        <w:rPr>
          <w:rFonts w:cs="Arial"/>
          <w:i/>
        </w:rPr>
        <w:t xml:space="preserve"> </w:t>
      </w:r>
      <w:r w:rsidR="00245EA5" w:rsidRPr="00285242">
        <w:rPr>
          <w:rFonts w:cs="Arial"/>
          <w:i/>
        </w:rPr>
        <w:t>de aquellas prescripciones que no hayan s</w:t>
      </w:r>
      <w:r w:rsidR="00245EA5" w:rsidRPr="00285242">
        <w:rPr>
          <w:rFonts w:cs="Arial"/>
          <w:i/>
        </w:rPr>
        <w:t>i</w:t>
      </w:r>
      <w:r w:rsidR="00245EA5" w:rsidRPr="00285242">
        <w:rPr>
          <w:rFonts w:cs="Arial"/>
          <w:i/>
        </w:rPr>
        <w:t>do propuestas por el propio personal facultativo</w:t>
      </w:r>
      <w:r w:rsidRPr="00285242">
        <w:rPr>
          <w:rFonts w:cs="Arial"/>
          <w:i/>
        </w:rPr>
        <w:t xml:space="preserve"> al salir de </w:t>
      </w:r>
      <w:r w:rsidR="00245EA5">
        <w:rPr>
          <w:rFonts w:cs="Arial"/>
          <w:i/>
        </w:rPr>
        <w:t>la hoja de trat</w:t>
      </w:r>
      <w:r w:rsidR="00245EA5">
        <w:rPr>
          <w:rFonts w:cs="Arial"/>
          <w:i/>
        </w:rPr>
        <w:t>a</w:t>
      </w:r>
      <w:r w:rsidR="00245EA5">
        <w:rPr>
          <w:rFonts w:cs="Arial"/>
          <w:i/>
        </w:rPr>
        <w:t>miento de los pacientes, o introducir en su caso un aviso de esta circunstancia</w:t>
      </w:r>
      <w:r w:rsidRPr="00285242">
        <w:rPr>
          <w:rFonts w:cs="Arial"/>
          <w:i/>
        </w:rPr>
        <w:t>.</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285242">
        <w:rPr>
          <w:rFonts w:cs="Arial"/>
          <w:i/>
        </w:rPr>
        <w:t>Entregar al paciente la hoja de tratamiento correspondiente en donde se indique expresamente el coste de la medicación y su plazo válido de recogida en farmacia.</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285242">
        <w:rPr>
          <w:rFonts w:cs="Arial"/>
          <w:i/>
        </w:rPr>
        <w:t xml:space="preserve">Analizar la conveniencia de seguir manteniendo los talonarios </w:t>
      </w:r>
      <w:r>
        <w:rPr>
          <w:rFonts w:cs="Arial"/>
          <w:i/>
        </w:rPr>
        <w:t xml:space="preserve">en todos los casos </w:t>
      </w:r>
      <w:r w:rsidRPr="00285242">
        <w:rPr>
          <w:rFonts w:cs="Arial"/>
          <w:i/>
        </w:rPr>
        <w:t>y por ende la posibilidad de prescribir a través de recetas en papel d</w:t>
      </w:r>
      <w:r w:rsidRPr="00285242">
        <w:rPr>
          <w:rFonts w:cs="Arial"/>
          <w:i/>
        </w:rPr>
        <w:t>a</w:t>
      </w:r>
      <w:r w:rsidRPr="00285242">
        <w:rPr>
          <w:rFonts w:cs="Arial"/>
          <w:i/>
        </w:rPr>
        <w:t xml:space="preserve">das las deficiencias puestas de manifiesto. </w:t>
      </w:r>
    </w:p>
    <w:p w:rsidR="00C9781F" w:rsidRPr="00285242" w:rsidRDefault="00245EA5"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 xml:space="preserve">Suprimir los talonarios de recetas en papel destinados </w:t>
      </w:r>
      <w:r w:rsidR="00C9781F" w:rsidRPr="00285242">
        <w:rPr>
          <w:rFonts w:cs="Arial"/>
          <w:i/>
        </w:rPr>
        <w:t>al personal facult</w:t>
      </w:r>
      <w:r w:rsidR="00C9781F" w:rsidRPr="00285242">
        <w:rPr>
          <w:rFonts w:cs="Arial"/>
          <w:i/>
        </w:rPr>
        <w:t>a</w:t>
      </w:r>
      <w:r w:rsidR="00C9781F" w:rsidRPr="00285242">
        <w:rPr>
          <w:rFonts w:cs="Arial"/>
          <w:i/>
        </w:rPr>
        <w:t>tivo jubilado</w:t>
      </w:r>
      <w:r>
        <w:rPr>
          <w:rFonts w:cs="Arial"/>
          <w:i/>
        </w:rPr>
        <w:t xml:space="preserve">; en caso de que se mantenga esta opción, solicitar </w:t>
      </w:r>
      <w:r w:rsidR="00C9781F" w:rsidRPr="00285242">
        <w:rPr>
          <w:rFonts w:cs="Arial"/>
          <w:i/>
        </w:rPr>
        <w:t xml:space="preserve">el certificado </w:t>
      </w:r>
      <w:r w:rsidR="00C9781F" w:rsidRPr="00285242">
        <w:rPr>
          <w:rFonts w:cs="Arial"/>
          <w:i/>
        </w:rPr>
        <w:lastRenderedPageBreak/>
        <w:t>de capacitación profesional y controlar si los pacientes destinatarios de las prescripciones son el propio facultativo</w:t>
      </w:r>
      <w:r w:rsidR="00C9781F">
        <w:rPr>
          <w:rFonts w:cs="Arial"/>
          <w:i/>
        </w:rPr>
        <w:t xml:space="preserve"> o sus familiares convivientes.</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285242">
        <w:rPr>
          <w:rFonts w:cs="Arial"/>
          <w:i/>
        </w:rPr>
        <w:t>Exigir la adecuada cumplimentación del grupo de TSI al que pertenecen los pacientes en las recetas en papel con el fin de que las farmacias cobren a los usuarios el porcentaje que les corresponde, en caso de que se siga utiliza</w:t>
      </w:r>
      <w:r w:rsidRPr="00285242">
        <w:rPr>
          <w:rFonts w:cs="Arial"/>
          <w:i/>
        </w:rPr>
        <w:t>n</w:t>
      </w:r>
      <w:r w:rsidRPr="00285242">
        <w:rPr>
          <w:rFonts w:cs="Arial"/>
          <w:i/>
        </w:rPr>
        <w:t>do este formato de prescripción.</w:t>
      </w:r>
    </w:p>
    <w:p w:rsidR="00C9781F" w:rsidRPr="00DF51BD" w:rsidRDefault="00C9781F" w:rsidP="00C9781F">
      <w:pPr>
        <w:keepNext/>
        <w:spacing w:before="240" w:after="120"/>
        <w:ind w:firstLine="0"/>
        <w:rPr>
          <w:rFonts w:ascii="Arial" w:hAnsi="Arial"/>
          <w:i/>
          <w:iCs/>
          <w:color w:val="000000"/>
          <w:spacing w:val="10"/>
          <w:kern w:val="28"/>
          <w:sz w:val="25"/>
          <w:szCs w:val="26"/>
        </w:rPr>
      </w:pPr>
      <w:r>
        <w:rPr>
          <w:rFonts w:ascii="Arial" w:hAnsi="Arial"/>
          <w:i/>
          <w:iCs/>
          <w:color w:val="000000"/>
          <w:spacing w:val="10"/>
          <w:kern w:val="28"/>
          <w:sz w:val="25"/>
          <w:szCs w:val="26"/>
        </w:rPr>
        <w:t>Visado</w:t>
      </w:r>
    </w:p>
    <w:p w:rsidR="00C9781F" w:rsidRPr="00DF6874" w:rsidRDefault="00DF6874"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DF6874">
        <w:rPr>
          <w:rFonts w:cs="Arial"/>
          <w:i/>
        </w:rPr>
        <w:t>Introducir por parte del personal facultativo prescriptor</w:t>
      </w:r>
      <w:r>
        <w:rPr>
          <w:rFonts w:cs="Arial"/>
          <w:i/>
        </w:rPr>
        <w:t xml:space="preserve"> </w:t>
      </w:r>
      <w:r w:rsidRPr="00DF6874">
        <w:rPr>
          <w:rFonts w:cs="Arial"/>
          <w:i/>
        </w:rPr>
        <w:t>los datos suficie</w:t>
      </w:r>
      <w:r w:rsidRPr="00DF6874">
        <w:rPr>
          <w:rFonts w:cs="Arial"/>
          <w:i/>
        </w:rPr>
        <w:t>n</w:t>
      </w:r>
      <w:r w:rsidRPr="00DF6874">
        <w:rPr>
          <w:rFonts w:cs="Arial"/>
          <w:i/>
        </w:rPr>
        <w:t xml:space="preserve">tes para solicitar el visado de los medicamentos </w:t>
      </w:r>
      <w:r>
        <w:rPr>
          <w:rFonts w:cs="Arial"/>
          <w:i/>
        </w:rPr>
        <w:t xml:space="preserve">y </w:t>
      </w:r>
      <w:r w:rsidRPr="00DF6874">
        <w:rPr>
          <w:rFonts w:cs="Arial"/>
          <w:i/>
        </w:rPr>
        <w:t>auto</w:t>
      </w:r>
      <w:r w:rsidR="00C9781F" w:rsidRPr="00DF6874">
        <w:rPr>
          <w:rFonts w:cs="Arial"/>
          <w:i/>
        </w:rPr>
        <w:t xml:space="preserve">matizar en la medida de lo posible la autorización de </w:t>
      </w:r>
      <w:r>
        <w:rPr>
          <w:rFonts w:cs="Arial"/>
          <w:i/>
        </w:rPr>
        <w:t xml:space="preserve">dichas </w:t>
      </w:r>
      <w:r w:rsidR="00C9781F" w:rsidRPr="00DF6874">
        <w:rPr>
          <w:rFonts w:cs="Arial"/>
          <w:i/>
        </w:rPr>
        <w:t>prescripciones</w:t>
      </w:r>
      <w:r w:rsidR="001B184D">
        <w:rPr>
          <w:rFonts w:cs="Arial"/>
          <w:i/>
        </w:rPr>
        <w:t>, limitando el acceso a la historia clínica de los pacientes a los casos estrictamente necesarios</w:t>
      </w:r>
      <w:r w:rsidR="00C9781F" w:rsidRPr="00DF6874">
        <w:rPr>
          <w:rFonts w:cs="Arial"/>
          <w:i/>
        </w:rPr>
        <w:t>.</w:t>
      </w:r>
    </w:p>
    <w:p w:rsidR="00C9781F" w:rsidRPr="00DF51BD" w:rsidRDefault="00C9781F" w:rsidP="00C9781F">
      <w:pPr>
        <w:keepNext/>
        <w:spacing w:before="240" w:after="120"/>
        <w:ind w:firstLine="0"/>
        <w:rPr>
          <w:rFonts w:ascii="Arial" w:hAnsi="Arial"/>
          <w:i/>
          <w:iCs/>
          <w:color w:val="000000"/>
          <w:spacing w:val="10"/>
          <w:kern w:val="28"/>
          <w:sz w:val="25"/>
          <w:szCs w:val="26"/>
        </w:rPr>
      </w:pPr>
      <w:r>
        <w:rPr>
          <w:rFonts w:ascii="Arial" w:hAnsi="Arial"/>
          <w:i/>
          <w:iCs/>
          <w:color w:val="000000"/>
          <w:spacing w:val="10"/>
          <w:kern w:val="28"/>
          <w:sz w:val="25"/>
          <w:szCs w:val="26"/>
        </w:rPr>
        <w:t>Dispensación</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285242">
        <w:rPr>
          <w:rFonts w:cs="Arial"/>
          <w:i/>
        </w:rPr>
        <w:t xml:space="preserve">Establecer los mecanismos necesarios para que las farmacias accedan de forma mayoritaria a los datos del paciente a través de la lectura de la tarjeta sanitaria, indicando el motivo </w:t>
      </w:r>
      <w:r>
        <w:rPr>
          <w:rFonts w:cs="Arial"/>
          <w:i/>
        </w:rPr>
        <w:t xml:space="preserve">concreto </w:t>
      </w:r>
      <w:r w:rsidRPr="00285242">
        <w:rPr>
          <w:rFonts w:cs="Arial"/>
          <w:i/>
        </w:rPr>
        <w:t>en caso contrario.</w:t>
      </w:r>
    </w:p>
    <w:p w:rsidR="00C9781F"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285242">
        <w:rPr>
          <w:rFonts w:cs="Arial"/>
          <w:i/>
        </w:rPr>
        <w:t>Garantizar que los precios abonados por los pacientes por la adquisición de un medicamento en todas las oficinas de farmacia se correspondan con los establecidos en la normativa.</w:t>
      </w:r>
    </w:p>
    <w:p w:rsidR="00C9781F" w:rsidRPr="00DF51BD" w:rsidRDefault="00C9781F" w:rsidP="00C9781F">
      <w:pPr>
        <w:keepNext/>
        <w:spacing w:before="240" w:after="120"/>
        <w:ind w:firstLine="0"/>
        <w:rPr>
          <w:rFonts w:ascii="Arial" w:hAnsi="Arial"/>
          <w:i/>
          <w:iCs/>
          <w:color w:val="000000"/>
          <w:spacing w:val="10"/>
          <w:kern w:val="28"/>
          <w:sz w:val="25"/>
          <w:szCs w:val="26"/>
        </w:rPr>
      </w:pPr>
      <w:r>
        <w:rPr>
          <w:rFonts w:ascii="Arial" w:hAnsi="Arial"/>
          <w:i/>
          <w:iCs/>
          <w:color w:val="000000"/>
          <w:spacing w:val="10"/>
          <w:kern w:val="28"/>
          <w:sz w:val="25"/>
          <w:szCs w:val="26"/>
        </w:rPr>
        <w:t>Cotejos</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285242">
        <w:rPr>
          <w:rFonts w:cs="Arial"/>
          <w:i/>
        </w:rPr>
        <w:t>Diseñar y formalizar un procedimiento de realización de cotejos en las facturas del COFNA al SNS-O.</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285242">
        <w:rPr>
          <w:rFonts w:cs="Arial"/>
          <w:i/>
        </w:rPr>
        <w:t>Revisar los importes de abono y descuento incluidos en las facturas me</w:t>
      </w:r>
      <w:r w:rsidRPr="00285242">
        <w:rPr>
          <w:rFonts w:cs="Arial"/>
          <w:i/>
        </w:rPr>
        <w:t>n</w:t>
      </w:r>
      <w:r w:rsidRPr="00285242">
        <w:rPr>
          <w:rFonts w:cs="Arial"/>
          <w:i/>
        </w:rPr>
        <w:t>suales de la prestación farmacéutica verificando si se adecúan a la normativa aplicable.</w:t>
      </w:r>
    </w:p>
    <w:p w:rsidR="00C9781F"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285242">
        <w:rPr>
          <w:rFonts w:cs="Arial"/>
          <w:i/>
        </w:rPr>
        <w:t>Dejar constancia de las revisiones, comprobaciones y cotejos realizados en el control de la factura de la prestación farmacéutica.</w:t>
      </w:r>
    </w:p>
    <w:p w:rsidR="00C9781F" w:rsidRPr="00DF51BD" w:rsidRDefault="00C9781F" w:rsidP="00C9781F">
      <w:pPr>
        <w:keepNext/>
        <w:spacing w:before="240" w:after="120"/>
        <w:ind w:firstLine="0"/>
        <w:rPr>
          <w:rFonts w:ascii="Arial" w:hAnsi="Arial"/>
          <w:i/>
          <w:iCs/>
          <w:color w:val="000000"/>
          <w:spacing w:val="10"/>
          <w:kern w:val="28"/>
          <w:sz w:val="25"/>
          <w:szCs w:val="26"/>
        </w:rPr>
      </w:pPr>
      <w:r>
        <w:rPr>
          <w:rFonts w:ascii="Arial" w:hAnsi="Arial"/>
          <w:i/>
          <w:iCs/>
          <w:color w:val="000000"/>
          <w:spacing w:val="10"/>
          <w:kern w:val="28"/>
          <w:sz w:val="25"/>
          <w:szCs w:val="26"/>
        </w:rPr>
        <w:t>Aspectos generales</w:t>
      </w:r>
    </w:p>
    <w:p w:rsidR="00C9781F" w:rsidRPr="00285242"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285242">
        <w:rPr>
          <w:rFonts w:cs="Arial"/>
          <w:i/>
        </w:rPr>
        <w:t>Analizar la adecuación de la plantilla de personal informático y realizar en su caso las oportunas ofertas públicas de empleo convocando las plazas ofertadas para</w:t>
      </w:r>
      <w:r>
        <w:rPr>
          <w:rFonts w:cs="Arial"/>
          <w:i/>
        </w:rPr>
        <w:t xml:space="preserve"> disponer de personal propio con </w:t>
      </w:r>
      <w:r w:rsidRPr="00285242">
        <w:rPr>
          <w:rFonts w:cs="Arial"/>
          <w:i/>
        </w:rPr>
        <w:t>el conocimiento técnico</w:t>
      </w:r>
      <w:r>
        <w:rPr>
          <w:rFonts w:cs="Arial"/>
          <w:i/>
        </w:rPr>
        <w:t xml:space="preserve"> ad</w:t>
      </w:r>
      <w:r>
        <w:rPr>
          <w:rFonts w:cs="Arial"/>
          <w:i/>
        </w:rPr>
        <w:t>e</w:t>
      </w:r>
      <w:r>
        <w:rPr>
          <w:rFonts w:cs="Arial"/>
          <w:i/>
        </w:rPr>
        <w:t>cuado</w:t>
      </w:r>
      <w:r w:rsidRPr="00285242">
        <w:rPr>
          <w:rFonts w:cs="Arial"/>
          <w:i/>
        </w:rPr>
        <w:t xml:space="preserve"> sobre las aplicaciones informáticas más relevantes utilizadas en la ge</w:t>
      </w:r>
      <w:r w:rsidRPr="00285242">
        <w:rPr>
          <w:rFonts w:cs="Arial"/>
          <w:i/>
        </w:rPr>
        <w:t>s</w:t>
      </w:r>
      <w:r w:rsidRPr="00285242">
        <w:rPr>
          <w:rFonts w:cs="Arial"/>
          <w:i/>
        </w:rPr>
        <w:t xml:space="preserve">tión. </w:t>
      </w:r>
    </w:p>
    <w:p w:rsidR="00C9781F" w:rsidRPr="00DF51BD" w:rsidRDefault="00C9781F"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DF51BD">
        <w:rPr>
          <w:rFonts w:cs="Arial"/>
          <w:i/>
        </w:rPr>
        <w:t xml:space="preserve">Atender la HTN, los requerimientos de información que la Cámara de Comptos de Navarra solicita en ejercicio de sus funciones y potestades con el fin de que esta institución pueda ejercer plenamente su labor fiscalizadora. </w:t>
      </w:r>
    </w:p>
    <w:bookmarkEnd w:id="32"/>
    <w:bookmarkEnd w:id="33"/>
    <w:p w:rsidR="00C9781F" w:rsidRPr="00FA784F" w:rsidRDefault="00C9781F" w:rsidP="00C9781F">
      <w:pPr>
        <w:pStyle w:val="texto"/>
        <w:spacing w:before="240"/>
      </w:pPr>
      <w:r w:rsidRPr="00FA784F">
        <w:lastRenderedPageBreak/>
        <w:t>Informe que se emite a propuesta de la auditora Karen Moreno Orduña, re</w:t>
      </w:r>
      <w:r w:rsidRPr="00FA784F">
        <w:t>s</w:t>
      </w:r>
      <w:r w:rsidRPr="00FA784F">
        <w:t>ponsable de la realización de este trabajo, una vez cumplimentados los trámites previstos por la normativa vigente.</w:t>
      </w:r>
    </w:p>
    <w:p w:rsidR="00C9781F" w:rsidRPr="00FA784F" w:rsidRDefault="00C9781F" w:rsidP="00C9781F">
      <w:pPr>
        <w:pStyle w:val="texto"/>
        <w:spacing w:after="0"/>
        <w:ind w:firstLine="0"/>
        <w:jc w:val="center"/>
        <w:rPr>
          <w:szCs w:val="26"/>
        </w:rPr>
      </w:pPr>
      <w:r w:rsidRPr="00FA784F">
        <w:rPr>
          <w:szCs w:val="26"/>
        </w:rPr>
        <w:t xml:space="preserve">Pamplona, a </w:t>
      </w:r>
      <w:r w:rsidR="00B9048C">
        <w:rPr>
          <w:szCs w:val="26"/>
        </w:rPr>
        <w:t>2</w:t>
      </w:r>
      <w:r w:rsidR="00FB0E27">
        <w:rPr>
          <w:szCs w:val="26"/>
        </w:rPr>
        <w:t>8</w:t>
      </w:r>
      <w:r>
        <w:rPr>
          <w:szCs w:val="26"/>
        </w:rPr>
        <w:t xml:space="preserve"> de marzo</w:t>
      </w:r>
      <w:r w:rsidRPr="00FA784F">
        <w:rPr>
          <w:szCs w:val="26"/>
        </w:rPr>
        <w:t xml:space="preserve"> de 201</w:t>
      </w:r>
      <w:r>
        <w:rPr>
          <w:szCs w:val="26"/>
        </w:rPr>
        <w:t>9</w:t>
      </w:r>
    </w:p>
    <w:p w:rsidR="00C9781F" w:rsidRDefault="00C9781F" w:rsidP="00C9781F">
      <w:pPr>
        <w:pStyle w:val="texto"/>
        <w:tabs>
          <w:tab w:val="clear" w:pos="2835"/>
          <w:tab w:val="clear" w:pos="3969"/>
          <w:tab w:val="clear" w:pos="5103"/>
          <w:tab w:val="clear" w:pos="6237"/>
          <w:tab w:val="clear" w:pos="7371"/>
          <w:tab w:val="left" w:pos="480"/>
          <w:tab w:val="num" w:pos="720"/>
          <w:tab w:val="num" w:pos="1320"/>
        </w:tabs>
        <w:ind w:left="289" w:firstLine="0"/>
        <w:jc w:val="center"/>
      </w:pPr>
      <w:r w:rsidRPr="00FA784F">
        <w:rPr>
          <w:szCs w:val="26"/>
          <w:lang w:val="es-ES"/>
        </w:rPr>
        <w:t xml:space="preserve">La presidenta, </w:t>
      </w:r>
      <w:r>
        <w:rPr>
          <w:szCs w:val="26"/>
          <w:lang w:val="es-ES"/>
        </w:rPr>
        <w:t xml:space="preserve">Asunción Olaechea </w:t>
      </w:r>
      <w:r>
        <w:t>Estanga</w:t>
      </w:r>
    </w:p>
    <w:p w:rsidR="00203B7B" w:rsidRDefault="00203B7B" w:rsidP="00C9781F">
      <w:pPr>
        <w:pStyle w:val="texto"/>
        <w:tabs>
          <w:tab w:val="clear" w:pos="2835"/>
          <w:tab w:val="clear" w:pos="3969"/>
          <w:tab w:val="clear" w:pos="5103"/>
          <w:tab w:val="clear" w:pos="6237"/>
          <w:tab w:val="clear" w:pos="7371"/>
          <w:tab w:val="left" w:pos="480"/>
          <w:tab w:val="num" w:pos="720"/>
          <w:tab w:val="num" w:pos="1320"/>
        </w:tabs>
        <w:ind w:left="289" w:firstLine="0"/>
        <w:jc w:val="center"/>
      </w:pPr>
    </w:p>
    <w:p w:rsidR="00203B7B" w:rsidRDefault="00203B7B" w:rsidP="00C9781F">
      <w:pPr>
        <w:pStyle w:val="texto"/>
        <w:tabs>
          <w:tab w:val="clear" w:pos="2835"/>
          <w:tab w:val="clear" w:pos="3969"/>
          <w:tab w:val="clear" w:pos="5103"/>
          <w:tab w:val="clear" w:pos="6237"/>
          <w:tab w:val="clear" w:pos="7371"/>
          <w:tab w:val="left" w:pos="480"/>
          <w:tab w:val="num" w:pos="720"/>
          <w:tab w:val="num" w:pos="1320"/>
        </w:tabs>
        <w:ind w:left="289" w:firstLine="0"/>
        <w:jc w:val="center"/>
        <w:rPr>
          <w:rFonts w:eastAsiaTheme="minorHAnsi"/>
          <w:szCs w:val="26"/>
        </w:rPr>
        <w:sectPr w:rsidR="00203B7B" w:rsidSect="00E33BEA">
          <w:footerReference w:type="default" r:id="rId17"/>
          <w:type w:val="oddPage"/>
          <w:pgSz w:w="11907" w:h="16840" w:code="9"/>
          <w:pgMar w:top="2109" w:right="1559" w:bottom="1644" w:left="1559" w:header="369" w:footer="136" w:gutter="0"/>
          <w:pgNumType w:start="3"/>
          <w:cols w:space="720"/>
          <w:docGrid w:linePitch="360"/>
        </w:sectPr>
      </w:pPr>
    </w:p>
    <w:p w:rsidR="00203B7B" w:rsidRDefault="00203B7B" w:rsidP="00C9781F">
      <w:pPr>
        <w:pStyle w:val="texto"/>
        <w:tabs>
          <w:tab w:val="clear" w:pos="2835"/>
          <w:tab w:val="clear" w:pos="3969"/>
          <w:tab w:val="clear" w:pos="5103"/>
          <w:tab w:val="clear" w:pos="6237"/>
          <w:tab w:val="clear" w:pos="7371"/>
          <w:tab w:val="left" w:pos="480"/>
          <w:tab w:val="num" w:pos="720"/>
          <w:tab w:val="num" w:pos="1320"/>
        </w:tabs>
        <w:ind w:left="289" w:firstLine="0"/>
        <w:jc w:val="center"/>
        <w:rPr>
          <w:rFonts w:eastAsiaTheme="minorHAnsi"/>
          <w:szCs w:val="26"/>
        </w:rPr>
      </w:pPr>
    </w:p>
    <w:p w:rsidR="00C9781F" w:rsidRDefault="00C9781F" w:rsidP="00C9781F">
      <w:pPr>
        <w:pStyle w:val="atitulo1"/>
        <w:jc w:val="right"/>
        <w:rPr>
          <w:rFonts w:eastAsiaTheme="minorHAnsi"/>
          <w:sz w:val="36"/>
          <w:szCs w:val="36"/>
        </w:rPr>
      </w:pPr>
      <w:bookmarkStart w:id="68" w:name="_Toc474745512"/>
    </w:p>
    <w:p w:rsidR="00C9781F" w:rsidRDefault="00C9781F" w:rsidP="00C9781F">
      <w:pPr>
        <w:pStyle w:val="atitulo1"/>
        <w:jc w:val="right"/>
        <w:rPr>
          <w:rFonts w:eastAsiaTheme="minorHAnsi"/>
          <w:sz w:val="36"/>
          <w:szCs w:val="36"/>
        </w:rPr>
      </w:pPr>
    </w:p>
    <w:p w:rsidR="00C9781F" w:rsidRDefault="00C9781F" w:rsidP="00C9781F">
      <w:pPr>
        <w:pStyle w:val="atitulo1"/>
        <w:jc w:val="right"/>
        <w:rPr>
          <w:rFonts w:eastAsiaTheme="minorHAnsi"/>
          <w:sz w:val="36"/>
          <w:szCs w:val="36"/>
        </w:rPr>
      </w:pPr>
    </w:p>
    <w:p w:rsidR="00C9781F" w:rsidRDefault="00C9781F" w:rsidP="00C9781F">
      <w:pPr>
        <w:pStyle w:val="atitulo1"/>
        <w:jc w:val="right"/>
        <w:rPr>
          <w:rFonts w:eastAsiaTheme="minorHAnsi"/>
          <w:sz w:val="36"/>
          <w:szCs w:val="36"/>
        </w:rPr>
      </w:pPr>
    </w:p>
    <w:p w:rsidR="00C9781F" w:rsidRDefault="00C9781F" w:rsidP="00C9781F">
      <w:pPr>
        <w:pStyle w:val="atitulo1"/>
        <w:jc w:val="right"/>
        <w:rPr>
          <w:rFonts w:eastAsiaTheme="minorHAnsi"/>
          <w:sz w:val="36"/>
          <w:szCs w:val="36"/>
        </w:rPr>
      </w:pPr>
    </w:p>
    <w:p w:rsidR="00C9781F" w:rsidRDefault="00C9781F" w:rsidP="00C9781F">
      <w:pPr>
        <w:pStyle w:val="atitulo1"/>
        <w:jc w:val="right"/>
        <w:rPr>
          <w:rFonts w:eastAsiaTheme="minorHAnsi"/>
          <w:sz w:val="36"/>
          <w:szCs w:val="36"/>
        </w:rPr>
      </w:pPr>
    </w:p>
    <w:p w:rsidR="00C9781F" w:rsidRDefault="00C9781F" w:rsidP="00C9781F">
      <w:pPr>
        <w:pStyle w:val="atitulo1"/>
        <w:jc w:val="right"/>
        <w:rPr>
          <w:rFonts w:eastAsiaTheme="minorHAnsi"/>
          <w:sz w:val="36"/>
          <w:szCs w:val="36"/>
        </w:rPr>
      </w:pPr>
      <w:bookmarkStart w:id="69" w:name="_Toc3461815"/>
      <w:bookmarkStart w:id="70" w:name="_Toc4671434"/>
      <w:r w:rsidRPr="00EC14AE">
        <w:rPr>
          <w:rFonts w:eastAsiaTheme="minorHAnsi"/>
          <w:sz w:val="36"/>
          <w:szCs w:val="36"/>
        </w:rPr>
        <w:t>Anexos</w:t>
      </w:r>
      <w:bookmarkEnd w:id="68"/>
      <w:bookmarkEnd w:id="69"/>
      <w:bookmarkEnd w:id="70"/>
    </w:p>
    <w:p w:rsidR="00203B7B" w:rsidRPr="00EC14AE" w:rsidRDefault="00203B7B" w:rsidP="00203B7B">
      <w:pPr>
        <w:pStyle w:val="atitulo1"/>
        <w:jc w:val="center"/>
        <w:rPr>
          <w:rFonts w:eastAsiaTheme="minorHAnsi"/>
          <w:sz w:val="36"/>
          <w:szCs w:val="36"/>
        </w:rPr>
      </w:pPr>
    </w:p>
    <w:p w:rsidR="00FB0E27" w:rsidRDefault="00FB0E27" w:rsidP="00C9781F">
      <w:pPr>
        <w:pStyle w:val="atitulo2"/>
        <w:sectPr w:rsidR="00FB0E27" w:rsidSect="00203B7B">
          <w:pgSz w:w="11907" w:h="16840" w:code="9"/>
          <w:pgMar w:top="2109" w:right="1559" w:bottom="1644" w:left="1559" w:header="369" w:footer="136" w:gutter="0"/>
          <w:cols w:space="720"/>
          <w:docGrid w:linePitch="360"/>
        </w:sectPr>
      </w:pPr>
      <w:bookmarkStart w:id="71" w:name="_Toc3461816"/>
      <w:bookmarkStart w:id="72" w:name="_Toc476295560"/>
      <w:bookmarkStart w:id="73" w:name="_Toc476391668"/>
      <w:bookmarkStart w:id="74" w:name="_Toc476411474"/>
      <w:bookmarkStart w:id="75" w:name="_Toc476729686"/>
      <w:bookmarkStart w:id="76" w:name="_Toc476821445"/>
      <w:bookmarkStart w:id="77" w:name="_Toc477171884"/>
    </w:p>
    <w:p w:rsidR="00C9781F" w:rsidRPr="00533ADD" w:rsidRDefault="00C9781F" w:rsidP="00C9781F">
      <w:pPr>
        <w:pStyle w:val="atitulo2"/>
      </w:pPr>
      <w:bookmarkStart w:id="78" w:name="_Toc4671435"/>
      <w:r w:rsidRPr="00533ADD">
        <w:lastRenderedPageBreak/>
        <w:t xml:space="preserve">Anexo </w:t>
      </w:r>
      <w:r>
        <w:t>1</w:t>
      </w:r>
      <w:r w:rsidRPr="00533ADD">
        <w:t>. Esquema tecnológico global del procedimiento de gestión de la prestación farmacéutica</w:t>
      </w:r>
      <w:bookmarkEnd w:id="71"/>
      <w:bookmarkEnd w:id="78"/>
    </w:p>
    <w:p w:rsidR="007A4D38" w:rsidRDefault="00C9781F" w:rsidP="00C9781F">
      <w:pPr>
        <w:pStyle w:val="texto"/>
        <w:jc w:val="center"/>
      </w:pPr>
      <w:r>
        <w:rPr>
          <w:noProof/>
          <w:lang w:val="es-ES" w:eastAsia="es-ES"/>
        </w:rPr>
        <w:drawing>
          <wp:inline distT="0" distB="0" distL="0" distR="0" wp14:anchorId="72CDABC3" wp14:editId="57435126">
            <wp:extent cx="6744512" cy="4953000"/>
            <wp:effectExtent l="0" t="0" r="0" b="0"/>
            <wp:docPr id="15" name="Imagen 1" descr="cid:image001.png@01D4DFBF.51C83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4DFBF.51C8359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744512" cy="4953000"/>
                    </a:xfrm>
                    <a:prstGeom prst="rect">
                      <a:avLst/>
                    </a:prstGeom>
                    <a:noFill/>
                    <a:ln>
                      <a:noFill/>
                    </a:ln>
                  </pic:spPr>
                </pic:pic>
              </a:graphicData>
            </a:graphic>
          </wp:inline>
        </w:drawing>
      </w:r>
    </w:p>
    <w:p w:rsidR="007A4D38" w:rsidRDefault="007A4D38" w:rsidP="00C9781F">
      <w:pPr>
        <w:pStyle w:val="texto"/>
        <w:jc w:val="center"/>
        <w:sectPr w:rsidR="007A4D38" w:rsidSect="00FB0E27">
          <w:footerReference w:type="default" r:id="rId20"/>
          <w:pgSz w:w="16840" w:h="11907" w:orient="landscape" w:code="9"/>
          <w:pgMar w:top="1559" w:right="2109" w:bottom="1559" w:left="1644" w:header="369" w:footer="136" w:gutter="0"/>
          <w:cols w:space="720"/>
          <w:docGrid w:linePitch="360"/>
        </w:sectPr>
      </w:pPr>
    </w:p>
    <w:p w:rsidR="007A4D38" w:rsidRPr="001301A7" w:rsidRDefault="007A4D38" w:rsidP="007A4D38">
      <w:pPr>
        <w:pStyle w:val="atitulo2"/>
      </w:pPr>
      <w:bookmarkStart w:id="79" w:name="_Toc3461817"/>
      <w:bookmarkStart w:id="80" w:name="_Toc4671436"/>
      <w:r w:rsidRPr="001301A7">
        <w:lastRenderedPageBreak/>
        <w:t>Anexo 2. Normativa básica aplicable a la gestión de la prestación farm</w:t>
      </w:r>
      <w:r w:rsidRPr="001301A7">
        <w:t>a</w:t>
      </w:r>
      <w:r w:rsidRPr="001301A7">
        <w:t>céutica</w:t>
      </w:r>
      <w:bookmarkEnd w:id="79"/>
      <w:bookmarkEnd w:id="80"/>
    </w:p>
    <w:p w:rsidR="007A4D38" w:rsidRPr="00303203" w:rsidRDefault="007A4D38"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sidRPr="00303203">
        <w:rPr>
          <w:rFonts w:ascii="Arial" w:hAnsi="Arial" w:cs="Arial"/>
          <w:sz w:val="22"/>
          <w:szCs w:val="22"/>
        </w:rPr>
        <w:t xml:space="preserve">Real Decreto 175/2001, de 23 de febrero, por el que se aprueban las normas de correcta elaboración y control de calidad de fórmulas magistrales y </w:t>
      </w:r>
      <w:proofErr w:type="gramStart"/>
      <w:r w:rsidRPr="00303203">
        <w:rPr>
          <w:rFonts w:ascii="Arial" w:hAnsi="Arial" w:cs="Arial"/>
          <w:sz w:val="22"/>
          <w:szCs w:val="22"/>
        </w:rPr>
        <w:t>preparados</w:t>
      </w:r>
      <w:proofErr w:type="gramEnd"/>
      <w:r w:rsidRPr="00303203">
        <w:rPr>
          <w:rFonts w:ascii="Arial" w:hAnsi="Arial" w:cs="Arial"/>
          <w:sz w:val="22"/>
          <w:szCs w:val="22"/>
        </w:rPr>
        <w:t xml:space="preserve"> ofic</w:t>
      </w:r>
      <w:r w:rsidRPr="00303203">
        <w:rPr>
          <w:rFonts w:ascii="Arial" w:hAnsi="Arial" w:cs="Arial"/>
          <w:sz w:val="22"/>
          <w:szCs w:val="22"/>
        </w:rPr>
        <w:t>i</w:t>
      </w:r>
      <w:r w:rsidRPr="00303203">
        <w:rPr>
          <w:rFonts w:ascii="Arial" w:hAnsi="Arial" w:cs="Arial"/>
          <w:sz w:val="22"/>
          <w:szCs w:val="22"/>
        </w:rPr>
        <w:t>nales.</w:t>
      </w:r>
    </w:p>
    <w:p w:rsidR="007A4D38" w:rsidRPr="00303203" w:rsidRDefault="007A4D38"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sidRPr="00303203">
        <w:rPr>
          <w:rFonts w:ascii="Arial" w:hAnsi="Arial" w:cs="Arial"/>
          <w:sz w:val="22"/>
          <w:szCs w:val="22"/>
        </w:rPr>
        <w:t>Decreto Foral 197/2001, de 16 de julio, por el que se dictan normas de desarr</w:t>
      </w:r>
      <w:r w:rsidRPr="00303203">
        <w:rPr>
          <w:rFonts w:ascii="Arial" w:hAnsi="Arial" w:cs="Arial"/>
          <w:sz w:val="22"/>
          <w:szCs w:val="22"/>
        </w:rPr>
        <w:t>o</w:t>
      </w:r>
      <w:r w:rsidRPr="00303203">
        <w:rPr>
          <w:rFonts w:ascii="Arial" w:hAnsi="Arial" w:cs="Arial"/>
          <w:sz w:val="22"/>
          <w:szCs w:val="22"/>
        </w:rPr>
        <w:t>llo de la ley foral 12/2000, de 16 de noviembre, de atención farmacéutica, en materia de oficinas de farmacia.</w:t>
      </w:r>
    </w:p>
    <w:p w:rsidR="007A4D38" w:rsidRPr="00303203" w:rsidRDefault="007A4D38"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sidRPr="00303203">
        <w:rPr>
          <w:rFonts w:ascii="Arial" w:hAnsi="Arial" w:cs="Arial"/>
          <w:sz w:val="22"/>
          <w:szCs w:val="22"/>
        </w:rPr>
        <w:t>Real Decreto 618/2007, de 11 de mayo, por el que se regula el procedimiento para el establecimiento, mediante visado, de reservas singulares a las condiciones de prescripción y dispensación de los medicamentos.</w:t>
      </w:r>
    </w:p>
    <w:p w:rsidR="007A4D38" w:rsidRPr="00303203" w:rsidRDefault="007A4D38"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sidRPr="00303203">
        <w:rPr>
          <w:rFonts w:ascii="Arial" w:hAnsi="Arial" w:cs="Arial"/>
          <w:sz w:val="22"/>
          <w:szCs w:val="22"/>
        </w:rPr>
        <w:t>Resolución 1261/2007, de 26 de julio, del Director Gerente del Servicio Navarro de Salud-</w:t>
      </w:r>
      <w:proofErr w:type="spellStart"/>
      <w:r w:rsidRPr="00303203">
        <w:rPr>
          <w:rFonts w:ascii="Arial" w:hAnsi="Arial" w:cs="Arial"/>
          <w:sz w:val="22"/>
          <w:szCs w:val="22"/>
        </w:rPr>
        <w:t>Osasunbidea</w:t>
      </w:r>
      <w:proofErr w:type="spellEnd"/>
      <w:r w:rsidRPr="00303203">
        <w:rPr>
          <w:rFonts w:ascii="Arial" w:hAnsi="Arial" w:cs="Arial"/>
          <w:sz w:val="22"/>
          <w:szCs w:val="22"/>
        </w:rPr>
        <w:t>, por la que se autoriza la utilización de talonarios oficiales del Servicio Navarro de Salud-</w:t>
      </w:r>
      <w:proofErr w:type="spellStart"/>
      <w:r w:rsidRPr="00303203">
        <w:rPr>
          <w:rFonts w:ascii="Arial" w:hAnsi="Arial" w:cs="Arial"/>
          <w:sz w:val="22"/>
          <w:szCs w:val="22"/>
        </w:rPr>
        <w:t>Osasunbidea</w:t>
      </w:r>
      <w:proofErr w:type="spellEnd"/>
      <w:r w:rsidRPr="00303203">
        <w:rPr>
          <w:rFonts w:ascii="Arial" w:hAnsi="Arial" w:cs="Arial"/>
          <w:sz w:val="22"/>
          <w:szCs w:val="22"/>
        </w:rPr>
        <w:t xml:space="preserve"> a los médicos jubilados del Servicio N</w:t>
      </w:r>
      <w:r w:rsidRPr="00303203">
        <w:rPr>
          <w:rFonts w:ascii="Arial" w:hAnsi="Arial" w:cs="Arial"/>
          <w:sz w:val="22"/>
          <w:szCs w:val="22"/>
        </w:rPr>
        <w:t>a</w:t>
      </w:r>
      <w:r w:rsidRPr="00303203">
        <w:rPr>
          <w:rFonts w:ascii="Arial" w:hAnsi="Arial" w:cs="Arial"/>
          <w:sz w:val="22"/>
          <w:szCs w:val="22"/>
        </w:rPr>
        <w:t>varro de Salud-</w:t>
      </w:r>
      <w:proofErr w:type="spellStart"/>
      <w:r w:rsidRPr="00303203">
        <w:rPr>
          <w:rFonts w:ascii="Arial" w:hAnsi="Arial" w:cs="Arial"/>
          <w:sz w:val="22"/>
          <w:szCs w:val="22"/>
        </w:rPr>
        <w:t>Osasunbidea</w:t>
      </w:r>
      <w:proofErr w:type="spellEnd"/>
      <w:r w:rsidRPr="00303203">
        <w:rPr>
          <w:rFonts w:ascii="Arial" w:hAnsi="Arial" w:cs="Arial"/>
          <w:sz w:val="22"/>
          <w:szCs w:val="22"/>
        </w:rPr>
        <w:t>, colegiados en el Colegio Oficial de Médicos de Nav</w:t>
      </w:r>
      <w:r w:rsidRPr="00303203">
        <w:rPr>
          <w:rFonts w:ascii="Arial" w:hAnsi="Arial" w:cs="Arial"/>
          <w:sz w:val="22"/>
          <w:szCs w:val="22"/>
        </w:rPr>
        <w:t>a</w:t>
      </w:r>
      <w:r w:rsidRPr="00303203">
        <w:rPr>
          <w:rFonts w:ascii="Arial" w:hAnsi="Arial" w:cs="Arial"/>
          <w:sz w:val="22"/>
          <w:szCs w:val="22"/>
        </w:rPr>
        <w:t>rra, para uso propio y de familiares convivientes.</w:t>
      </w:r>
    </w:p>
    <w:p w:rsidR="007A4D38" w:rsidRPr="00303203" w:rsidRDefault="007A4D38"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sidRPr="00303203">
        <w:rPr>
          <w:rFonts w:ascii="Arial" w:hAnsi="Arial" w:cs="Arial"/>
          <w:sz w:val="22"/>
          <w:szCs w:val="22"/>
        </w:rPr>
        <w:t>Real Decreto 823/2008, de 16 de mayo, por el que se establecen los márgenes, deducciones y descuentos correspondientes a la distribución y dispensación de m</w:t>
      </w:r>
      <w:r w:rsidRPr="00303203">
        <w:rPr>
          <w:rFonts w:ascii="Arial" w:hAnsi="Arial" w:cs="Arial"/>
          <w:sz w:val="22"/>
          <w:szCs w:val="22"/>
        </w:rPr>
        <w:t>e</w:t>
      </w:r>
      <w:r w:rsidRPr="00303203">
        <w:rPr>
          <w:rFonts w:ascii="Arial" w:hAnsi="Arial" w:cs="Arial"/>
          <w:sz w:val="22"/>
          <w:szCs w:val="22"/>
        </w:rPr>
        <w:t>dicamentos de uso humano.</w:t>
      </w:r>
    </w:p>
    <w:p w:rsidR="007A4D38" w:rsidRPr="00303203" w:rsidRDefault="007A4D38"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sidRPr="00303203">
        <w:rPr>
          <w:rFonts w:ascii="Arial" w:hAnsi="Arial" w:cs="Arial"/>
          <w:sz w:val="22"/>
          <w:szCs w:val="22"/>
        </w:rPr>
        <w:t>Real Decreto-ley 4/2010, de 26 de marzo, de racionalización del gasto farm</w:t>
      </w:r>
      <w:r w:rsidRPr="00303203">
        <w:rPr>
          <w:rFonts w:ascii="Arial" w:hAnsi="Arial" w:cs="Arial"/>
          <w:sz w:val="22"/>
          <w:szCs w:val="22"/>
        </w:rPr>
        <w:t>a</w:t>
      </w:r>
      <w:r w:rsidRPr="00303203">
        <w:rPr>
          <w:rFonts w:ascii="Arial" w:hAnsi="Arial" w:cs="Arial"/>
          <w:sz w:val="22"/>
          <w:szCs w:val="22"/>
        </w:rPr>
        <w:t>céutico con cargo al Sistema Nacional de Salud.</w:t>
      </w:r>
    </w:p>
    <w:p w:rsidR="007A4D38" w:rsidRPr="00303203" w:rsidRDefault="007A4D38"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sidRPr="00303203">
        <w:rPr>
          <w:rFonts w:ascii="Arial" w:hAnsi="Arial" w:cs="Arial"/>
          <w:sz w:val="22"/>
          <w:szCs w:val="22"/>
        </w:rPr>
        <w:t>Real Decreto-ley 8/2010, de 20 de mayo, por el que se adoptan medidas extr</w:t>
      </w:r>
      <w:r w:rsidRPr="00303203">
        <w:rPr>
          <w:rFonts w:ascii="Arial" w:hAnsi="Arial" w:cs="Arial"/>
          <w:sz w:val="22"/>
          <w:szCs w:val="22"/>
        </w:rPr>
        <w:t>a</w:t>
      </w:r>
      <w:r w:rsidRPr="00303203">
        <w:rPr>
          <w:rFonts w:ascii="Arial" w:hAnsi="Arial" w:cs="Arial"/>
          <w:sz w:val="22"/>
          <w:szCs w:val="22"/>
        </w:rPr>
        <w:t>ordinarias para la reducción del déficit público.</w:t>
      </w:r>
    </w:p>
    <w:p w:rsidR="007A4D38" w:rsidRPr="00303203" w:rsidRDefault="007A4D38"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sidRPr="00303203">
        <w:rPr>
          <w:rFonts w:ascii="Arial" w:hAnsi="Arial" w:cs="Arial"/>
          <w:sz w:val="22"/>
          <w:szCs w:val="22"/>
        </w:rPr>
        <w:t>Resolución 1936/2011, de 30 de septiembre, del director gerente del Servicio Navarro de Salud-</w:t>
      </w:r>
      <w:proofErr w:type="spellStart"/>
      <w:r w:rsidRPr="00303203">
        <w:rPr>
          <w:rFonts w:ascii="Arial" w:hAnsi="Arial" w:cs="Arial"/>
          <w:sz w:val="22"/>
          <w:szCs w:val="22"/>
        </w:rPr>
        <w:t>Osasunbidea</w:t>
      </w:r>
      <w:proofErr w:type="spellEnd"/>
      <w:r w:rsidRPr="00303203">
        <w:rPr>
          <w:rFonts w:ascii="Arial" w:hAnsi="Arial" w:cs="Arial"/>
          <w:sz w:val="22"/>
          <w:szCs w:val="22"/>
        </w:rPr>
        <w:t>, por la que se dictan instrucciones de obligado cu</w:t>
      </w:r>
      <w:r w:rsidRPr="00303203">
        <w:rPr>
          <w:rFonts w:ascii="Arial" w:hAnsi="Arial" w:cs="Arial"/>
          <w:sz w:val="22"/>
          <w:szCs w:val="22"/>
        </w:rPr>
        <w:t>m</w:t>
      </w:r>
      <w:r w:rsidRPr="00303203">
        <w:rPr>
          <w:rFonts w:ascii="Arial" w:hAnsi="Arial" w:cs="Arial"/>
          <w:sz w:val="22"/>
          <w:szCs w:val="22"/>
        </w:rPr>
        <w:t>plimiento para la prescripción de medicamentos por principio activo y de productos sanitarios por denominación genérica, en el Servicio Navarro de Salud-</w:t>
      </w:r>
      <w:proofErr w:type="spellStart"/>
      <w:r w:rsidRPr="00303203">
        <w:rPr>
          <w:rFonts w:ascii="Arial" w:hAnsi="Arial" w:cs="Arial"/>
          <w:sz w:val="22"/>
          <w:szCs w:val="22"/>
        </w:rPr>
        <w:t>Osasunbidea</w:t>
      </w:r>
      <w:proofErr w:type="spellEnd"/>
      <w:r w:rsidRPr="00303203">
        <w:rPr>
          <w:rFonts w:ascii="Arial" w:hAnsi="Arial" w:cs="Arial"/>
          <w:sz w:val="22"/>
          <w:szCs w:val="22"/>
        </w:rPr>
        <w:t>.</w:t>
      </w:r>
    </w:p>
    <w:p w:rsidR="007A4D38" w:rsidRPr="00303203" w:rsidRDefault="007A4D38"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sidRPr="00303203">
        <w:rPr>
          <w:rFonts w:ascii="Arial" w:hAnsi="Arial" w:cs="Arial"/>
          <w:sz w:val="22"/>
          <w:szCs w:val="22"/>
        </w:rPr>
        <w:t>Real Decreto 1192/2012, de 3 de agosto, por el que se regula la condición de asegurado y de beneficiario a efectos de la asistencia sanitaria en España, con ca</w:t>
      </w:r>
      <w:r w:rsidRPr="00303203">
        <w:rPr>
          <w:rFonts w:ascii="Arial" w:hAnsi="Arial" w:cs="Arial"/>
          <w:sz w:val="22"/>
          <w:szCs w:val="22"/>
        </w:rPr>
        <w:t>r</w:t>
      </w:r>
      <w:r w:rsidRPr="00303203">
        <w:rPr>
          <w:rFonts w:ascii="Arial" w:hAnsi="Arial" w:cs="Arial"/>
          <w:sz w:val="22"/>
          <w:szCs w:val="22"/>
        </w:rPr>
        <w:t>go a fondos públicos, a través del Sistema Nacional de Salud.</w:t>
      </w:r>
    </w:p>
    <w:p w:rsidR="007A4D38" w:rsidRPr="00303203" w:rsidRDefault="007A4D38"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sidRPr="00303203">
        <w:rPr>
          <w:rFonts w:ascii="Arial" w:hAnsi="Arial" w:cs="Arial"/>
          <w:sz w:val="22"/>
          <w:szCs w:val="22"/>
        </w:rPr>
        <w:t>Orden Foral 71/2012, de 18 de septiembre, de la Consejera de Salud, por la que se establece el procedimiento para la aplicación del índice corrector de los má</w:t>
      </w:r>
      <w:r w:rsidRPr="00303203">
        <w:rPr>
          <w:rFonts w:ascii="Arial" w:hAnsi="Arial" w:cs="Arial"/>
          <w:sz w:val="22"/>
          <w:szCs w:val="22"/>
        </w:rPr>
        <w:t>r</w:t>
      </w:r>
      <w:r w:rsidRPr="00303203">
        <w:rPr>
          <w:rFonts w:ascii="Arial" w:hAnsi="Arial" w:cs="Arial"/>
          <w:sz w:val="22"/>
          <w:szCs w:val="22"/>
        </w:rPr>
        <w:t>genes de las oficinas de farmacia.</w:t>
      </w:r>
    </w:p>
    <w:p w:rsidR="007A4D38" w:rsidRPr="00303203" w:rsidRDefault="007A4D38"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sidRPr="00303203">
        <w:rPr>
          <w:rFonts w:ascii="Arial" w:hAnsi="Arial" w:cs="Arial"/>
          <w:sz w:val="22"/>
          <w:szCs w:val="22"/>
        </w:rPr>
        <w:t>Ley Foral 18/2012, de 19 de octubre, sobre la complementación de las prest</w:t>
      </w:r>
      <w:r w:rsidRPr="00303203">
        <w:rPr>
          <w:rFonts w:ascii="Arial" w:hAnsi="Arial" w:cs="Arial"/>
          <w:sz w:val="22"/>
          <w:szCs w:val="22"/>
        </w:rPr>
        <w:t>a</w:t>
      </w:r>
      <w:r w:rsidRPr="00303203">
        <w:rPr>
          <w:rFonts w:ascii="Arial" w:hAnsi="Arial" w:cs="Arial"/>
          <w:sz w:val="22"/>
          <w:szCs w:val="22"/>
        </w:rPr>
        <w:t>ciones farmacéuticas en la Comunidad Foral de Navarra.</w:t>
      </w:r>
    </w:p>
    <w:p w:rsidR="007A4D38" w:rsidRPr="00303203" w:rsidRDefault="007A4D38"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sidRPr="00303203">
        <w:rPr>
          <w:rFonts w:ascii="Arial" w:hAnsi="Arial" w:cs="Arial"/>
          <w:sz w:val="22"/>
          <w:szCs w:val="22"/>
        </w:rPr>
        <w:t>Resolución de 18 de febrero de 2013, de la Dirección General de Cartera Bás</w:t>
      </w:r>
      <w:r w:rsidRPr="00303203">
        <w:rPr>
          <w:rFonts w:ascii="Arial" w:hAnsi="Arial" w:cs="Arial"/>
          <w:sz w:val="22"/>
          <w:szCs w:val="22"/>
        </w:rPr>
        <w:t>i</w:t>
      </w:r>
      <w:r w:rsidRPr="00303203">
        <w:rPr>
          <w:rFonts w:ascii="Arial" w:hAnsi="Arial" w:cs="Arial"/>
          <w:sz w:val="22"/>
          <w:szCs w:val="22"/>
        </w:rPr>
        <w:t>ca de Servicios del Sistema Nacional de Salud y Farmacia, por la que se procede a la actualización de la lista de medicamentos que quedan excluidos de la prestación farmacéutica del Sistema Nacional de Salud y se establece visado para los medic</w:t>
      </w:r>
      <w:r w:rsidRPr="00303203">
        <w:rPr>
          <w:rFonts w:ascii="Arial" w:hAnsi="Arial" w:cs="Arial"/>
          <w:sz w:val="22"/>
          <w:szCs w:val="22"/>
        </w:rPr>
        <w:t>a</w:t>
      </w:r>
      <w:r w:rsidRPr="00303203">
        <w:rPr>
          <w:rFonts w:ascii="Arial" w:hAnsi="Arial" w:cs="Arial"/>
          <w:sz w:val="22"/>
          <w:szCs w:val="22"/>
        </w:rPr>
        <w:t>mentos que han sido excluidos de la prestación farmacéutica del Sistema Nacional de Salud pero permanecen financiados excepcionalmente para las indicaciones e</w:t>
      </w:r>
      <w:r w:rsidRPr="00303203">
        <w:rPr>
          <w:rFonts w:ascii="Arial" w:hAnsi="Arial" w:cs="Arial"/>
          <w:sz w:val="22"/>
          <w:szCs w:val="22"/>
        </w:rPr>
        <w:t>s</w:t>
      </w:r>
      <w:r w:rsidRPr="00303203">
        <w:rPr>
          <w:rFonts w:ascii="Arial" w:hAnsi="Arial" w:cs="Arial"/>
          <w:sz w:val="22"/>
          <w:szCs w:val="22"/>
        </w:rPr>
        <w:t>tablecidas en función del grupo terapéutico al que pertenecen.</w:t>
      </w:r>
    </w:p>
    <w:p w:rsidR="007A4D38" w:rsidRPr="00303203" w:rsidRDefault="007A4D38"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sidRPr="00303203">
        <w:rPr>
          <w:rFonts w:ascii="Arial" w:hAnsi="Arial" w:cs="Arial"/>
          <w:sz w:val="22"/>
          <w:szCs w:val="22"/>
        </w:rPr>
        <w:lastRenderedPageBreak/>
        <w:t>Ley Foral 8/2013, de 25 de febrero, por la que se reconoce a las personas res</w:t>
      </w:r>
      <w:r w:rsidRPr="00303203">
        <w:rPr>
          <w:rFonts w:ascii="Arial" w:hAnsi="Arial" w:cs="Arial"/>
          <w:sz w:val="22"/>
          <w:szCs w:val="22"/>
        </w:rPr>
        <w:t>i</w:t>
      </w:r>
      <w:r w:rsidRPr="00303203">
        <w:rPr>
          <w:rFonts w:ascii="Arial" w:hAnsi="Arial" w:cs="Arial"/>
          <w:sz w:val="22"/>
          <w:szCs w:val="22"/>
        </w:rPr>
        <w:t>dentes en navarra el derecho de acceso a la asistencia sanitaria gratuita del sistema público sanitario de navarra.</w:t>
      </w:r>
    </w:p>
    <w:p w:rsidR="007A4D38" w:rsidRPr="00303203" w:rsidRDefault="007A4D38"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sidRPr="00303203">
        <w:rPr>
          <w:rFonts w:ascii="Arial" w:hAnsi="Arial" w:cs="Arial"/>
          <w:sz w:val="22"/>
          <w:szCs w:val="22"/>
        </w:rPr>
        <w:t>Resolución de 15 de diciembre de 2014, de la Dirección General de Cartera B</w:t>
      </w:r>
      <w:r w:rsidRPr="00303203">
        <w:rPr>
          <w:rFonts w:ascii="Arial" w:hAnsi="Arial" w:cs="Arial"/>
          <w:sz w:val="22"/>
          <w:szCs w:val="22"/>
        </w:rPr>
        <w:t>á</w:t>
      </w:r>
      <w:r w:rsidRPr="00303203">
        <w:rPr>
          <w:rFonts w:ascii="Arial" w:hAnsi="Arial" w:cs="Arial"/>
          <w:sz w:val="22"/>
          <w:szCs w:val="22"/>
        </w:rPr>
        <w:t>sica de Servicios del Sistema Nacional de Salud y Farmacia, por la que se procede a la actualización de la cuantía máxima correspondiente a los medicamentos pert</w:t>
      </w:r>
      <w:r w:rsidRPr="00303203">
        <w:rPr>
          <w:rFonts w:ascii="Arial" w:hAnsi="Arial" w:cs="Arial"/>
          <w:sz w:val="22"/>
          <w:szCs w:val="22"/>
        </w:rPr>
        <w:t>e</w:t>
      </w:r>
      <w:r w:rsidRPr="00303203">
        <w:rPr>
          <w:rFonts w:ascii="Arial" w:hAnsi="Arial" w:cs="Arial"/>
          <w:sz w:val="22"/>
          <w:szCs w:val="22"/>
        </w:rPr>
        <w:t>necientes a los grupos ATC de aportación reducida, y se actualizan los límites m</w:t>
      </w:r>
      <w:r w:rsidRPr="00303203">
        <w:rPr>
          <w:rFonts w:ascii="Arial" w:hAnsi="Arial" w:cs="Arial"/>
          <w:sz w:val="22"/>
          <w:szCs w:val="22"/>
        </w:rPr>
        <w:t>á</w:t>
      </w:r>
      <w:r w:rsidRPr="00303203">
        <w:rPr>
          <w:rFonts w:ascii="Arial" w:hAnsi="Arial" w:cs="Arial"/>
          <w:sz w:val="22"/>
          <w:szCs w:val="22"/>
        </w:rPr>
        <w:t>ximos de aportación mensual para las personas que ostenten la condición de aseg</w:t>
      </w:r>
      <w:r w:rsidRPr="00303203">
        <w:rPr>
          <w:rFonts w:ascii="Arial" w:hAnsi="Arial" w:cs="Arial"/>
          <w:sz w:val="22"/>
          <w:szCs w:val="22"/>
        </w:rPr>
        <w:t>u</w:t>
      </w:r>
      <w:r w:rsidRPr="00303203">
        <w:rPr>
          <w:rFonts w:ascii="Arial" w:hAnsi="Arial" w:cs="Arial"/>
          <w:sz w:val="22"/>
          <w:szCs w:val="22"/>
        </w:rPr>
        <w:t>rado como pensionistas de la Seguridad Social y sus beneficiarios en la prestación farmacéutica ambulatoria.</w:t>
      </w:r>
    </w:p>
    <w:p w:rsidR="007A4D38" w:rsidRPr="00303203" w:rsidRDefault="007A4D38"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sidRPr="00303203">
        <w:rPr>
          <w:rFonts w:ascii="Arial" w:hAnsi="Arial" w:cs="Arial"/>
          <w:sz w:val="22"/>
          <w:szCs w:val="22"/>
        </w:rPr>
        <w:t>Orden Foral /2015, del Consejero de Salud, por la que se crea y regula el R</w:t>
      </w:r>
      <w:r w:rsidRPr="00303203">
        <w:rPr>
          <w:rFonts w:ascii="Arial" w:hAnsi="Arial" w:cs="Arial"/>
          <w:sz w:val="22"/>
          <w:szCs w:val="22"/>
        </w:rPr>
        <w:t>e</w:t>
      </w:r>
      <w:r w:rsidRPr="00303203">
        <w:rPr>
          <w:rFonts w:ascii="Arial" w:hAnsi="Arial" w:cs="Arial"/>
          <w:sz w:val="22"/>
          <w:szCs w:val="22"/>
        </w:rPr>
        <w:t>gistro Lamia-Receta Electrónica de Navarra y se crea el fichero de datos de carácter personal correspondiente.</w:t>
      </w:r>
    </w:p>
    <w:p w:rsidR="007A4D38" w:rsidRDefault="007A4D38" w:rsidP="002303D6">
      <w:pPr>
        <w:pStyle w:val="texto"/>
        <w:numPr>
          <w:ilvl w:val="0"/>
          <w:numId w:val="8"/>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2"/>
          <w:szCs w:val="22"/>
        </w:rPr>
      </w:pPr>
      <w:r w:rsidRPr="00303203">
        <w:rPr>
          <w:rFonts w:ascii="Arial" w:hAnsi="Arial" w:cs="Arial"/>
          <w:sz w:val="22"/>
          <w:szCs w:val="22"/>
        </w:rPr>
        <w:t>Real Decreto-ley 7/2018, de 27 de julio, sobre el acceso universal al Sistema Nacional de Salud.</w:t>
      </w:r>
    </w:p>
    <w:p w:rsidR="007A4D38" w:rsidRDefault="007A4D38" w:rsidP="00C9781F">
      <w:pPr>
        <w:pStyle w:val="texto"/>
        <w:jc w:val="center"/>
        <w:sectPr w:rsidR="007A4D38" w:rsidSect="007A4D38">
          <w:footerReference w:type="default" r:id="rId21"/>
          <w:pgSz w:w="11907" w:h="16840" w:code="9"/>
          <w:pgMar w:top="2109" w:right="1559" w:bottom="1644" w:left="1559" w:header="369" w:footer="136" w:gutter="0"/>
          <w:cols w:space="720"/>
          <w:docGrid w:linePitch="360"/>
        </w:sectPr>
      </w:pPr>
    </w:p>
    <w:p w:rsidR="00227E5A" w:rsidRPr="00533ADD" w:rsidRDefault="00227E5A" w:rsidP="00227E5A">
      <w:pPr>
        <w:pStyle w:val="atitulo2"/>
      </w:pPr>
      <w:bookmarkStart w:id="81" w:name="_Toc4671437"/>
      <w:r w:rsidRPr="00533ADD">
        <w:lastRenderedPageBreak/>
        <w:t>Anexo 3. Procedimiento de gestión de la receta electrónica en el SNS-O</w:t>
      </w:r>
      <w:bookmarkEnd w:id="81"/>
    </w:p>
    <w:p w:rsidR="00227E5A" w:rsidRDefault="00227E5A" w:rsidP="00227E5A">
      <w:pPr>
        <w:pStyle w:val="atitulo3"/>
      </w:pPr>
      <w:r>
        <w:rPr>
          <w:noProof/>
          <w:lang w:val="es-ES" w:eastAsia="es-ES"/>
        </w:rPr>
        <w:drawing>
          <wp:inline distT="0" distB="0" distL="0" distR="0" wp14:anchorId="4C8CFBA4" wp14:editId="579E9E70">
            <wp:extent cx="8324850" cy="4821243"/>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l="1579" t="25700" r="35319" b="7780"/>
                    <a:stretch/>
                  </pic:blipFill>
                  <pic:spPr bwMode="auto">
                    <a:xfrm>
                      <a:off x="0" y="0"/>
                      <a:ext cx="8354072" cy="4838166"/>
                    </a:xfrm>
                    <a:prstGeom prst="rect">
                      <a:avLst/>
                    </a:prstGeom>
                    <a:ln>
                      <a:noFill/>
                    </a:ln>
                    <a:extLst>
                      <a:ext uri="{53640926-AAD7-44D8-BBD7-CCE9431645EC}">
                        <a14:shadowObscured xmlns:a14="http://schemas.microsoft.com/office/drawing/2010/main"/>
                      </a:ext>
                    </a:extLst>
                  </pic:spPr>
                </pic:pic>
              </a:graphicData>
            </a:graphic>
          </wp:inline>
        </w:drawing>
      </w:r>
    </w:p>
    <w:p w:rsidR="00227E5A" w:rsidRDefault="00227E5A" w:rsidP="00227E5A">
      <w:pPr>
        <w:pStyle w:val="atitulo1"/>
        <w:rPr>
          <w:color w:val="auto"/>
        </w:rPr>
        <w:sectPr w:rsidR="00227E5A" w:rsidSect="00227E5A">
          <w:footerReference w:type="default" r:id="rId23"/>
          <w:pgSz w:w="16840" w:h="11907" w:orient="landscape" w:code="9"/>
          <w:pgMar w:top="1559" w:right="2109" w:bottom="1559" w:left="1644" w:header="369" w:footer="136" w:gutter="0"/>
          <w:cols w:space="720"/>
          <w:docGrid w:linePitch="360"/>
        </w:sectPr>
      </w:pPr>
    </w:p>
    <w:p w:rsidR="00227E5A" w:rsidRPr="00F555B0" w:rsidRDefault="00227E5A" w:rsidP="00227E5A">
      <w:pPr>
        <w:pStyle w:val="texto"/>
        <w:tabs>
          <w:tab w:val="clear" w:pos="2835"/>
          <w:tab w:val="clear" w:pos="3969"/>
          <w:tab w:val="clear" w:pos="5103"/>
          <w:tab w:val="clear" w:pos="6237"/>
          <w:tab w:val="clear" w:pos="7371"/>
          <w:tab w:val="left" w:pos="480"/>
          <w:tab w:val="num" w:pos="720"/>
          <w:tab w:val="num" w:pos="1320"/>
        </w:tabs>
        <w:rPr>
          <w:rFonts w:cs="Arial"/>
        </w:rPr>
      </w:pPr>
    </w:p>
    <w:p w:rsidR="00227E5A" w:rsidRPr="00F555B0" w:rsidRDefault="00227E5A" w:rsidP="00227E5A">
      <w:pPr>
        <w:pStyle w:val="texto"/>
        <w:tabs>
          <w:tab w:val="clear" w:pos="2835"/>
          <w:tab w:val="clear" w:pos="3969"/>
          <w:tab w:val="clear" w:pos="5103"/>
          <w:tab w:val="clear" w:pos="6237"/>
          <w:tab w:val="clear" w:pos="7371"/>
          <w:tab w:val="left" w:pos="480"/>
          <w:tab w:val="num" w:pos="720"/>
          <w:tab w:val="num" w:pos="1320"/>
        </w:tabs>
        <w:rPr>
          <w:rFonts w:cs="Arial"/>
        </w:rPr>
      </w:pPr>
    </w:p>
    <w:p w:rsidR="00227E5A" w:rsidRPr="00F555B0" w:rsidRDefault="00227E5A" w:rsidP="00227E5A">
      <w:pPr>
        <w:pStyle w:val="texto"/>
        <w:tabs>
          <w:tab w:val="clear" w:pos="2835"/>
          <w:tab w:val="clear" w:pos="3969"/>
          <w:tab w:val="clear" w:pos="5103"/>
          <w:tab w:val="clear" w:pos="6237"/>
          <w:tab w:val="clear" w:pos="7371"/>
          <w:tab w:val="left" w:pos="480"/>
          <w:tab w:val="num" w:pos="720"/>
          <w:tab w:val="num" w:pos="1320"/>
        </w:tabs>
        <w:rPr>
          <w:rFonts w:cs="Arial"/>
        </w:rPr>
      </w:pPr>
    </w:p>
    <w:p w:rsidR="00227E5A" w:rsidRPr="00F555B0" w:rsidRDefault="00227E5A" w:rsidP="00227E5A">
      <w:pPr>
        <w:pStyle w:val="texto"/>
        <w:tabs>
          <w:tab w:val="clear" w:pos="2835"/>
          <w:tab w:val="clear" w:pos="3969"/>
          <w:tab w:val="clear" w:pos="5103"/>
          <w:tab w:val="clear" w:pos="6237"/>
          <w:tab w:val="clear" w:pos="7371"/>
          <w:tab w:val="left" w:pos="480"/>
          <w:tab w:val="num" w:pos="720"/>
          <w:tab w:val="num" w:pos="1320"/>
        </w:tabs>
        <w:rPr>
          <w:rFonts w:cs="Arial"/>
        </w:rPr>
      </w:pPr>
    </w:p>
    <w:p w:rsidR="00227E5A" w:rsidRDefault="00227E5A" w:rsidP="00227E5A">
      <w:pPr>
        <w:pStyle w:val="atitulo1"/>
        <w:jc w:val="right"/>
        <w:rPr>
          <w:bCs/>
          <w:color w:val="auto"/>
          <w:sz w:val="32"/>
        </w:rPr>
      </w:pPr>
      <w:bookmarkStart w:id="82" w:name="_Toc4671438"/>
      <w:r w:rsidRPr="00F555B0">
        <w:rPr>
          <w:bCs/>
          <w:color w:val="auto"/>
          <w:sz w:val="32"/>
        </w:rPr>
        <w:t>Alegaciones formuladas al informe provisional</w:t>
      </w:r>
      <w:bookmarkEnd w:id="82"/>
    </w:p>
    <w:p w:rsidR="00C20C81" w:rsidRPr="00A977E8" w:rsidRDefault="00C20C81" w:rsidP="00C20C81">
      <w:pPr>
        <w:rPr>
          <w:rFonts w:ascii="Arial" w:hAnsi="Arial" w:cs="Arial"/>
        </w:rPr>
      </w:pPr>
      <w:r w:rsidRPr="00A977E8">
        <w:rPr>
          <w:rFonts w:ascii="Arial" w:hAnsi="Arial" w:cs="Arial"/>
        </w:rPr>
        <w:t xml:space="preserve">ALEGACIONES DEL COLEGIO OFICIAL DE FARMACÉUTICOS DE NAVARRA (COFNA) </w:t>
      </w:r>
    </w:p>
    <w:p w:rsidR="00C20C81" w:rsidRPr="00A977E8" w:rsidRDefault="00C20C81" w:rsidP="00C20C81">
      <w:pPr>
        <w:rPr>
          <w:rFonts w:ascii="Arial" w:hAnsi="Arial" w:cs="Arial"/>
        </w:rPr>
      </w:pPr>
      <w:r>
        <w:rPr>
          <w:rFonts w:ascii="Arial" w:hAnsi="Arial" w:cs="Arial"/>
        </w:rPr>
        <w:t>Respecto al apartado IV, “</w:t>
      </w:r>
      <w:r w:rsidRPr="00A977E8">
        <w:rPr>
          <w:rFonts w:ascii="Arial" w:hAnsi="Arial" w:cs="Arial"/>
        </w:rPr>
        <w:t>Otros asuntos u observaciones que no afectan a la opinión de cumplimiento legalidad</w:t>
      </w:r>
      <w:r>
        <w:rPr>
          <w:rFonts w:ascii="Arial" w:hAnsi="Arial" w:cs="Arial"/>
        </w:rPr>
        <w:t>”</w:t>
      </w:r>
      <w:r w:rsidRPr="00A977E8">
        <w:rPr>
          <w:rFonts w:ascii="Arial" w:hAnsi="Arial" w:cs="Arial"/>
        </w:rPr>
        <w:t>:</w:t>
      </w:r>
    </w:p>
    <w:p w:rsidR="00C20C81" w:rsidRPr="00A977E8" w:rsidRDefault="00C20C81" w:rsidP="00C20C81">
      <w:pPr>
        <w:rPr>
          <w:rFonts w:ascii="Arial" w:hAnsi="Arial" w:cs="Arial"/>
        </w:rPr>
      </w:pPr>
      <w:r w:rsidRPr="00A977E8">
        <w:rPr>
          <w:rFonts w:ascii="Arial" w:hAnsi="Arial" w:cs="Arial"/>
        </w:rPr>
        <w:t>1. En el último párrafo de la página 16, que continúa en la página 17 dice:</w:t>
      </w:r>
    </w:p>
    <w:p w:rsidR="00C20C81" w:rsidRPr="00A977E8" w:rsidRDefault="00C20C81" w:rsidP="00C20C81">
      <w:pPr>
        <w:rPr>
          <w:rFonts w:ascii="Arial" w:hAnsi="Arial" w:cs="Arial"/>
        </w:rPr>
      </w:pPr>
      <w:r>
        <w:rPr>
          <w:rFonts w:ascii="Arial" w:hAnsi="Arial" w:cs="Arial"/>
        </w:rPr>
        <w:t>“</w:t>
      </w:r>
      <w:r w:rsidRPr="00A977E8">
        <w:rPr>
          <w:rFonts w:ascii="Arial" w:hAnsi="Arial" w:cs="Arial"/>
        </w:rPr>
        <w:t xml:space="preserve">Hemos verificado que en 2018, según los datos de las dispensaciones que mandan los </w:t>
      </w:r>
      <w:r w:rsidRPr="009432B8">
        <w:rPr>
          <w:rFonts w:ascii="Arial" w:hAnsi="Arial" w:cs="Arial"/>
        </w:rPr>
        <w:t>software</w:t>
      </w:r>
      <w:r w:rsidRPr="00A977E8">
        <w:rPr>
          <w:rFonts w:ascii="Arial" w:hAnsi="Arial" w:cs="Arial"/>
        </w:rPr>
        <w:t xml:space="preserve"> </w:t>
      </w:r>
      <w:r>
        <w:rPr>
          <w:rFonts w:ascii="Arial" w:hAnsi="Arial" w:cs="Arial"/>
        </w:rPr>
        <w:t>de las farmacias a LAMIA, en 103</w:t>
      </w:r>
      <w:r w:rsidRPr="00A977E8">
        <w:rPr>
          <w:rFonts w:ascii="Arial" w:hAnsi="Arial" w:cs="Arial"/>
        </w:rPr>
        <w:t>.668 ocasiones las farmacias han dispensado produ</w:t>
      </w:r>
      <w:r w:rsidRPr="00A977E8">
        <w:rPr>
          <w:rFonts w:ascii="Arial" w:hAnsi="Arial" w:cs="Arial"/>
        </w:rPr>
        <w:t>c</w:t>
      </w:r>
      <w:r w:rsidRPr="00A977E8">
        <w:rPr>
          <w:rFonts w:ascii="Arial" w:hAnsi="Arial" w:cs="Arial"/>
        </w:rPr>
        <w:t xml:space="preserve">tos a un precio </w:t>
      </w:r>
      <w:r>
        <w:rPr>
          <w:rFonts w:ascii="Arial" w:hAnsi="Arial" w:cs="Arial"/>
        </w:rPr>
        <w:t>diferente al establecido según l</w:t>
      </w:r>
      <w:r w:rsidRPr="00A977E8">
        <w:rPr>
          <w:rFonts w:ascii="Arial" w:hAnsi="Arial" w:cs="Arial"/>
        </w:rPr>
        <w:t>a normativa. De acuer</w:t>
      </w:r>
      <w:r>
        <w:rPr>
          <w:rFonts w:ascii="Arial" w:hAnsi="Arial" w:cs="Arial"/>
        </w:rPr>
        <w:t>do con esta información, en 48.740 casos correspondientes a 2.</w:t>
      </w:r>
      <w:r w:rsidRPr="00A977E8">
        <w:rPr>
          <w:rFonts w:ascii="Arial" w:hAnsi="Arial" w:cs="Arial"/>
        </w:rPr>
        <w:t>167 productos dispensados por 589 farmacias, los pacientes habrían abonado 16.511 euros más y 2.006 euros menos de lo debido, lo que supondría un efecto neto a favor de las farmacias de</w:t>
      </w:r>
      <w:r>
        <w:rPr>
          <w:rFonts w:ascii="Arial" w:hAnsi="Arial" w:cs="Arial"/>
        </w:rPr>
        <w:t xml:space="preserve"> </w:t>
      </w:r>
      <w:r w:rsidRPr="00A977E8">
        <w:rPr>
          <w:rFonts w:ascii="Arial" w:hAnsi="Arial" w:cs="Arial"/>
        </w:rPr>
        <w:t>14.505 euros. El resto de los casos no afectarían al precio abon</w:t>
      </w:r>
      <w:r w:rsidRPr="00A977E8">
        <w:rPr>
          <w:rFonts w:ascii="Arial" w:hAnsi="Arial" w:cs="Arial"/>
        </w:rPr>
        <w:t>a</w:t>
      </w:r>
      <w:r w:rsidRPr="00A977E8">
        <w:rPr>
          <w:rFonts w:ascii="Arial" w:hAnsi="Arial" w:cs="Arial"/>
        </w:rPr>
        <w:t>do por el paciente por los siguientes motivos: son medicamentos exentos de aportación o financi</w:t>
      </w:r>
      <w:r w:rsidRPr="00A977E8">
        <w:rPr>
          <w:rFonts w:ascii="Arial" w:hAnsi="Arial" w:cs="Arial"/>
        </w:rPr>
        <w:t>a</w:t>
      </w:r>
      <w:r w:rsidRPr="00A977E8">
        <w:rPr>
          <w:rFonts w:ascii="Arial" w:hAnsi="Arial" w:cs="Arial"/>
        </w:rPr>
        <w:t>dos al 100</w:t>
      </w:r>
      <w:r>
        <w:rPr>
          <w:rFonts w:ascii="Arial" w:hAnsi="Arial" w:cs="Arial"/>
        </w:rPr>
        <w:t xml:space="preserve"> </w:t>
      </w:r>
      <w:r w:rsidRPr="00A977E8">
        <w:rPr>
          <w:rFonts w:ascii="Arial" w:hAnsi="Arial" w:cs="Arial"/>
        </w:rPr>
        <w:t>por ciento</w:t>
      </w:r>
      <w:r>
        <w:rPr>
          <w:rFonts w:ascii="Arial" w:hAnsi="Arial" w:cs="Arial"/>
        </w:rPr>
        <w:t xml:space="preserve"> </w:t>
      </w:r>
      <w:r w:rsidRPr="00A977E8">
        <w:rPr>
          <w:rFonts w:ascii="Arial" w:hAnsi="Arial" w:cs="Arial"/>
        </w:rPr>
        <w:t>y pueden ser vendidos aprecios distintos hasta un</w:t>
      </w:r>
      <w:r>
        <w:rPr>
          <w:rFonts w:ascii="Arial" w:hAnsi="Arial" w:cs="Arial"/>
        </w:rPr>
        <w:t xml:space="preserve"> </w:t>
      </w:r>
      <w:r w:rsidRPr="00A977E8">
        <w:rPr>
          <w:rFonts w:ascii="Arial" w:hAnsi="Arial" w:cs="Arial"/>
        </w:rPr>
        <w:t>límite establecido por</w:t>
      </w:r>
      <w:r>
        <w:rPr>
          <w:rFonts w:ascii="Arial" w:hAnsi="Arial" w:cs="Arial"/>
        </w:rPr>
        <w:t xml:space="preserve"> la </w:t>
      </w:r>
      <w:r w:rsidRPr="00A977E8">
        <w:rPr>
          <w:rFonts w:ascii="Arial" w:hAnsi="Arial" w:cs="Arial"/>
        </w:rPr>
        <w:t>normativa; son medicamentos de aportación reducida en los que el paciente abona el límite máx</w:t>
      </w:r>
      <w:r w:rsidRPr="00A977E8">
        <w:rPr>
          <w:rFonts w:ascii="Arial" w:hAnsi="Arial" w:cs="Arial"/>
        </w:rPr>
        <w:t>i</w:t>
      </w:r>
      <w:r w:rsidRPr="00A977E8">
        <w:rPr>
          <w:rFonts w:ascii="Arial" w:hAnsi="Arial" w:cs="Arial"/>
        </w:rPr>
        <w:t>mo de 4,24 euros independientemente del precio, o son medicamentos en los que ha existido un error en los decimales al introducir el precio</w:t>
      </w:r>
      <w:r>
        <w:rPr>
          <w:rFonts w:ascii="Arial" w:hAnsi="Arial" w:cs="Arial"/>
        </w:rPr>
        <w:t>”.</w:t>
      </w:r>
    </w:p>
    <w:p w:rsidR="00C20C81" w:rsidRPr="00A977E8" w:rsidRDefault="00C20C81" w:rsidP="00C20C81">
      <w:pPr>
        <w:rPr>
          <w:rFonts w:ascii="Arial" w:hAnsi="Arial" w:cs="Arial"/>
        </w:rPr>
      </w:pPr>
      <w:r>
        <w:rPr>
          <w:rFonts w:ascii="Arial" w:hAnsi="Arial" w:cs="Arial"/>
        </w:rPr>
        <w:t>Alegación 1</w:t>
      </w:r>
      <w:proofErr w:type="gramStart"/>
      <w:r>
        <w:rPr>
          <w:rFonts w:ascii="Arial" w:hAnsi="Arial" w:cs="Arial"/>
        </w:rPr>
        <w:t>.ª</w:t>
      </w:r>
      <w:proofErr w:type="gramEnd"/>
      <w:r w:rsidRPr="00A977E8">
        <w:rPr>
          <w:rFonts w:ascii="Arial" w:hAnsi="Arial" w:cs="Arial"/>
        </w:rPr>
        <w:t>:</w:t>
      </w:r>
    </w:p>
    <w:p w:rsidR="00C20C81" w:rsidRPr="00A977E8" w:rsidRDefault="00C20C81" w:rsidP="00C20C81">
      <w:pPr>
        <w:rPr>
          <w:rFonts w:ascii="Arial" w:hAnsi="Arial" w:cs="Arial"/>
        </w:rPr>
      </w:pPr>
      <w:r w:rsidRPr="00A977E8">
        <w:rPr>
          <w:rFonts w:ascii="Arial" w:hAnsi="Arial" w:cs="Arial"/>
        </w:rPr>
        <w:t>No hay ninguna constancia de que las cifras a las que se hace referencia en ese párrafo como abonadas por el paciente sean exactas. De hecho, llama la atención que en la redacción del párrafo se use el condicional,</w:t>
      </w:r>
      <w:r>
        <w:rPr>
          <w:rFonts w:ascii="Arial" w:hAnsi="Arial" w:cs="Arial"/>
        </w:rPr>
        <w:t xml:space="preserve"> </w:t>
      </w:r>
      <w:r w:rsidRPr="00A977E8">
        <w:rPr>
          <w:rFonts w:ascii="Arial" w:hAnsi="Arial" w:cs="Arial"/>
        </w:rPr>
        <w:t>forma verbal que indica la posibilidad de que una acción ocurra y no la certeza. La estimación</w:t>
      </w:r>
      <w:r>
        <w:rPr>
          <w:rFonts w:ascii="Arial" w:hAnsi="Arial" w:cs="Arial"/>
        </w:rPr>
        <w:t xml:space="preserve"> se ha basado en los datos que </w:t>
      </w:r>
      <w:proofErr w:type="gramStart"/>
      <w:r>
        <w:rPr>
          <w:rFonts w:ascii="Arial" w:hAnsi="Arial" w:cs="Arial"/>
        </w:rPr>
        <w:t>l</w:t>
      </w:r>
      <w:r w:rsidRPr="00A977E8">
        <w:rPr>
          <w:rFonts w:ascii="Arial" w:hAnsi="Arial" w:cs="Arial"/>
        </w:rPr>
        <w:t>os</w:t>
      </w:r>
      <w:proofErr w:type="gramEnd"/>
      <w:r w:rsidRPr="00A977E8">
        <w:rPr>
          <w:rFonts w:ascii="Arial" w:hAnsi="Arial" w:cs="Arial"/>
        </w:rPr>
        <w:t xml:space="preserve"> software de las farmacias envían a LAMIA, pero no se ha podido cotejar, con los diarios de caja de las farmacias, si ese era el precio que se usaba para cobrar al paciente. Cabe destacar que ese dato nunca había sido usado ni an</w:t>
      </w:r>
      <w:r w:rsidRPr="00A977E8">
        <w:rPr>
          <w:rFonts w:ascii="Arial" w:hAnsi="Arial" w:cs="Arial"/>
        </w:rPr>
        <w:t>a</w:t>
      </w:r>
      <w:r w:rsidRPr="00A977E8">
        <w:rPr>
          <w:rFonts w:ascii="Arial" w:hAnsi="Arial" w:cs="Arial"/>
        </w:rPr>
        <w:t>lizado con anterioridad, puesto que no afecta al proceso de factu</w:t>
      </w:r>
      <w:r>
        <w:rPr>
          <w:rFonts w:ascii="Arial" w:hAnsi="Arial" w:cs="Arial"/>
        </w:rPr>
        <w:t>ración entre el COFNA y el SNS-O</w:t>
      </w:r>
      <w:r w:rsidRPr="00A977E8">
        <w:rPr>
          <w:rFonts w:ascii="Arial" w:hAnsi="Arial" w:cs="Arial"/>
        </w:rPr>
        <w:t xml:space="preserve"> y por tanto, no puede descartarse que se trate de un error en el envío de datos (así se ha e</w:t>
      </w:r>
      <w:r w:rsidRPr="00A977E8">
        <w:rPr>
          <w:rFonts w:ascii="Arial" w:hAnsi="Arial" w:cs="Arial"/>
        </w:rPr>
        <w:t>n</w:t>
      </w:r>
      <w:r w:rsidRPr="00A977E8">
        <w:rPr>
          <w:rFonts w:ascii="Arial" w:hAnsi="Arial" w:cs="Arial"/>
        </w:rPr>
        <w:t>tendido con los errores de decimales) y no de la cifra sobre la que se calculó la aportación del p</w:t>
      </w:r>
      <w:r w:rsidRPr="00A977E8">
        <w:rPr>
          <w:rFonts w:ascii="Arial" w:hAnsi="Arial" w:cs="Arial"/>
        </w:rPr>
        <w:t>a</w:t>
      </w:r>
      <w:r w:rsidRPr="00A977E8">
        <w:rPr>
          <w:rFonts w:ascii="Arial" w:hAnsi="Arial" w:cs="Arial"/>
        </w:rPr>
        <w:t>ciente.</w:t>
      </w:r>
    </w:p>
    <w:p w:rsidR="00C20C81" w:rsidRPr="00A977E8" w:rsidRDefault="00C20C81" w:rsidP="00C20C81">
      <w:pPr>
        <w:rPr>
          <w:rFonts w:ascii="Arial" w:hAnsi="Arial" w:cs="Arial"/>
        </w:rPr>
      </w:pPr>
      <w:r w:rsidRPr="00A977E8">
        <w:rPr>
          <w:rFonts w:ascii="Arial" w:hAnsi="Arial" w:cs="Arial"/>
        </w:rPr>
        <w:t>Por estos motivos, solicitamos la supresión del párrafo citado al Inicio.</w:t>
      </w:r>
    </w:p>
    <w:p w:rsidR="00C20C81" w:rsidRPr="00A977E8" w:rsidRDefault="00C20C81" w:rsidP="00C20C81">
      <w:pPr>
        <w:rPr>
          <w:rFonts w:ascii="Arial" w:hAnsi="Arial" w:cs="Arial"/>
        </w:rPr>
      </w:pPr>
      <w:r w:rsidRPr="00A977E8">
        <w:rPr>
          <w:rFonts w:ascii="Arial" w:hAnsi="Arial" w:cs="Arial"/>
        </w:rPr>
        <w:t>2. En el párrafo segundo de la página 17 dice:</w:t>
      </w:r>
    </w:p>
    <w:p w:rsidR="00C20C81" w:rsidRPr="00A977E8" w:rsidRDefault="00C20C81" w:rsidP="00C20C81">
      <w:pPr>
        <w:rPr>
          <w:rFonts w:ascii="Arial" w:hAnsi="Arial" w:cs="Arial"/>
        </w:rPr>
      </w:pPr>
      <w:r>
        <w:rPr>
          <w:rFonts w:ascii="Arial" w:hAnsi="Arial" w:cs="Arial"/>
        </w:rPr>
        <w:t>“</w:t>
      </w:r>
      <w:r w:rsidRPr="00A977E8">
        <w:rPr>
          <w:rFonts w:ascii="Arial" w:hAnsi="Arial" w:cs="Arial"/>
        </w:rPr>
        <w:t>Si bien el hecho de que los precios utilizados por las farmacias para facturar al paci</w:t>
      </w:r>
      <w:r>
        <w:rPr>
          <w:rFonts w:ascii="Arial" w:hAnsi="Arial" w:cs="Arial"/>
        </w:rPr>
        <w:t>ente no se obtengan del Nomenclá</w:t>
      </w:r>
      <w:r w:rsidRPr="00A977E8">
        <w:rPr>
          <w:rFonts w:ascii="Arial" w:hAnsi="Arial" w:cs="Arial"/>
        </w:rPr>
        <w:t>tor existiendo errores, tal y como hemos citado en el párrafo anterior, no afecta al gasto del SNS-</w:t>
      </w:r>
      <w:r>
        <w:rPr>
          <w:rFonts w:ascii="Arial" w:hAnsi="Arial" w:cs="Arial"/>
        </w:rPr>
        <w:t>O</w:t>
      </w:r>
      <w:r w:rsidRPr="00A977E8">
        <w:rPr>
          <w:rFonts w:ascii="Arial" w:hAnsi="Arial" w:cs="Arial"/>
        </w:rPr>
        <w:t>, ni es un porcentaje significativo en el total de las dispensaciones real</w:t>
      </w:r>
      <w:r>
        <w:rPr>
          <w:rFonts w:ascii="Arial" w:hAnsi="Arial" w:cs="Arial"/>
        </w:rPr>
        <w:t>i</w:t>
      </w:r>
      <w:r>
        <w:rPr>
          <w:rFonts w:ascii="Arial" w:hAnsi="Arial" w:cs="Arial"/>
        </w:rPr>
        <w:t>zadas en 2018 (10,39 millones).</w:t>
      </w:r>
      <w:r w:rsidRPr="00A977E8">
        <w:rPr>
          <w:rFonts w:ascii="Arial" w:hAnsi="Arial" w:cs="Arial"/>
        </w:rPr>
        <w:t xml:space="preserve"> Entendemos que no es razonable que los pacientes abonen por el mismo medicamento cantidades diferentes entre sí, y distintas a las establecidas en la normativa, aunque esta situación se haya dado tan solo en un uno por cierto de las dispensaciones en 2018</w:t>
      </w:r>
      <w:r>
        <w:rPr>
          <w:rFonts w:ascii="Arial" w:hAnsi="Arial" w:cs="Arial"/>
        </w:rPr>
        <w:t>”.</w:t>
      </w:r>
    </w:p>
    <w:p w:rsidR="00C20C81" w:rsidRPr="00A977E8" w:rsidRDefault="00C20C81" w:rsidP="00C20C81">
      <w:pPr>
        <w:rPr>
          <w:rFonts w:ascii="Arial" w:hAnsi="Arial" w:cs="Arial"/>
        </w:rPr>
      </w:pPr>
      <w:r>
        <w:rPr>
          <w:rFonts w:ascii="Arial" w:hAnsi="Arial" w:cs="Arial"/>
        </w:rPr>
        <w:t>Alegación 2</w:t>
      </w:r>
      <w:proofErr w:type="gramStart"/>
      <w:r>
        <w:rPr>
          <w:rFonts w:ascii="Arial" w:hAnsi="Arial" w:cs="Arial"/>
        </w:rPr>
        <w:t>.ª</w:t>
      </w:r>
      <w:proofErr w:type="gramEnd"/>
      <w:r w:rsidRPr="00A977E8">
        <w:rPr>
          <w:rFonts w:ascii="Arial" w:hAnsi="Arial" w:cs="Arial"/>
        </w:rPr>
        <w:t>:</w:t>
      </w:r>
    </w:p>
    <w:p w:rsidR="00C20C81" w:rsidRPr="00A977E8" w:rsidRDefault="00C20C81" w:rsidP="00C20C81">
      <w:pPr>
        <w:rPr>
          <w:rFonts w:ascii="Arial" w:hAnsi="Arial" w:cs="Arial"/>
        </w:rPr>
      </w:pPr>
      <w:r w:rsidRPr="00A977E8">
        <w:rPr>
          <w:rFonts w:ascii="Arial" w:hAnsi="Arial" w:cs="Arial"/>
        </w:rPr>
        <w:t>Siendo conocedores de que en los 98 tickets procedentes de 50 farmacias a los que hacen referencia tanto en la página 12, como en la página 30 de este informe provisional, se detectaron algunos errores en la aportación del paciente, asumiendo nuestra r</w:t>
      </w:r>
      <w:r>
        <w:rPr>
          <w:rFonts w:ascii="Arial" w:hAnsi="Arial" w:cs="Arial"/>
        </w:rPr>
        <w:t xml:space="preserve">esponsabilidad en garantizar el </w:t>
      </w:r>
      <w:r w:rsidRPr="00A977E8">
        <w:rPr>
          <w:rFonts w:ascii="Arial" w:hAnsi="Arial" w:cs="Arial"/>
        </w:rPr>
        <w:t>cumplimiento de la norma y agradeciendo que esta auditoría nos haya servido para ser conoced</w:t>
      </w:r>
      <w:r w:rsidRPr="00A977E8">
        <w:rPr>
          <w:rFonts w:ascii="Arial" w:hAnsi="Arial" w:cs="Arial"/>
        </w:rPr>
        <w:t>o</w:t>
      </w:r>
      <w:r w:rsidRPr="00A977E8">
        <w:rPr>
          <w:rFonts w:ascii="Arial" w:hAnsi="Arial" w:cs="Arial"/>
        </w:rPr>
        <w:lastRenderedPageBreak/>
        <w:t>res de que, aunque sea en un porcentaje no significativo, se cometen errores, proponemos la r</w:t>
      </w:r>
      <w:r w:rsidRPr="00A977E8">
        <w:rPr>
          <w:rFonts w:ascii="Arial" w:hAnsi="Arial" w:cs="Arial"/>
        </w:rPr>
        <w:t>e</w:t>
      </w:r>
      <w:r w:rsidRPr="00A977E8">
        <w:rPr>
          <w:rFonts w:ascii="Arial" w:hAnsi="Arial" w:cs="Arial"/>
        </w:rPr>
        <w:t>dacción del párrafo anterior de la siguiente forma:</w:t>
      </w:r>
    </w:p>
    <w:p w:rsidR="00C20C81" w:rsidRPr="00A977E8" w:rsidRDefault="00C20C81" w:rsidP="00C20C81">
      <w:pPr>
        <w:rPr>
          <w:rFonts w:ascii="Arial" w:hAnsi="Arial" w:cs="Arial"/>
        </w:rPr>
      </w:pPr>
      <w:r>
        <w:rPr>
          <w:rFonts w:ascii="Arial" w:hAnsi="Arial" w:cs="Arial"/>
        </w:rPr>
        <w:t>«Si</w:t>
      </w:r>
      <w:r w:rsidRPr="00A977E8">
        <w:rPr>
          <w:rFonts w:ascii="Arial" w:hAnsi="Arial" w:cs="Arial"/>
        </w:rPr>
        <w:t xml:space="preserve"> bien e</w:t>
      </w:r>
      <w:r>
        <w:rPr>
          <w:rFonts w:ascii="Arial" w:hAnsi="Arial" w:cs="Arial"/>
        </w:rPr>
        <w:t>l hecho de que los precios utili</w:t>
      </w:r>
      <w:r w:rsidRPr="00A977E8">
        <w:rPr>
          <w:rFonts w:ascii="Arial" w:hAnsi="Arial" w:cs="Arial"/>
        </w:rPr>
        <w:t>zados por las farmacias para facturar al paciente no se obtengan del Nomencl</w:t>
      </w:r>
      <w:r>
        <w:rPr>
          <w:rFonts w:ascii="Arial" w:hAnsi="Arial" w:cs="Arial"/>
        </w:rPr>
        <w:t>á</w:t>
      </w:r>
      <w:r w:rsidRPr="00A977E8">
        <w:rPr>
          <w:rFonts w:ascii="Arial" w:hAnsi="Arial" w:cs="Arial"/>
        </w:rPr>
        <w:t>tor existiendo errores, tal y como hemos co</w:t>
      </w:r>
      <w:r>
        <w:rPr>
          <w:rFonts w:ascii="Arial" w:hAnsi="Arial" w:cs="Arial"/>
        </w:rPr>
        <w:t>mprobado en una muestra de 98 ti</w:t>
      </w:r>
      <w:r w:rsidRPr="00A977E8">
        <w:rPr>
          <w:rFonts w:ascii="Arial" w:hAnsi="Arial" w:cs="Arial"/>
        </w:rPr>
        <w:t>ckets correspondientes a dispensaciones en 50 Oficinas de farmacia, no afecta al gasto del SNS-</w:t>
      </w:r>
      <w:r>
        <w:rPr>
          <w:rFonts w:ascii="Arial" w:hAnsi="Arial" w:cs="Arial"/>
        </w:rPr>
        <w:t>O</w:t>
      </w:r>
      <w:r w:rsidRPr="00A977E8">
        <w:rPr>
          <w:rFonts w:ascii="Arial" w:hAnsi="Arial" w:cs="Arial"/>
        </w:rPr>
        <w:t>, ni los errores suponen un porcentaje significativo en el total de las dispensaciones realiz</w:t>
      </w:r>
      <w:r w:rsidRPr="00A977E8">
        <w:rPr>
          <w:rFonts w:ascii="Arial" w:hAnsi="Arial" w:cs="Arial"/>
        </w:rPr>
        <w:t>a</w:t>
      </w:r>
      <w:r w:rsidRPr="00A977E8">
        <w:rPr>
          <w:rFonts w:ascii="Arial" w:hAnsi="Arial" w:cs="Arial"/>
        </w:rPr>
        <w:t>das, entendemos que no es razonable que los pacientes abonen por el mismo medicamento cant</w:t>
      </w:r>
      <w:r w:rsidRPr="00A977E8">
        <w:rPr>
          <w:rFonts w:ascii="Arial" w:hAnsi="Arial" w:cs="Arial"/>
        </w:rPr>
        <w:t>i</w:t>
      </w:r>
      <w:r w:rsidRPr="00A977E8">
        <w:rPr>
          <w:rFonts w:ascii="Arial" w:hAnsi="Arial" w:cs="Arial"/>
        </w:rPr>
        <w:t>dades diferentes entre sí, y distintas a las establecidas en la normativa</w:t>
      </w:r>
      <w:r>
        <w:rPr>
          <w:rFonts w:ascii="Arial" w:hAnsi="Arial" w:cs="Arial"/>
        </w:rPr>
        <w:t>»</w:t>
      </w:r>
      <w:r w:rsidRPr="00A977E8">
        <w:rPr>
          <w:rFonts w:ascii="Arial" w:hAnsi="Arial" w:cs="Arial"/>
        </w:rPr>
        <w:t>.</w:t>
      </w:r>
    </w:p>
    <w:p w:rsidR="00C20C81" w:rsidRPr="00A977E8" w:rsidRDefault="00C20C81" w:rsidP="00C20C81">
      <w:pPr>
        <w:rPr>
          <w:rFonts w:ascii="Arial" w:hAnsi="Arial" w:cs="Arial"/>
        </w:rPr>
      </w:pPr>
      <w:r>
        <w:rPr>
          <w:rFonts w:ascii="Arial" w:hAnsi="Arial" w:cs="Arial"/>
        </w:rPr>
        <w:t>Respecto al apartado V,</w:t>
      </w:r>
      <w:r w:rsidRPr="00A977E8">
        <w:rPr>
          <w:rFonts w:ascii="Arial" w:hAnsi="Arial" w:cs="Arial"/>
        </w:rPr>
        <w:t xml:space="preserve"> Conclusiones y recomendaciones:</w:t>
      </w:r>
    </w:p>
    <w:p w:rsidR="00C20C81" w:rsidRPr="00A977E8" w:rsidRDefault="00C20C81" w:rsidP="00C20C81">
      <w:pPr>
        <w:rPr>
          <w:rFonts w:ascii="Arial" w:hAnsi="Arial" w:cs="Arial"/>
        </w:rPr>
      </w:pPr>
      <w:r w:rsidRPr="00A977E8">
        <w:rPr>
          <w:rFonts w:ascii="Arial" w:hAnsi="Arial" w:cs="Arial"/>
        </w:rPr>
        <w:t>1.</w:t>
      </w:r>
      <w:r>
        <w:rPr>
          <w:rFonts w:ascii="Arial" w:hAnsi="Arial" w:cs="Arial"/>
        </w:rPr>
        <w:t xml:space="preserve"> </w:t>
      </w:r>
      <w:r w:rsidRPr="00A977E8">
        <w:rPr>
          <w:rFonts w:ascii="Arial" w:hAnsi="Arial" w:cs="Arial"/>
        </w:rPr>
        <w:t>En la página 22, pie de página (3) dice:</w:t>
      </w:r>
    </w:p>
    <w:p w:rsidR="00C20C81" w:rsidRPr="00A977E8" w:rsidRDefault="00C20C81" w:rsidP="00C20C81">
      <w:pPr>
        <w:rPr>
          <w:rFonts w:ascii="Arial" w:hAnsi="Arial" w:cs="Arial"/>
        </w:rPr>
      </w:pPr>
      <w:r>
        <w:rPr>
          <w:rFonts w:ascii="Arial" w:hAnsi="Arial" w:cs="Arial"/>
        </w:rPr>
        <w:t>“</w:t>
      </w:r>
      <w:r w:rsidRPr="00A977E8">
        <w:rPr>
          <w:rFonts w:ascii="Arial" w:hAnsi="Arial" w:cs="Arial"/>
        </w:rPr>
        <w:t xml:space="preserve">Existen farmacias que tienen </w:t>
      </w:r>
      <w:r>
        <w:rPr>
          <w:rFonts w:ascii="Arial" w:hAnsi="Arial" w:cs="Arial"/>
        </w:rPr>
        <w:t>‘</w:t>
      </w:r>
      <w:r w:rsidRPr="00A977E8">
        <w:rPr>
          <w:rFonts w:ascii="Arial" w:hAnsi="Arial" w:cs="Arial"/>
        </w:rPr>
        <w:t>Viabilidad Económica Comprometida</w:t>
      </w:r>
      <w:r>
        <w:rPr>
          <w:rFonts w:ascii="Arial" w:hAnsi="Arial" w:cs="Arial"/>
        </w:rPr>
        <w:t>’</w:t>
      </w:r>
      <w:r w:rsidRPr="00A977E8">
        <w:rPr>
          <w:rFonts w:ascii="Arial" w:hAnsi="Arial" w:cs="Arial"/>
        </w:rPr>
        <w:t xml:space="preserve"> al no llegar a un dete</w:t>
      </w:r>
      <w:r w:rsidRPr="00A977E8">
        <w:rPr>
          <w:rFonts w:ascii="Arial" w:hAnsi="Arial" w:cs="Arial"/>
        </w:rPr>
        <w:t>r</w:t>
      </w:r>
      <w:r w:rsidRPr="00A977E8">
        <w:rPr>
          <w:rFonts w:ascii="Arial" w:hAnsi="Arial" w:cs="Arial"/>
        </w:rPr>
        <w:t>minado importe de facturación establecido. En Navarra con la liberalización del sector existen 70 farmacias de este tipo, siendo una cantidad proporcionalmente muy superior a la del resto del E</w:t>
      </w:r>
      <w:r w:rsidRPr="00A977E8">
        <w:rPr>
          <w:rFonts w:ascii="Arial" w:hAnsi="Arial" w:cs="Arial"/>
        </w:rPr>
        <w:t>s</w:t>
      </w:r>
      <w:r w:rsidRPr="00A977E8">
        <w:rPr>
          <w:rFonts w:ascii="Arial" w:hAnsi="Arial" w:cs="Arial"/>
        </w:rPr>
        <w:t>tado</w:t>
      </w:r>
      <w:r>
        <w:rPr>
          <w:rFonts w:ascii="Arial" w:hAnsi="Arial" w:cs="Arial"/>
        </w:rPr>
        <w:t>”.</w:t>
      </w:r>
    </w:p>
    <w:p w:rsidR="00C20C81" w:rsidRPr="00A977E8" w:rsidRDefault="00C20C81" w:rsidP="00C20C81">
      <w:pPr>
        <w:rPr>
          <w:rFonts w:ascii="Arial" w:hAnsi="Arial" w:cs="Arial"/>
        </w:rPr>
      </w:pPr>
      <w:r>
        <w:rPr>
          <w:rFonts w:ascii="Arial" w:hAnsi="Arial" w:cs="Arial"/>
        </w:rPr>
        <w:t>Alegación 3</w:t>
      </w:r>
      <w:proofErr w:type="gramStart"/>
      <w:r>
        <w:rPr>
          <w:rFonts w:ascii="Arial" w:hAnsi="Arial" w:cs="Arial"/>
        </w:rPr>
        <w:t>.ª</w:t>
      </w:r>
      <w:proofErr w:type="gramEnd"/>
      <w:r w:rsidRPr="00A977E8">
        <w:rPr>
          <w:rFonts w:ascii="Arial" w:hAnsi="Arial" w:cs="Arial"/>
        </w:rPr>
        <w:t>:</w:t>
      </w:r>
    </w:p>
    <w:p w:rsidR="00C20C81" w:rsidRPr="00A977E8" w:rsidRDefault="00C20C81" w:rsidP="00C20C81">
      <w:pPr>
        <w:rPr>
          <w:rFonts w:ascii="Arial" w:hAnsi="Arial" w:cs="Arial"/>
        </w:rPr>
      </w:pPr>
      <w:r w:rsidRPr="00A977E8">
        <w:rPr>
          <w:rFonts w:ascii="Arial" w:hAnsi="Arial" w:cs="Arial"/>
        </w:rPr>
        <w:t>Si bien la ordenación farmacéutica vigente en Navarra permite la apertura de un mayor n</w:t>
      </w:r>
      <w:r w:rsidRPr="00A977E8">
        <w:rPr>
          <w:rFonts w:ascii="Arial" w:hAnsi="Arial" w:cs="Arial"/>
        </w:rPr>
        <w:t>ú</w:t>
      </w:r>
      <w:r w:rsidRPr="00A977E8">
        <w:rPr>
          <w:rFonts w:ascii="Arial" w:hAnsi="Arial" w:cs="Arial"/>
        </w:rPr>
        <w:t xml:space="preserve">mero de farmacias, no cabe hablar de </w:t>
      </w:r>
      <w:r>
        <w:rPr>
          <w:rFonts w:ascii="Arial" w:hAnsi="Arial" w:cs="Arial"/>
        </w:rPr>
        <w:t>“</w:t>
      </w:r>
      <w:r w:rsidRPr="00A977E8">
        <w:rPr>
          <w:rFonts w:ascii="Arial" w:hAnsi="Arial" w:cs="Arial"/>
        </w:rPr>
        <w:t>liberalización del sector</w:t>
      </w:r>
      <w:r>
        <w:rPr>
          <w:rFonts w:ascii="Arial" w:hAnsi="Arial" w:cs="Arial"/>
        </w:rPr>
        <w:t>”</w:t>
      </w:r>
      <w:r w:rsidRPr="00A977E8">
        <w:rPr>
          <w:rFonts w:ascii="Arial" w:hAnsi="Arial" w:cs="Arial"/>
        </w:rPr>
        <w:t xml:space="preserve"> ya las oficinas de </w:t>
      </w:r>
      <w:r>
        <w:rPr>
          <w:rFonts w:ascii="Arial" w:hAnsi="Arial" w:cs="Arial"/>
        </w:rPr>
        <w:t>farmacias s</w:t>
      </w:r>
      <w:r>
        <w:rPr>
          <w:rFonts w:ascii="Arial" w:hAnsi="Arial" w:cs="Arial"/>
        </w:rPr>
        <w:t>i</w:t>
      </w:r>
      <w:r>
        <w:rPr>
          <w:rFonts w:ascii="Arial" w:hAnsi="Arial" w:cs="Arial"/>
        </w:rPr>
        <w:t xml:space="preserve">guen siendo, como en el </w:t>
      </w:r>
      <w:r w:rsidRPr="00A977E8">
        <w:rPr>
          <w:rFonts w:ascii="Arial" w:hAnsi="Arial" w:cs="Arial"/>
        </w:rPr>
        <w:t>resto del Estado, una actividad regulada por la Ley Foral 12/2000, de 16 de noviembre, de atención farmacéutica, que establece los requisitos de titularidad-propiedad, di</w:t>
      </w:r>
      <w:r w:rsidRPr="00A977E8">
        <w:rPr>
          <w:rFonts w:ascii="Arial" w:hAnsi="Arial" w:cs="Arial"/>
        </w:rPr>
        <w:t>s</w:t>
      </w:r>
      <w:r w:rsidRPr="00A977E8">
        <w:rPr>
          <w:rFonts w:ascii="Arial" w:hAnsi="Arial" w:cs="Arial"/>
        </w:rPr>
        <w:t>tancia entre farmacias y número de habitantes, entre otros aspectos.</w:t>
      </w:r>
    </w:p>
    <w:p w:rsidR="00C20C81" w:rsidRPr="00A977E8" w:rsidRDefault="00C20C81" w:rsidP="00C20C81">
      <w:pPr>
        <w:rPr>
          <w:rFonts w:ascii="Arial" w:hAnsi="Arial" w:cs="Arial"/>
        </w:rPr>
      </w:pPr>
      <w:r w:rsidRPr="00A977E8">
        <w:rPr>
          <w:rFonts w:ascii="Arial" w:hAnsi="Arial" w:cs="Arial"/>
        </w:rPr>
        <w:t>Por tanto, proponemos la siguiente redacción:</w:t>
      </w:r>
    </w:p>
    <w:p w:rsidR="00C20C81" w:rsidRPr="00A977E8" w:rsidRDefault="00C20C81" w:rsidP="00C20C81">
      <w:pPr>
        <w:rPr>
          <w:rFonts w:ascii="Arial" w:hAnsi="Arial" w:cs="Arial"/>
        </w:rPr>
      </w:pPr>
      <w:r>
        <w:rPr>
          <w:rFonts w:ascii="Arial" w:hAnsi="Arial" w:cs="Arial"/>
        </w:rPr>
        <w:t>«</w:t>
      </w:r>
      <w:r w:rsidRPr="00A977E8">
        <w:rPr>
          <w:rFonts w:ascii="Arial" w:hAnsi="Arial" w:cs="Arial"/>
        </w:rPr>
        <w:t xml:space="preserve">Existen farmacias que tienen </w:t>
      </w:r>
      <w:r>
        <w:rPr>
          <w:rFonts w:ascii="Arial" w:hAnsi="Arial" w:cs="Arial"/>
        </w:rPr>
        <w:t>“Viabili</w:t>
      </w:r>
      <w:r w:rsidRPr="00A977E8">
        <w:rPr>
          <w:rFonts w:ascii="Arial" w:hAnsi="Arial" w:cs="Arial"/>
        </w:rPr>
        <w:t>dad Económica Comprometida</w:t>
      </w:r>
      <w:r>
        <w:rPr>
          <w:rFonts w:ascii="Arial" w:hAnsi="Arial" w:cs="Arial"/>
        </w:rPr>
        <w:t>”</w:t>
      </w:r>
      <w:r w:rsidRPr="00A977E8">
        <w:rPr>
          <w:rFonts w:ascii="Arial" w:hAnsi="Arial" w:cs="Arial"/>
        </w:rPr>
        <w:t xml:space="preserve"> al no llegar a un d</w:t>
      </w:r>
      <w:r w:rsidRPr="00A977E8">
        <w:rPr>
          <w:rFonts w:ascii="Arial" w:hAnsi="Arial" w:cs="Arial"/>
        </w:rPr>
        <w:t>e</w:t>
      </w:r>
      <w:r w:rsidRPr="00A977E8">
        <w:rPr>
          <w:rFonts w:ascii="Arial" w:hAnsi="Arial" w:cs="Arial"/>
        </w:rPr>
        <w:t>terminado importe de facturación establecido. En Navarra, debido a la especial ordenación farm</w:t>
      </w:r>
      <w:r w:rsidRPr="00A977E8">
        <w:rPr>
          <w:rFonts w:ascii="Arial" w:hAnsi="Arial" w:cs="Arial"/>
        </w:rPr>
        <w:t>a</w:t>
      </w:r>
      <w:r w:rsidRPr="00A977E8">
        <w:rPr>
          <w:rFonts w:ascii="Arial" w:hAnsi="Arial" w:cs="Arial"/>
        </w:rPr>
        <w:t>céutica, existen 70 farmacias de este tipo, siendo una cantidad proporcionalmente muy superior a la del resto del Estado</w:t>
      </w:r>
      <w:r>
        <w:rPr>
          <w:rFonts w:ascii="Arial" w:hAnsi="Arial" w:cs="Arial"/>
        </w:rPr>
        <w:t>».</w:t>
      </w:r>
    </w:p>
    <w:p w:rsidR="00C20C81" w:rsidRPr="00A977E8" w:rsidRDefault="00C20C81" w:rsidP="00C20C81">
      <w:pPr>
        <w:rPr>
          <w:rFonts w:ascii="Arial" w:hAnsi="Arial" w:cs="Arial"/>
        </w:rPr>
      </w:pPr>
      <w:r w:rsidRPr="00A977E8">
        <w:rPr>
          <w:rFonts w:ascii="Arial" w:hAnsi="Arial" w:cs="Arial"/>
        </w:rPr>
        <w:t>En Pamplona a 26 de marzo de 2019</w:t>
      </w:r>
    </w:p>
    <w:p w:rsidR="00C20C81" w:rsidRPr="00A977E8" w:rsidRDefault="00C20C81" w:rsidP="00C20C81">
      <w:pPr>
        <w:rPr>
          <w:rFonts w:ascii="Arial" w:hAnsi="Arial" w:cs="Arial"/>
        </w:rPr>
      </w:pPr>
      <w:r w:rsidRPr="00A977E8">
        <w:rPr>
          <w:rFonts w:ascii="Arial" w:hAnsi="Arial" w:cs="Arial"/>
        </w:rPr>
        <w:t>La Presidenta del Colegio Oficial de Farmacéuticos de Navarra</w:t>
      </w:r>
      <w:r>
        <w:rPr>
          <w:rFonts w:ascii="Arial" w:hAnsi="Arial" w:cs="Arial"/>
        </w:rPr>
        <w:t xml:space="preserve">, Marta </w:t>
      </w:r>
      <w:proofErr w:type="spellStart"/>
      <w:r>
        <w:rPr>
          <w:rFonts w:ascii="Arial" w:hAnsi="Arial" w:cs="Arial"/>
        </w:rPr>
        <w:t>Galipienzo</w:t>
      </w:r>
      <w:proofErr w:type="spellEnd"/>
      <w:r>
        <w:rPr>
          <w:rFonts w:ascii="Arial" w:hAnsi="Arial" w:cs="Arial"/>
        </w:rPr>
        <w:t xml:space="preserve"> Jimé</w:t>
      </w:r>
      <w:r w:rsidRPr="00A977E8">
        <w:rPr>
          <w:rFonts w:ascii="Arial" w:hAnsi="Arial" w:cs="Arial"/>
        </w:rPr>
        <w:t xml:space="preserve">nez </w:t>
      </w:r>
    </w:p>
    <w:p w:rsidR="00C20C81" w:rsidRPr="00A977E8" w:rsidRDefault="00C20C81" w:rsidP="00C20C81">
      <w:pPr>
        <w:rPr>
          <w:rFonts w:ascii="Arial" w:hAnsi="Arial" w:cs="Arial"/>
        </w:rPr>
      </w:pPr>
      <w:r w:rsidRPr="00A977E8">
        <w:rPr>
          <w:rFonts w:ascii="Arial" w:hAnsi="Arial" w:cs="Arial"/>
        </w:rPr>
        <w:t>CONTESTACIÓN AL INFORME PROVISIONAL SOBRE LA GESTIÓN DE LA PREST</w:t>
      </w:r>
      <w:r w:rsidRPr="00A977E8">
        <w:rPr>
          <w:rFonts w:ascii="Arial" w:hAnsi="Arial" w:cs="Arial"/>
        </w:rPr>
        <w:t>A</w:t>
      </w:r>
      <w:r w:rsidRPr="00A977E8">
        <w:rPr>
          <w:rFonts w:ascii="Arial" w:hAnsi="Arial" w:cs="Arial"/>
        </w:rPr>
        <w:t>CIÓN FARMACÉUTICA EN EL SERVICIO NAVARRO DE SALUD­ OSASUNBIDEA</w:t>
      </w:r>
    </w:p>
    <w:p w:rsidR="00C20C81" w:rsidRPr="00A977E8" w:rsidRDefault="00C20C81" w:rsidP="00C20C81">
      <w:pPr>
        <w:rPr>
          <w:rFonts w:ascii="Arial" w:hAnsi="Arial" w:cs="Arial"/>
        </w:rPr>
      </w:pPr>
      <w:r w:rsidRPr="00A977E8">
        <w:rPr>
          <w:rFonts w:ascii="Arial" w:hAnsi="Arial" w:cs="Arial"/>
        </w:rPr>
        <w:t>Examinado el informe provisional sobre l</w:t>
      </w:r>
      <w:r>
        <w:rPr>
          <w:rFonts w:ascii="Arial" w:hAnsi="Arial" w:cs="Arial"/>
        </w:rPr>
        <w:t>a gestión de la prestación far</w:t>
      </w:r>
      <w:r w:rsidRPr="00A977E8">
        <w:rPr>
          <w:rFonts w:ascii="Arial" w:hAnsi="Arial" w:cs="Arial"/>
        </w:rPr>
        <w:t>macéutica en el Serv</w:t>
      </w:r>
      <w:r w:rsidRPr="00A977E8">
        <w:rPr>
          <w:rFonts w:ascii="Arial" w:hAnsi="Arial" w:cs="Arial"/>
        </w:rPr>
        <w:t>i</w:t>
      </w:r>
      <w:r w:rsidRPr="00A977E8">
        <w:rPr>
          <w:rFonts w:ascii="Arial" w:hAnsi="Arial" w:cs="Arial"/>
        </w:rPr>
        <w:t>cio Navarro de Salud-</w:t>
      </w:r>
      <w:proofErr w:type="spellStart"/>
      <w:r w:rsidRPr="00A977E8">
        <w:rPr>
          <w:rFonts w:ascii="Arial" w:hAnsi="Arial" w:cs="Arial"/>
        </w:rPr>
        <w:t>O</w:t>
      </w:r>
      <w:r>
        <w:rPr>
          <w:rFonts w:ascii="Arial" w:hAnsi="Arial" w:cs="Arial"/>
        </w:rPr>
        <w:t>sasunbidea</w:t>
      </w:r>
      <w:proofErr w:type="spellEnd"/>
      <w:r>
        <w:rPr>
          <w:rFonts w:ascii="Arial" w:hAnsi="Arial" w:cs="Arial"/>
        </w:rPr>
        <w:t>, por parte de la Ha</w:t>
      </w:r>
      <w:r w:rsidRPr="00A977E8">
        <w:rPr>
          <w:rFonts w:ascii="Arial" w:hAnsi="Arial" w:cs="Arial"/>
        </w:rPr>
        <w:t>cienda Tributaria de Navarra (HTN en ad</w:t>
      </w:r>
      <w:r w:rsidRPr="00A977E8">
        <w:rPr>
          <w:rFonts w:ascii="Arial" w:hAnsi="Arial" w:cs="Arial"/>
        </w:rPr>
        <w:t>e</w:t>
      </w:r>
      <w:r w:rsidRPr="00A977E8">
        <w:rPr>
          <w:rFonts w:ascii="Arial" w:hAnsi="Arial" w:cs="Arial"/>
        </w:rPr>
        <w:t>lan</w:t>
      </w:r>
      <w:r>
        <w:rPr>
          <w:rFonts w:ascii="Arial" w:hAnsi="Arial" w:cs="Arial"/>
        </w:rPr>
        <w:t>te) procede formular las alega</w:t>
      </w:r>
      <w:r w:rsidRPr="00A977E8">
        <w:rPr>
          <w:rFonts w:ascii="Arial" w:hAnsi="Arial" w:cs="Arial"/>
        </w:rPr>
        <w:t>ciones que se indican a continuación:</w:t>
      </w:r>
    </w:p>
    <w:p w:rsidR="00C20C81" w:rsidRPr="00A977E8" w:rsidRDefault="00C20C81" w:rsidP="00C20C81">
      <w:pPr>
        <w:rPr>
          <w:rFonts w:ascii="Arial" w:hAnsi="Arial" w:cs="Arial"/>
        </w:rPr>
      </w:pPr>
      <w:r>
        <w:rPr>
          <w:rFonts w:ascii="Arial" w:hAnsi="Arial" w:cs="Arial"/>
        </w:rPr>
        <w:t xml:space="preserve">1. </w:t>
      </w:r>
      <w:r w:rsidRPr="00A977E8">
        <w:rPr>
          <w:rFonts w:ascii="Arial" w:hAnsi="Arial" w:cs="Arial"/>
        </w:rPr>
        <w:t>Con relación a la recomendación a la HTN de que atienda a los requerimientos de info</w:t>
      </w:r>
      <w:r w:rsidRPr="00A977E8">
        <w:rPr>
          <w:rFonts w:ascii="Arial" w:hAnsi="Arial" w:cs="Arial"/>
        </w:rPr>
        <w:t>r</w:t>
      </w:r>
      <w:r w:rsidRPr="00A977E8">
        <w:rPr>
          <w:rFonts w:ascii="Arial" w:hAnsi="Arial" w:cs="Arial"/>
        </w:rPr>
        <w:t>mación de la Cámara de Comptos</w:t>
      </w:r>
    </w:p>
    <w:p w:rsidR="00C20C81" w:rsidRPr="00A977E8" w:rsidRDefault="00C20C81" w:rsidP="00C20C81">
      <w:pPr>
        <w:rPr>
          <w:rFonts w:ascii="Arial" w:hAnsi="Arial" w:cs="Arial"/>
        </w:rPr>
      </w:pPr>
      <w:r w:rsidRPr="00A977E8">
        <w:rPr>
          <w:rFonts w:ascii="Arial" w:hAnsi="Arial" w:cs="Arial"/>
        </w:rPr>
        <w:t xml:space="preserve">El informe provisional recomienda a la HTN en la página 34 que atienda </w:t>
      </w:r>
      <w:r>
        <w:rPr>
          <w:rFonts w:ascii="Arial" w:hAnsi="Arial" w:cs="Arial"/>
        </w:rPr>
        <w:t>“</w:t>
      </w:r>
      <w:r w:rsidRPr="00A977E8">
        <w:rPr>
          <w:rFonts w:ascii="Arial" w:hAnsi="Arial" w:cs="Arial"/>
        </w:rPr>
        <w:t>los requerimientos de información que la Cámara de Comptos de Navarra solicita en ejercicio de sus funciones y p</w:t>
      </w:r>
      <w:r w:rsidRPr="00A977E8">
        <w:rPr>
          <w:rFonts w:ascii="Arial" w:hAnsi="Arial" w:cs="Arial"/>
        </w:rPr>
        <w:t>o</w:t>
      </w:r>
      <w:r w:rsidRPr="00A977E8">
        <w:rPr>
          <w:rFonts w:ascii="Arial" w:hAnsi="Arial" w:cs="Arial"/>
        </w:rPr>
        <w:t>testa</w:t>
      </w:r>
      <w:r>
        <w:rPr>
          <w:rFonts w:ascii="Arial" w:hAnsi="Arial" w:cs="Arial"/>
        </w:rPr>
        <w:t>des con el fin de que esta ins</w:t>
      </w:r>
      <w:r w:rsidRPr="00A977E8">
        <w:rPr>
          <w:rFonts w:ascii="Arial" w:hAnsi="Arial" w:cs="Arial"/>
        </w:rPr>
        <w:t>titución pueda</w:t>
      </w:r>
      <w:r>
        <w:rPr>
          <w:rFonts w:ascii="Arial" w:hAnsi="Arial" w:cs="Arial"/>
        </w:rPr>
        <w:t xml:space="preserve"> </w:t>
      </w:r>
      <w:r w:rsidRPr="00A977E8">
        <w:rPr>
          <w:rFonts w:ascii="Arial" w:hAnsi="Arial" w:cs="Arial"/>
        </w:rPr>
        <w:t>ejercer plenamente</w:t>
      </w:r>
      <w:r>
        <w:rPr>
          <w:rFonts w:ascii="Arial" w:hAnsi="Arial" w:cs="Arial"/>
        </w:rPr>
        <w:t xml:space="preserve"> </w:t>
      </w:r>
      <w:r w:rsidRPr="00A977E8">
        <w:rPr>
          <w:rFonts w:ascii="Arial" w:hAnsi="Arial" w:cs="Arial"/>
        </w:rPr>
        <w:t>su labor fiscalizadora</w:t>
      </w:r>
      <w:r>
        <w:rPr>
          <w:rFonts w:ascii="Arial" w:hAnsi="Arial" w:cs="Arial"/>
        </w:rPr>
        <w:t>”</w:t>
      </w:r>
      <w:r w:rsidRPr="00A977E8">
        <w:rPr>
          <w:rFonts w:ascii="Arial" w:hAnsi="Arial" w:cs="Arial"/>
        </w:rPr>
        <w:t>.</w:t>
      </w:r>
    </w:p>
    <w:p w:rsidR="00C20C81" w:rsidRPr="00A977E8" w:rsidRDefault="00C20C81" w:rsidP="00C20C81">
      <w:pPr>
        <w:rPr>
          <w:rFonts w:ascii="Arial" w:hAnsi="Arial" w:cs="Arial"/>
        </w:rPr>
      </w:pPr>
      <w:r w:rsidRPr="00A977E8">
        <w:rPr>
          <w:rFonts w:ascii="Arial" w:hAnsi="Arial" w:cs="Arial"/>
        </w:rPr>
        <w:t>A este respecto es necesario realizar la siguiente alegación:</w:t>
      </w:r>
    </w:p>
    <w:p w:rsidR="00C20C81" w:rsidRPr="00A977E8" w:rsidRDefault="00C20C81" w:rsidP="00C20C81">
      <w:pPr>
        <w:rPr>
          <w:rFonts w:ascii="Arial" w:hAnsi="Arial" w:cs="Arial"/>
        </w:rPr>
      </w:pPr>
      <w:r w:rsidRPr="00A977E8">
        <w:rPr>
          <w:rFonts w:ascii="Arial" w:hAnsi="Arial" w:cs="Arial"/>
        </w:rPr>
        <w:t>Por parte de la HTN se ha dado respuesta puntualmente, por escrito y motivadamente a c</w:t>
      </w:r>
      <w:r w:rsidRPr="00A977E8">
        <w:rPr>
          <w:rFonts w:ascii="Arial" w:hAnsi="Arial" w:cs="Arial"/>
        </w:rPr>
        <w:t>a</w:t>
      </w:r>
      <w:r w:rsidRPr="00A977E8">
        <w:rPr>
          <w:rFonts w:ascii="Arial" w:hAnsi="Arial" w:cs="Arial"/>
        </w:rPr>
        <w:t>da uno de los requerimientos, incluidos aquellos que se han realizado de manera informal, con la única salvedad del último que se recibió tan sólo cuatro días antes de la fecha del informe prov</w:t>
      </w:r>
      <w:r w:rsidRPr="00A977E8">
        <w:rPr>
          <w:rFonts w:ascii="Arial" w:hAnsi="Arial" w:cs="Arial"/>
        </w:rPr>
        <w:t>i</w:t>
      </w:r>
      <w:r w:rsidRPr="00A977E8">
        <w:rPr>
          <w:rFonts w:ascii="Arial" w:hAnsi="Arial" w:cs="Arial"/>
        </w:rPr>
        <w:t>sional y, por lo tanto, la respuesta está todavía tramitándose.</w:t>
      </w:r>
    </w:p>
    <w:p w:rsidR="00C20C81" w:rsidRPr="00A977E8" w:rsidRDefault="00C20C81" w:rsidP="00C20C81">
      <w:pPr>
        <w:rPr>
          <w:rFonts w:ascii="Arial" w:hAnsi="Arial" w:cs="Arial"/>
        </w:rPr>
      </w:pPr>
      <w:r w:rsidRPr="00A977E8">
        <w:rPr>
          <w:rFonts w:ascii="Arial" w:hAnsi="Arial" w:cs="Arial"/>
        </w:rPr>
        <w:t>A continuación se relacionan las solicitudes recibidas por parte de la Cámara de Comptos y la fecha en la que cada una de ellas fue atendida por parte de la HTN:</w:t>
      </w:r>
    </w:p>
    <w:p w:rsidR="00C20C81" w:rsidRPr="00A977E8" w:rsidRDefault="00C20C81" w:rsidP="00C20C81">
      <w:pPr>
        <w:rPr>
          <w:rFonts w:ascii="Arial" w:hAnsi="Arial" w:cs="Arial"/>
        </w:rPr>
      </w:pPr>
      <w:r w:rsidRPr="00A977E8">
        <w:rPr>
          <w:rFonts w:ascii="Arial" w:hAnsi="Arial" w:cs="Arial"/>
        </w:rPr>
        <w:lastRenderedPageBreak/>
        <w:t>•</w:t>
      </w:r>
      <w:r w:rsidRPr="00A977E8">
        <w:rPr>
          <w:rFonts w:ascii="Arial" w:hAnsi="Arial" w:cs="Arial"/>
        </w:rPr>
        <w:tab/>
        <w:t>El 18.12.2018. Un técnico informático de la Cámara de Comptos realiza una llamada tel</w:t>
      </w:r>
      <w:r w:rsidRPr="00A977E8">
        <w:rPr>
          <w:rFonts w:ascii="Arial" w:hAnsi="Arial" w:cs="Arial"/>
        </w:rPr>
        <w:t>e</w:t>
      </w:r>
      <w:r w:rsidRPr="00A977E8">
        <w:rPr>
          <w:rFonts w:ascii="Arial" w:hAnsi="Arial" w:cs="Arial"/>
        </w:rPr>
        <w:t>fónica y a continuación remite un correo electrónico para solicitar la remisión del fichero.</w:t>
      </w:r>
    </w:p>
    <w:p w:rsidR="00C20C81" w:rsidRPr="00A977E8" w:rsidRDefault="00C20C81" w:rsidP="00C20C81">
      <w:pPr>
        <w:rPr>
          <w:rFonts w:ascii="Arial" w:hAnsi="Arial" w:cs="Arial"/>
        </w:rPr>
      </w:pPr>
      <w:r w:rsidRPr="00A977E8">
        <w:rPr>
          <w:rFonts w:ascii="Arial" w:hAnsi="Arial" w:cs="Arial"/>
        </w:rPr>
        <w:t>La HTN contesta el día 19.12.2018 indicando que deben presentar una solicitud formal. En la contestación se adelantan algunas dudas sobre el encaje de la solicitud en el artículo 105.1 LFGT.</w:t>
      </w:r>
    </w:p>
    <w:p w:rsidR="00C20C81" w:rsidRPr="00A977E8" w:rsidRDefault="00C20C81" w:rsidP="00C20C81">
      <w:pPr>
        <w:rPr>
          <w:rFonts w:ascii="Arial" w:hAnsi="Arial" w:cs="Arial"/>
        </w:rPr>
      </w:pPr>
      <w:r w:rsidRPr="00A977E8">
        <w:rPr>
          <w:rFonts w:ascii="Arial" w:hAnsi="Arial" w:cs="Arial"/>
        </w:rPr>
        <w:t>•</w:t>
      </w:r>
      <w:r w:rsidRPr="00A977E8">
        <w:rPr>
          <w:rFonts w:ascii="Arial" w:hAnsi="Arial" w:cs="Arial"/>
        </w:rPr>
        <w:tab/>
        <w:t>El día 20.12.2018 el mismo técnico</w:t>
      </w:r>
      <w:r>
        <w:rPr>
          <w:rFonts w:ascii="Arial" w:hAnsi="Arial" w:cs="Arial"/>
        </w:rPr>
        <w:t xml:space="preserve"> escribe de nuevo un email para </w:t>
      </w:r>
      <w:r w:rsidRPr="00A977E8">
        <w:rPr>
          <w:rFonts w:ascii="Arial" w:hAnsi="Arial" w:cs="Arial"/>
        </w:rPr>
        <w:t>preguntar a través de qué medio remitir la solicitud.</w:t>
      </w:r>
    </w:p>
    <w:p w:rsidR="00C20C81" w:rsidRPr="00A977E8" w:rsidRDefault="00C20C81" w:rsidP="00C20C81">
      <w:pPr>
        <w:rPr>
          <w:rFonts w:ascii="Arial" w:hAnsi="Arial" w:cs="Arial"/>
        </w:rPr>
      </w:pPr>
      <w:r w:rsidRPr="00A977E8">
        <w:rPr>
          <w:rFonts w:ascii="Arial" w:hAnsi="Arial" w:cs="Arial"/>
        </w:rPr>
        <w:t>Ese mismo día desde HTN se da respuesta remitiendo a una presentación vía registro.</w:t>
      </w:r>
    </w:p>
    <w:p w:rsidR="00C20C81" w:rsidRPr="00A977E8" w:rsidRDefault="00C20C81" w:rsidP="00C20C81">
      <w:pPr>
        <w:rPr>
          <w:rFonts w:ascii="Arial" w:hAnsi="Arial" w:cs="Arial"/>
        </w:rPr>
      </w:pPr>
      <w:r w:rsidRPr="00A977E8">
        <w:rPr>
          <w:rFonts w:ascii="Arial" w:hAnsi="Arial" w:cs="Arial"/>
        </w:rPr>
        <w:t>•</w:t>
      </w:r>
      <w:r w:rsidRPr="00A977E8">
        <w:rPr>
          <w:rFonts w:ascii="Arial" w:hAnsi="Arial" w:cs="Arial"/>
        </w:rPr>
        <w:tab/>
        <w:t>El día 21.12.2018 la Cámara de Comptos realiza una nueva solicitud a través de una apl</w:t>
      </w:r>
      <w:r w:rsidRPr="00A977E8">
        <w:rPr>
          <w:rFonts w:ascii="Arial" w:hAnsi="Arial" w:cs="Arial"/>
        </w:rPr>
        <w:t>i</w:t>
      </w:r>
      <w:r w:rsidRPr="00A977E8">
        <w:rPr>
          <w:rFonts w:ascii="Arial" w:hAnsi="Arial" w:cs="Arial"/>
        </w:rPr>
        <w:t>cación que HTN pone a su disposición para la gestión de sus usuarios y permisos en los sistemas de información de Hacienda.</w:t>
      </w:r>
    </w:p>
    <w:p w:rsidR="00C20C81" w:rsidRPr="00A977E8" w:rsidRDefault="00C20C81" w:rsidP="00C20C81">
      <w:pPr>
        <w:rPr>
          <w:rFonts w:ascii="Arial" w:hAnsi="Arial" w:cs="Arial"/>
        </w:rPr>
      </w:pPr>
      <w:r w:rsidRPr="00A977E8">
        <w:rPr>
          <w:rFonts w:ascii="Arial" w:hAnsi="Arial" w:cs="Arial"/>
        </w:rPr>
        <w:t>El día siguiente, el 22.12.2018, a la vista de la solicitud y de que no se ha presentado solic</w:t>
      </w:r>
      <w:r w:rsidRPr="00A977E8">
        <w:rPr>
          <w:rFonts w:ascii="Arial" w:hAnsi="Arial" w:cs="Arial"/>
        </w:rPr>
        <w:t>i</w:t>
      </w:r>
      <w:r w:rsidRPr="00A977E8">
        <w:rPr>
          <w:rFonts w:ascii="Arial" w:hAnsi="Arial" w:cs="Arial"/>
        </w:rPr>
        <w:t>tud formal como se indicó, se co</w:t>
      </w:r>
      <w:r>
        <w:rPr>
          <w:rFonts w:ascii="Arial" w:hAnsi="Arial" w:cs="Arial"/>
        </w:rPr>
        <w:t>ntesta por correo electrónico.</w:t>
      </w:r>
    </w:p>
    <w:p w:rsidR="00C20C81" w:rsidRPr="00A977E8" w:rsidRDefault="00C20C81" w:rsidP="00C20C81">
      <w:pPr>
        <w:rPr>
          <w:rFonts w:ascii="Arial" w:hAnsi="Arial" w:cs="Arial"/>
        </w:rPr>
      </w:pPr>
      <w:r w:rsidRPr="00A977E8">
        <w:rPr>
          <w:rFonts w:ascii="Arial" w:hAnsi="Arial" w:cs="Arial"/>
        </w:rPr>
        <w:t>•</w:t>
      </w:r>
      <w:r w:rsidRPr="00A977E8">
        <w:rPr>
          <w:rFonts w:ascii="Arial" w:hAnsi="Arial" w:cs="Arial"/>
        </w:rPr>
        <w:tab/>
        <w:t>El día 24.12.2018 la Cámara de Comptos contacta por email con el Director Gerente de HTN solicitando que se ceda el fichero. La Dirección Gerencia lo traslada al Director del Servicio de Desarrollo Normativo y Asesoramiento Jurídico y al Director del Servicio de Sistemas de Info</w:t>
      </w:r>
      <w:r w:rsidRPr="00A977E8">
        <w:rPr>
          <w:rFonts w:ascii="Arial" w:hAnsi="Arial" w:cs="Arial"/>
        </w:rPr>
        <w:t>r</w:t>
      </w:r>
      <w:r w:rsidRPr="00A977E8">
        <w:rPr>
          <w:rFonts w:ascii="Arial" w:hAnsi="Arial" w:cs="Arial"/>
        </w:rPr>
        <w:t>mación Tributaria, y este a su vez al Jefe de la Sección de Impulso de Proyectos, Mejora de Pr</w:t>
      </w:r>
      <w:r w:rsidRPr="00A977E8">
        <w:rPr>
          <w:rFonts w:ascii="Arial" w:hAnsi="Arial" w:cs="Arial"/>
        </w:rPr>
        <w:t>o</w:t>
      </w:r>
      <w:r w:rsidRPr="00A977E8">
        <w:rPr>
          <w:rFonts w:ascii="Arial" w:hAnsi="Arial" w:cs="Arial"/>
        </w:rPr>
        <w:t>cedimientos y Seguridad, que desempeña el cargo de Responsable de Seguridad en HTN.</w:t>
      </w:r>
    </w:p>
    <w:p w:rsidR="00C20C81" w:rsidRPr="00A977E8" w:rsidRDefault="00C20C81" w:rsidP="00C20C81">
      <w:pPr>
        <w:rPr>
          <w:rFonts w:ascii="Arial" w:hAnsi="Arial" w:cs="Arial"/>
        </w:rPr>
      </w:pPr>
      <w:r w:rsidRPr="00A977E8">
        <w:rPr>
          <w:rFonts w:ascii="Arial" w:hAnsi="Arial" w:cs="Arial"/>
        </w:rPr>
        <w:t>El día 27.12.2018 la HTN contesta por email a la Cámara de Comptos en el sentido de co</w:t>
      </w:r>
      <w:r w:rsidRPr="00A977E8">
        <w:rPr>
          <w:rFonts w:ascii="Arial" w:hAnsi="Arial" w:cs="Arial"/>
        </w:rPr>
        <w:t>n</w:t>
      </w:r>
      <w:r w:rsidRPr="00A977E8">
        <w:rPr>
          <w:rFonts w:ascii="Arial" w:hAnsi="Arial" w:cs="Arial"/>
        </w:rPr>
        <w:t>siderar que la cesión no está legalmente habilitada.</w:t>
      </w:r>
    </w:p>
    <w:p w:rsidR="00C20C81" w:rsidRPr="00A977E8" w:rsidRDefault="00C20C81" w:rsidP="00C20C81">
      <w:pPr>
        <w:rPr>
          <w:rFonts w:ascii="Arial" w:hAnsi="Arial" w:cs="Arial"/>
        </w:rPr>
      </w:pPr>
      <w:r w:rsidRPr="00A977E8">
        <w:rPr>
          <w:rFonts w:ascii="Arial" w:hAnsi="Arial" w:cs="Arial"/>
        </w:rPr>
        <w:t>•</w:t>
      </w:r>
      <w:r w:rsidRPr="00A977E8">
        <w:rPr>
          <w:rFonts w:ascii="Arial" w:hAnsi="Arial" w:cs="Arial"/>
        </w:rPr>
        <w:tab/>
        <w:t>La Cámara de Comptos solicita una reunión para tratar la denegación de la cesión de d</w:t>
      </w:r>
      <w:r w:rsidRPr="00A977E8">
        <w:rPr>
          <w:rFonts w:ascii="Arial" w:hAnsi="Arial" w:cs="Arial"/>
        </w:rPr>
        <w:t>a</w:t>
      </w:r>
      <w:r w:rsidRPr="00A977E8">
        <w:rPr>
          <w:rFonts w:ascii="Arial" w:hAnsi="Arial" w:cs="Arial"/>
        </w:rPr>
        <w:t>tos pretendida. La HTN atiende a la solicitud, celebrándose la reunión el día 10.01.2019. A la reunión asisten, por parte de la Cámara de Comptos: el Secretario General, un Técnico superior en sistemas informáticos y la Auditora líder del trabajo concreto; y por parte de Hacienda Tributaria de Navarra: el Director del Servicio de Desarrollo Normativo y Asesoramiento Jurídico, el Director del Servicio de Sistemas de Información Tributarios y la Jefa de la Sección de Asesoramiento, D</w:t>
      </w:r>
      <w:r w:rsidRPr="00A977E8">
        <w:rPr>
          <w:rFonts w:ascii="Arial" w:hAnsi="Arial" w:cs="Arial"/>
        </w:rPr>
        <w:t>o</w:t>
      </w:r>
      <w:r w:rsidRPr="00A977E8">
        <w:rPr>
          <w:rFonts w:ascii="Arial" w:hAnsi="Arial" w:cs="Arial"/>
        </w:rPr>
        <w:t>cumentación y Difusión Tributaria.</w:t>
      </w:r>
    </w:p>
    <w:p w:rsidR="00C20C81" w:rsidRPr="00A977E8" w:rsidRDefault="00C20C81" w:rsidP="00C20C81">
      <w:pPr>
        <w:rPr>
          <w:rFonts w:ascii="Arial" w:hAnsi="Arial" w:cs="Arial"/>
        </w:rPr>
      </w:pPr>
      <w:r w:rsidRPr="00A977E8">
        <w:rPr>
          <w:rFonts w:ascii="Arial" w:hAnsi="Arial" w:cs="Arial"/>
        </w:rPr>
        <w:t>En la reunión, la HTN reitera el criterio jurídico expresado con anterioridad y se traslada la necesidad de que para reconsiderar el criterio se reciba una solicitud formal motivada y que tenga en cuenta las restricciones impuestas por la Ley Foral General Tributaria.</w:t>
      </w:r>
    </w:p>
    <w:p w:rsidR="00C20C81" w:rsidRPr="00A977E8" w:rsidRDefault="00C20C81" w:rsidP="00C20C81">
      <w:pPr>
        <w:rPr>
          <w:rFonts w:ascii="Arial" w:hAnsi="Arial" w:cs="Arial"/>
        </w:rPr>
      </w:pPr>
      <w:r w:rsidRPr="00A977E8">
        <w:rPr>
          <w:rFonts w:ascii="Arial" w:hAnsi="Arial" w:cs="Arial"/>
        </w:rPr>
        <w:t>•</w:t>
      </w:r>
      <w:r w:rsidRPr="00A977E8">
        <w:rPr>
          <w:rFonts w:ascii="Arial" w:hAnsi="Arial" w:cs="Arial"/>
        </w:rPr>
        <w:tab/>
        <w:t>El día 14.01.2019. La Auditora remit</w:t>
      </w:r>
      <w:r>
        <w:rPr>
          <w:rFonts w:ascii="Arial" w:hAnsi="Arial" w:cs="Arial"/>
        </w:rPr>
        <w:t>e por correo electrónico al Jef</w:t>
      </w:r>
      <w:r w:rsidRPr="00A977E8">
        <w:rPr>
          <w:rFonts w:ascii="Arial" w:hAnsi="Arial" w:cs="Arial"/>
        </w:rPr>
        <w:t>e de la Sección de I</w:t>
      </w:r>
      <w:r w:rsidRPr="00A977E8">
        <w:rPr>
          <w:rFonts w:ascii="Arial" w:hAnsi="Arial" w:cs="Arial"/>
        </w:rPr>
        <w:t>m</w:t>
      </w:r>
      <w:r w:rsidRPr="00A977E8">
        <w:rPr>
          <w:rFonts w:ascii="Arial" w:hAnsi="Arial" w:cs="Arial"/>
        </w:rPr>
        <w:t>pulso de proyectos, Mejora de procedimientos y Seguridad un escrito reiterando la solicitud, que no se acompaña de un informe jurídico.</w:t>
      </w:r>
    </w:p>
    <w:p w:rsidR="00C20C81" w:rsidRPr="00A977E8" w:rsidRDefault="00C20C81" w:rsidP="00C20C81">
      <w:pPr>
        <w:rPr>
          <w:rFonts w:ascii="Arial" w:hAnsi="Arial" w:cs="Arial"/>
        </w:rPr>
      </w:pPr>
      <w:r w:rsidRPr="00A977E8">
        <w:rPr>
          <w:rFonts w:ascii="Arial" w:hAnsi="Arial" w:cs="Arial"/>
        </w:rPr>
        <w:t>El día 30.01.2019 la HTN remite a la Cámara de Comptos un informe sobre la cesión a la vista del último escrito en el que se concluye que la cesión no está habilitada legalmente.</w:t>
      </w:r>
    </w:p>
    <w:p w:rsidR="00C20C81" w:rsidRPr="00A977E8" w:rsidRDefault="00C20C81" w:rsidP="00C20C81">
      <w:pPr>
        <w:rPr>
          <w:rFonts w:ascii="Arial" w:hAnsi="Arial" w:cs="Arial"/>
        </w:rPr>
      </w:pPr>
      <w:r w:rsidRPr="00A977E8">
        <w:rPr>
          <w:rFonts w:ascii="Arial" w:hAnsi="Arial" w:cs="Arial"/>
        </w:rPr>
        <w:t>Asimismo se remite igualmente un documento en el que se explican las reglas y criterios en los que se basa la elaboración del fichero.</w:t>
      </w:r>
    </w:p>
    <w:p w:rsidR="00C20C81" w:rsidRPr="00A977E8" w:rsidRDefault="00C20C81" w:rsidP="00C20C81">
      <w:pPr>
        <w:rPr>
          <w:rFonts w:ascii="Arial" w:hAnsi="Arial" w:cs="Arial"/>
        </w:rPr>
      </w:pPr>
      <w:r w:rsidRPr="00A977E8">
        <w:rPr>
          <w:rFonts w:ascii="Arial" w:hAnsi="Arial" w:cs="Arial"/>
        </w:rPr>
        <w:t>•</w:t>
      </w:r>
      <w:r w:rsidRPr="00A977E8">
        <w:rPr>
          <w:rFonts w:ascii="Arial" w:hAnsi="Arial" w:cs="Arial"/>
        </w:rPr>
        <w:tab/>
        <w:t>El día 18.03.2019 se recibe en HTN un requerimiento de la Cámara de Comptos fechado el día 15.03.2019. El requerimiento viene acompañado del informe jurídico al que hace referencia el informe provisional en su página 12.</w:t>
      </w:r>
    </w:p>
    <w:p w:rsidR="00C20C81" w:rsidRPr="00A977E8" w:rsidRDefault="00C20C81" w:rsidP="00C20C81">
      <w:pPr>
        <w:rPr>
          <w:rFonts w:ascii="Arial" w:hAnsi="Arial" w:cs="Arial"/>
        </w:rPr>
      </w:pPr>
      <w:r w:rsidRPr="00A977E8">
        <w:rPr>
          <w:rFonts w:ascii="Arial" w:hAnsi="Arial" w:cs="Arial"/>
        </w:rPr>
        <w:t>A la fecha del presente escrito la respuesta al requerimiento está todavía en tramitación.</w:t>
      </w:r>
    </w:p>
    <w:p w:rsidR="00C20C81" w:rsidRPr="00A977E8" w:rsidRDefault="00C20C81" w:rsidP="00C20C81">
      <w:pPr>
        <w:rPr>
          <w:rFonts w:ascii="Arial" w:hAnsi="Arial" w:cs="Arial"/>
        </w:rPr>
      </w:pPr>
      <w:r w:rsidRPr="00A977E8">
        <w:rPr>
          <w:rFonts w:ascii="Arial" w:hAnsi="Arial" w:cs="Arial"/>
        </w:rPr>
        <w:t>2.</w:t>
      </w:r>
      <w:r w:rsidRPr="00A977E8">
        <w:rPr>
          <w:rFonts w:ascii="Arial" w:hAnsi="Arial" w:cs="Arial"/>
        </w:rPr>
        <w:tab/>
        <w:t>Con relación a la consideración de que la HTN se ha negado a colaborar con la Cámara de Comptos</w:t>
      </w:r>
    </w:p>
    <w:p w:rsidR="00C20C81" w:rsidRPr="00A977E8" w:rsidRDefault="00C20C81" w:rsidP="00C20C81">
      <w:pPr>
        <w:rPr>
          <w:rFonts w:ascii="Arial" w:hAnsi="Arial" w:cs="Arial"/>
        </w:rPr>
      </w:pPr>
      <w:r w:rsidRPr="00A977E8">
        <w:rPr>
          <w:rFonts w:ascii="Arial" w:hAnsi="Arial" w:cs="Arial"/>
        </w:rPr>
        <w:t>El informe provisional afirma lo siguiente en la página 13:</w:t>
      </w:r>
    </w:p>
    <w:p w:rsidR="00C20C81" w:rsidRPr="00A977E8" w:rsidRDefault="00C20C81" w:rsidP="00C20C81">
      <w:pPr>
        <w:rPr>
          <w:rFonts w:ascii="Arial" w:hAnsi="Arial" w:cs="Arial"/>
        </w:rPr>
      </w:pPr>
      <w:r>
        <w:rPr>
          <w:rFonts w:ascii="Arial" w:hAnsi="Arial" w:cs="Arial"/>
        </w:rPr>
        <w:t>“</w:t>
      </w:r>
      <w:r w:rsidRPr="00A977E8">
        <w:rPr>
          <w:rFonts w:ascii="Arial" w:hAnsi="Arial" w:cs="Arial"/>
        </w:rPr>
        <w:t>En definitiva, entendemos</w:t>
      </w:r>
      <w:r>
        <w:rPr>
          <w:rFonts w:ascii="Arial" w:hAnsi="Arial" w:cs="Arial"/>
        </w:rPr>
        <w:t xml:space="preserve"> </w:t>
      </w:r>
      <w:r w:rsidRPr="00A977E8">
        <w:rPr>
          <w:rFonts w:ascii="Arial" w:hAnsi="Arial" w:cs="Arial"/>
        </w:rPr>
        <w:t>que la negativa</w:t>
      </w:r>
      <w:r>
        <w:rPr>
          <w:rFonts w:ascii="Arial" w:hAnsi="Arial" w:cs="Arial"/>
        </w:rPr>
        <w:t xml:space="preserve"> </w:t>
      </w:r>
      <w:r w:rsidRPr="00A977E8">
        <w:rPr>
          <w:rFonts w:ascii="Arial" w:hAnsi="Arial" w:cs="Arial"/>
        </w:rPr>
        <w:t>de la HTN</w:t>
      </w:r>
      <w:r>
        <w:rPr>
          <w:rFonts w:ascii="Arial" w:hAnsi="Arial" w:cs="Arial"/>
        </w:rPr>
        <w:t xml:space="preserve"> </w:t>
      </w:r>
      <w:r w:rsidRPr="00A977E8">
        <w:rPr>
          <w:rFonts w:ascii="Arial" w:hAnsi="Arial" w:cs="Arial"/>
        </w:rPr>
        <w:t>a colaborar con la Cámara de Co</w:t>
      </w:r>
      <w:r w:rsidRPr="00A977E8">
        <w:rPr>
          <w:rFonts w:ascii="Arial" w:hAnsi="Arial" w:cs="Arial"/>
        </w:rPr>
        <w:t>m</w:t>
      </w:r>
      <w:r w:rsidRPr="00A977E8">
        <w:rPr>
          <w:rFonts w:ascii="Arial" w:hAnsi="Arial" w:cs="Arial"/>
        </w:rPr>
        <w:t>ptos en la presente fiscalización no se ajusta a la normativa</w:t>
      </w:r>
      <w:r>
        <w:rPr>
          <w:rFonts w:ascii="Arial" w:hAnsi="Arial" w:cs="Arial"/>
        </w:rPr>
        <w:t xml:space="preserve"> </w:t>
      </w:r>
      <w:r w:rsidRPr="00A977E8">
        <w:rPr>
          <w:rFonts w:ascii="Arial" w:hAnsi="Arial" w:cs="Arial"/>
        </w:rPr>
        <w:t>aplicable</w:t>
      </w:r>
      <w:r>
        <w:rPr>
          <w:rFonts w:ascii="Arial" w:hAnsi="Arial" w:cs="Arial"/>
        </w:rPr>
        <w:t>”</w:t>
      </w:r>
      <w:r w:rsidRPr="00A977E8">
        <w:rPr>
          <w:rFonts w:ascii="Arial" w:hAnsi="Arial" w:cs="Arial"/>
        </w:rPr>
        <w:t>.</w:t>
      </w:r>
    </w:p>
    <w:p w:rsidR="00C20C81" w:rsidRPr="00A977E8" w:rsidRDefault="00C20C81" w:rsidP="00C20C81">
      <w:pPr>
        <w:rPr>
          <w:rFonts w:ascii="Arial" w:hAnsi="Arial" w:cs="Arial"/>
        </w:rPr>
      </w:pPr>
      <w:r w:rsidRPr="00A977E8">
        <w:rPr>
          <w:rFonts w:ascii="Arial" w:hAnsi="Arial" w:cs="Arial"/>
        </w:rPr>
        <w:lastRenderedPageBreak/>
        <w:t>Consideramos injustificada la apreciación de que la HTN se ha negado a colaborar con la Cámara de Comptos, por los siguientes motivos:</w:t>
      </w:r>
    </w:p>
    <w:p w:rsidR="00C20C81" w:rsidRPr="00A977E8" w:rsidRDefault="00C20C81" w:rsidP="00C20C81">
      <w:pPr>
        <w:rPr>
          <w:rFonts w:ascii="Arial" w:hAnsi="Arial" w:cs="Arial"/>
        </w:rPr>
      </w:pPr>
      <w:r w:rsidRPr="00A977E8">
        <w:rPr>
          <w:rFonts w:ascii="Arial" w:hAnsi="Arial" w:cs="Arial"/>
        </w:rPr>
        <w:t>•</w:t>
      </w:r>
      <w:r w:rsidRPr="00A977E8">
        <w:rPr>
          <w:rFonts w:ascii="Arial" w:hAnsi="Arial" w:cs="Arial"/>
        </w:rPr>
        <w:tab/>
        <w:t>La denegación de una concreta cesión de datos no implica la negativa a colaborar. La d</w:t>
      </w:r>
      <w:r w:rsidRPr="00A977E8">
        <w:rPr>
          <w:rFonts w:ascii="Arial" w:hAnsi="Arial" w:cs="Arial"/>
        </w:rPr>
        <w:t>e</w:t>
      </w:r>
      <w:r w:rsidRPr="00A977E8">
        <w:rPr>
          <w:rFonts w:ascii="Arial" w:hAnsi="Arial" w:cs="Arial"/>
        </w:rPr>
        <w:t>negación ha sido fundamentada en la limitación impuesta por el legislador en el artículo 105 de la Ley Foral General Tributaria.</w:t>
      </w:r>
    </w:p>
    <w:p w:rsidR="00C20C81" w:rsidRPr="00A977E8" w:rsidRDefault="00C20C81" w:rsidP="00C20C81">
      <w:pPr>
        <w:rPr>
          <w:rFonts w:ascii="Arial" w:hAnsi="Arial" w:cs="Arial"/>
        </w:rPr>
      </w:pPr>
      <w:r w:rsidRPr="00A977E8">
        <w:rPr>
          <w:rFonts w:ascii="Arial" w:hAnsi="Arial" w:cs="Arial"/>
        </w:rPr>
        <w:t>•</w:t>
      </w:r>
      <w:r w:rsidRPr="00A977E8">
        <w:rPr>
          <w:rFonts w:ascii="Arial" w:hAnsi="Arial" w:cs="Arial"/>
        </w:rPr>
        <w:tab/>
        <w:t>La HTN ha remitido a la Cámara de Comptos para facilitar su labor fiscalizadora otra i</w:t>
      </w:r>
      <w:r w:rsidRPr="00A977E8">
        <w:rPr>
          <w:rFonts w:ascii="Arial" w:hAnsi="Arial" w:cs="Arial"/>
        </w:rPr>
        <w:t>n</w:t>
      </w:r>
      <w:r w:rsidRPr="00A977E8">
        <w:rPr>
          <w:rFonts w:ascii="Arial" w:hAnsi="Arial" w:cs="Arial"/>
        </w:rPr>
        <w:t>formación que permite auditar de forma exhaustiva la actuación de HTN sin que le afecte la di</w:t>
      </w:r>
      <w:r w:rsidRPr="00A977E8">
        <w:rPr>
          <w:rFonts w:ascii="Arial" w:hAnsi="Arial" w:cs="Arial"/>
        </w:rPr>
        <w:t>s</w:t>
      </w:r>
      <w:r w:rsidRPr="00A977E8">
        <w:rPr>
          <w:rFonts w:ascii="Arial" w:hAnsi="Arial" w:cs="Arial"/>
        </w:rPr>
        <w:t>crepancia interpretativa del artículo 105 de la Ley Foral General Tributaria.</w:t>
      </w:r>
    </w:p>
    <w:p w:rsidR="00C20C81" w:rsidRPr="00A977E8" w:rsidRDefault="00C20C81" w:rsidP="00C20C81">
      <w:pPr>
        <w:rPr>
          <w:rFonts w:ascii="Arial" w:hAnsi="Arial" w:cs="Arial"/>
        </w:rPr>
      </w:pPr>
      <w:r w:rsidRPr="00A977E8">
        <w:rPr>
          <w:rFonts w:ascii="Arial" w:hAnsi="Arial" w:cs="Arial"/>
        </w:rPr>
        <w:t>En concreto, la HTN remitió a la Cámara de Comptos con fecha 30.01.2019 un documento en el que se explican las reglas y criterios en los que se basa la elaboración del fichero, acomp</w:t>
      </w:r>
      <w:r w:rsidRPr="00A977E8">
        <w:rPr>
          <w:rFonts w:ascii="Arial" w:hAnsi="Arial" w:cs="Arial"/>
        </w:rPr>
        <w:t>a</w:t>
      </w:r>
      <w:r w:rsidRPr="00A977E8">
        <w:rPr>
          <w:rFonts w:ascii="Arial" w:hAnsi="Arial" w:cs="Arial"/>
        </w:rPr>
        <w:t>ñado de un anexo que contenía el código fuente íntegro del programa que aplica las reglas y o</w:t>
      </w:r>
      <w:r w:rsidRPr="00A977E8">
        <w:rPr>
          <w:rFonts w:ascii="Arial" w:hAnsi="Arial" w:cs="Arial"/>
        </w:rPr>
        <w:t>b</w:t>
      </w:r>
      <w:r w:rsidRPr="00A977E8">
        <w:rPr>
          <w:rFonts w:ascii="Arial" w:hAnsi="Arial" w:cs="Arial"/>
        </w:rPr>
        <w:t>tiene los datos de manera automática.</w:t>
      </w:r>
    </w:p>
    <w:p w:rsidR="00C20C81" w:rsidRPr="00A977E8" w:rsidRDefault="00C20C81" w:rsidP="00C20C81">
      <w:pPr>
        <w:rPr>
          <w:rFonts w:ascii="Arial" w:hAnsi="Arial" w:cs="Arial"/>
        </w:rPr>
      </w:pPr>
      <w:r w:rsidRPr="00A977E8">
        <w:rPr>
          <w:rFonts w:ascii="Arial" w:hAnsi="Arial" w:cs="Arial"/>
        </w:rPr>
        <w:t>La remisión de este documento se hizo precisamente con afán de colaboración y en ate</w:t>
      </w:r>
      <w:r w:rsidRPr="00A977E8">
        <w:rPr>
          <w:rFonts w:ascii="Arial" w:hAnsi="Arial" w:cs="Arial"/>
        </w:rPr>
        <w:t>n</w:t>
      </w:r>
      <w:r w:rsidRPr="00A977E8">
        <w:rPr>
          <w:rFonts w:ascii="Arial" w:hAnsi="Arial" w:cs="Arial"/>
        </w:rPr>
        <w:t xml:space="preserve">ción al principio de lealtad institucional recogido en el entonces vigente artículo 3.2 k) de la </w:t>
      </w:r>
      <w:r>
        <w:rPr>
          <w:rFonts w:ascii="Arial" w:hAnsi="Arial" w:cs="Arial"/>
        </w:rPr>
        <w:t>Ley Foral 15/2004, actual artí</w:t>
      </w:r>
      <w:r w:rsidRPr="00A977E8">
        <w:rPr>
          <w:rFonts w:ascii="Arial" w:hAnsi="Arial" w:cs="Arial"/>
        </w:rPr>
        <w:t>culo 6.2 i) de la Ley Foral 11/2019.</w:t>
      </w:r>
    </w:p>
    <w:p w:rsidR="00C20C81" w:rsidRPr="00A977E8" w:rsidRDefault="00C20C81" w:rsidP="00C20C81">
      <w:pPr>
        <w:rPr>
          <w:rFonts w:ascii="Arial" w:hAnsi="Arial" w:cs="Arial"/>
        </w:rPr>
      </w:pPr>
      <w:r w:rsidRPr="00A977E8">
        <w:rPr>
          <w:rFonts w:ascii="Arial" w:hAnsi="Arial" w:cs="Arial"/>
        </w:rPr>
        <w:t>Por otro lado, respecto a esta afirmación del informe provisional en su página 17:</w:t>
      </w:r>
    </w:p>
    <w:p w:rsidR="00C20C81" w:rsidRPr="00A977E8" w:rsidRDefault="00C20C81" w:rsidP="00C20C81">
      <w:pPr>
        <w:rPr>
          <w:rFonts w:ascii="Arial" w:hAnsi="Arial" w:cs="Arial"/>
        </w:rPr>
      </w:pPr>
      <w:r>
        <w:rPr>
          <w:rFonts w:ascii="Arial" w:hAnsi="Arial" w:cs="Arial"/>
        </w:rPr>
        <w:t>“</w:t>
      </w:r>
      <w:r w:rsidRPr="00A977E8">
        <w:rPr>
          <w:rFonts w:ascii="Arial" w:hAnsi="Arial" w:cs="Arial"/>
        </w:rPr>
        <w:t>Fundamento de abstención de opinión financiera</w:t>
      </w:r>
    </w:p>
    <w:p w:rsidR="00C20C81" w:rsidRPr="00A977E8" w:rsidRDefault="00C20C81" w:rsidP="00C20C81">
      <w:pPr>
        <w:rPr>
          <w:rFonts w:ascii="Arial" w:hAnsi="Arial" w:cs="Arial"/>
        </w:rPr>
      </w:pPr>
      <w:r>
        <w:rPr>
          <w:rFonts w:ascii="Arial" w:hAnsi="Arial" w:cs="Arial"/>
        </w:rPr>
        <w:t>“[.</w:t>
      </w:r>
      <w:r w:rsidRPr="00A977E8">
        <w:rPr>
          <w:rFonts w:ascii="Arial" w:hAnsi="Arial" w:cs="Arial"/>
        </w:rPr>
        <w:t>..] no hemos tenido acceso al fichero que remite la HTN al INSS, lo que nos ha impedido comprobar si los porcentajes de aportación de los ciudadanos al pago de los medicamentos y pr</w:t>
      </w:r>
      <w:r w:rsidRPr="00A977E8">
        <w:rPr>
          <w:rFonts w:ascii="Arial" w:hAnsi="Arial" w:cs="Arial"/>
        </w:rPr>
        <w:t>o</w:t>
      </w:r>
      <w:r w:rsidRPr="00A977E8">
        <w:rPr>
          <w:rFonts w:ascii="Arial" w:hAnsi="Arial" w:cs="Arial"/>
        </w:rPr>
        <w:t>ductos sanitarios son los correctos, [...]</w:t>
      </w:r>
      <w:r>
        <w:rPr>
          <w:rFonts w:ascii="Arial" w:hAnsi="Arial" w:cs="Arial"/>
        </w:rPr>
        <w:t>”</w:t>
      </w:r>
      <w:r w:rsidRPr="00A977E8">
        <w:rPr>
          <w:rFonts w:ascii="Arial" w:hAnsi="Arial" w:cs="Arial"/>
        </w:rPr>
        <w:t>.</w:t>
      </w:r>
    </w:p>
    <w:p w:rsidR="00C20C81" w:rsidRPr="00A977E8" w:rsidRDefault="00C20C81" w:rsidP="00C20C81">
      <w:pPr>
        <w:rPr>
          <w:rFonts w:ascii="Arial" w:hAnsi="Arial" w:cs="Arial"/>
        </w:rPr>
      </w:pPr>
      <w:r w:rsidRPr="00A977E8">
        <w:rPr>
          <w:rFonts w:ascii="Arial" w:hAnsi="Arial" w:cs="Arial"/>
        </w:rPr>
        <w:t>El documento remitido por la HTN permite analizar el ajuste a Derecho de las reglas aplic</w:t>
      </w:r>
      <w:r w:rsidRPr="00A977E8">
        <w:rPr>
          <w:rFonts w:ascii="Arial" w:hAnsi="Arial" w:cs="Arial"/>
        </w:rPr>
        <w:t>a</w:t>
      </w:r>
      <w:r w:rsidRPr="00A977E8">
        <w:rPr>
          <w:rFonts w:ascii="Arial" w:hAnsi="Arial" w:cs="Arial"/>
        </w:rPr>
        <w:t>das y las técnicas fiscales necesarias para la homogeneización de las magnitudes y, por tanto, para la determinación del nivel de renta. Asimismo permitiría reproducir los cálculos en los casos concretos sobre los que la Cámara de Comptos tuviera sospechas de que el porcentaje de aport</w:t>
      </w:r>
      <w:r w:rsidRPr="00A977E8">
        <w:rPr>
          <w:rFonts w:ascii="Arial" w:hAnsi="Arial" w:cs="Arial"/>
        </w:rPr>
        <w:t>a</w:t>
      </w:r>
      <w:r w:rsidRPr="00A977E8">
        <w:rPr>
          <w:rFonts w:ascii="Arial" w:hAnsi="Arial" w:cs="Arial"/>
        </w:rPr>
        <w:t>ción no se ha calculado correctamente, a efectos de determinar si existe algún error en el cálculo.</w:t>
      </w:r>
    </w:p>
    <w:p w:rsidR="00C20C81" w:rsidRPr="00A977E8" w:rsidRDefault="00C20C81" w:rsidP="00C20C81">
      <w:pPr>
        <w:rPr>
          <w:rFonts w:ascii="Arial" w:hAnsi="Arial" w:cs="Arial"/>
        </w:rPr>
      </w:pPr>
      <w:r w:rsidRPr="00A977E8">
        <w:rPr>
          <w:rFonts w:ascii="Arial" w:hAnsi="Arial" w:cs="Arial"/>
        </w:rPr>
        <w:t xml:space="preserve">Por otra parte, este análisis no sería posible a partir del fichero que se </w:t>
      </w:r>
      <w:proofErr w:type="gramStart"/>
      <w:r w:rsidRPr="00A977E8">
        <w:rPr>
          <w:rFonts w:ascii="Arial" w:hAnsi="Arial" w:cs="Arial"/>
        </w:rPr>
        <w:t>remite</w:t>
      </w:r>
      <w:proofErr w:type="gramEnd"/>
      <w:r w:rsidRPr="00A977E8">
        <w:rPr>
          <w:rFonts w:ascii="Arial" w:hAnsi="Arial" w:cs="Arial"/>
        </w:rPr>
        <w:t xml:space="preserve"> al INSS y cuya cesión se pretendía. Conviene recordar además que la actuación de HTN se limita a determinar el nivel de renta, y no alcanza a la determinación del porcentaje de aportación, que </w:t>
      </w:r>
      <w:proofErr w:type="gramStart"/>
      <w:r w:rsidRPr="00A977E8">
        <w:rPr>
          <w:rFonts w:ascii="Arial" w:hAnsi="Arial" w:cs="Arial"/>
        </w:rPr>
        <w:t>corresponde</w:t>
      </w:r>
      <w:proofErr w:type="gramEnd"/>
      <w:r w:rsidRPr="00A977E8">
        <w:rPr>
          <w:rFonts w:ascii="Arial" w:hAnsi="Arial" w:cs="Arial"/>
        </w:rPr>
        <w:t xml:space="preserve"> al INSS y que, por tanto, está fuera del ámbito de actuación de la Cámara de Comptos.</w:t>
      </w:r>
    </w:p>
    <w:p w:rsidR="00C20C81" w:rsidRPr="00A977E8" w:rsidRDefault="00C20C81" w:rsidP="00C20C81">
      <w:pPr>
        <w:rPr>
          <w:rFonts w:ascii="Arial" w:hAnsi="Arial" w:cs="Arial"/>
        </w:rPr>
      </w:pPr>
      <w:r w:rsidRPr="00A977E8">
        <w:rPr>
          <w:rFonts w:ascii="Arial" w:hAnsi="Arial" w:cs="Arial"/>
        </w:rPr>
        <w:t>Por consiguiente, consideramos que la información que la HTN ha proporcionado a la C</w:t>
      </w:r>
      <w:r w:rsidRPr="00A977E8">
        <w:rPr>
          <w:rFonts w:ascii="Arial" w:hAnsi="Arial" w:cs="Arial"/>
        </w:rPr>
        <w:t>á</w:t>
      </w:r>
      <w:r w:rsidRPr="00A977E8">
        <w:rPr>
          <w:rFonts w:ascii="Arial" w:hAnsi="Arial" w:cs="Arial"/>
        </w:rPr>
        <w:t>mara de Comptos es de gran interés, pese a que su análisis no se haya recogido en el informe provisional.</w:t>
      </w:r>
    </w:p>
    <w:p w:rsidR="00C20C81" w:rsidRPr="00A977E8" w:rsidRDefault="00C20C81" w:rsidP="00C20C81">
      <w:pPr>
        <w:rPr>
          <w:rFonts w:ascii="Arial" w:hAnsi="Arial" w:cs="Arial"/>
        </w:rPr>
      </w:pPr>
      <w:r w:rsidRPr="00A977E8">
        <w:rPr>
          <w:rFonts w:ascii="Arial" w:hAnsi="Arial" w:cs="Arial"/>
        </w:rPr>
        <w:t>3.</w:t>
      </w:r>
      <w:r w:rsidRPr="00A977E8">
        <w:rPr>
          <w:rFonts w:ascii="Arial" w:hAnsi="Arial" w:cs="Arial"/>
        </w:rPr>
        <w:tab/>
        <w:t>Con relación a la afirmación de que no se ajusta a Derecho la denegación de la cesión de datos pretendida</w:t>
      </w:r>
    </w:p>
    <w:p w:rsidR="00C20C81" w:rsidRPr="00A977E8" w:rsidRDefault="00C20C81" w:rsidP="00C20C81">
      <w:pPr>
        <w:rPr>
          <w:rFonts w:ascii="Arial" w:hAnsi="Arial" w:cs="Arial"/>
        </w:rPr>
      </w:pPr>
      <w:r w:rsidRPr="00A977E8">
        <w:rPr>
          <w:rFonts w:ascii="Arial" w:hAnsi="Arial" w:cs="Arial"/>
        </w:rPr>
        <w:t>El informe provisional afirma lo siguiente en la página 13:</w:t>
      </w:r>
    </w:p>
    <w:p w:rsidR="00C20C81" w:rsidRPr="00A977E8" w:rsidRDefault="00C20C81" w:rsidP="00C20C81">
      <w:pPr>
        <w:rPr>
          <w:rFonts w:ascii="Arial" w:hAnsi="Arial" w:cs="Arial"/>
        </w:rPr>
      </w:pPr>
      <w:r>
        <w:rPr>
          <w:rFonts w:ascii="Arial" w:hAnsi="Arial" w:cs="Arial"/>
        </w:rPr>
        <w:t>“</w:t>
      </w:r>
      <w:r w:rsidRPr="00A977E8">
        <w:rPr>
          <w:rFonts w:ascii="Arial" w:hAnsi="Arial" w:cs="Arial"/>
        </w:rPr>
        <w:t>En definitiva, entendemos que la negativa de la HTN</w:t>
      </w:r>
      <w:r>
        <w:rPr>
          <w:rFonts w:ascii="Arial" w:hAnsi="Arial" w:cs="Arial"/>
        </w:rPr>
        <w:t xml:space="preserve"> </w:t>
      </w:r>
      <w:r w:rsidRPr="00A977E8">
        <w:rPr>
          <w:rFonts w:ascii="Arial" w:hAnsi="Arial" w:cs="Arial"/>
        </w:rPr>
        <w:t>a colaborar con la Cámara de Co</w:t>
      </w:r>
      <w:r w:rsidRPr="00A977E8">
        <w:rPr>
          <w:rFonts w:ascii="Arial" w:hAnsi="Arial" w:cs="Arial"/>
        </w:rPr>
        <w:t>m</w:t>
      </w:r>
      <w:r w:rsidRPr="00A977E8">
        <w:rPr>
          <w:rFonts w:ascii="Arial" w:hAnsi="Arial" w:cs="Arial"/>
        </w:rPr>
        <w:t>ptos en la presente fiscal</w:t>
      </w:r>
      <w:r>
        <w:rPr>
          <w:rFonts w:ascii="Arial" w:hAnsi="Arial" w:cs="Arial"/>
        </w:rPr>
        <w:t>ización no se ajusta a la norma</w:t>
      </w:r>
      <w:r w:rsidRPr="00A977E8">
        <w:rPr>
          <w:rFonts w:ascii="Arial" w:hAnsi="Arial" w:cs="Arial"/>
        </w:rPr>
        <w:t>tiva</w:t>
      </w:r>
      <w:r>
        <w:rPr>
          <w:rFonts w:ascii="Arial" w:hAnsi="Arial" w:cs="Arial"/>
        </w:rPr>
        <w:t xml:space="preserve"> </w:t>
      </w:r>
      <w:r w:rsidRPr="00A977E8">
        <w:rPr>
          <w:rFonts w:ascii="Arial" w:hAnsi="Arial" w:cs="Arial"/>
        </w:rPr>
        <w:t>aplicable</w:t>
      </w:r>
      <w:r>
        <w:rPr>
          <w:rFonts w:ascii="Arial" w:hAnsi="Arial" w:cs="Arial"/>
        </w:rPr>
        <w:t>”</w:t>
      </w:r>
      <w:r w:rsidRPr="00A977E8">
        <w:rPr>
          <w:rFonts w:ascii="Arial" w:hAnsi="Arial" w:cs="Arial"/>
        </w:rPr>
        <w:t>.</w:t>
      </w:r>
    </w:p>
    <w:p w:rsidR="00C20C81" w:rsidRPr="00A977E8" w:rsidRDefault="00C20C81" w:rsidP="00C20C81">
      <w:pPr>
        <w:rPr>
          <w:rFonts w:ascii="Arial" w:hAnsi="Arial" w:cs="Arial"/>
        </w:rPr>
      </w:pPr>
      <w:r w:rsidRPr="00A977E8">
        <w:rPr>
          <w:rFonts w:ascii="Arial" w:hAnsi="Arial" w:cs="Arial"/>
        </w:rPr>
        <w:t>A este respecto es necesario alegar que t</w:t>
      </w:r>
      <w:r>
        <w:rPr>
          <w:rFonts w:ascii="Arial" w:hAnsi="Arial" w:cs="Arial"/>
        </w:rPr>
        <w:t>odas las denegaciones de la ce</w:t>
      </w:r>
      <w:r w:rsidRPr="00A977E8">
        <w:rPr>
          <w:rFonts w:ascii="Arial" w:hAnsi="Arial" w:cs="Arial"/>
        </w:rPr>
        <w:t>sión han sido fu</w:t>
      </w:r>
      <w:r w:rsidRPr="00A977E8">
        <w:rPr>
          <w:rFonts w:ascii="Arial" w:hAnsi="Arial" w:cs="Arial"/>
        </w:rPr>
        <w:t>n</w:t>
      </w:r>
      <w:r w:rsidRPr="00A977E8">
        <w:rPr>
          <w:rFonts w:ascii="Arial" w:hAnsi="Arial" w:cs="Arial"/>
        </w:rPr>
        <w:t xml:space="preserve">damentadas conforme a Derecho y no han sido respondidas ni atacadas desde un punto de vista jurídico por la Cámara de Comptos hasta el informe que acompaña al requerimiento </w:t>
      </w:r>
      <w:r>
        <w:rPr>
          <w:rFonts w:ascii="Arial" w:hAnsi="Arial" w:cs="Arial"/>
        </w:rPr>
        <w:t>de fecha 15.03.2019 cuya resolu</w:t>
      </w:r>
      <w:r w:rsidRPr="00A977E8">
        <w:rPr>
          <w:rFonts w:ascii="Arial" w:hAnsi="Arial" w:cs="Arial"/>
        </w:rPr>
        <w:t>ción está pendiente.</w:t>
      </w:r>
    </w:p>
    <w:p w:rsidR="00C20C81" w:rsidRPr="00A977E8" w:rsidRDefault="00C20C81" w:rsidP="00C20C81">
      <w:pPr>
        <w:rPr>
          <w:rFonts w:ascii="Arial" w:hAnsi="Arial" w:cs="Arial"/>
        </w:rPr>
      </w:pPr>
      <w:r w:rsidRPr="00A977E8">
        <w:rPr>
          <w:rFonts w:ascii="Arial" w:hAnsi="Arial" w:cs="Arial"/>
        </w:rPr>
        <w:t>Por contra, desde HTN se considera que es precisamente la solicitud de la Cámara de Comptos, en los términos en los que se ha formulado, la que no encuentra encaje en el marco j</w:t>
      </w:r>
      <w:r w:rsidRPr="00A977E8">
        <w:rPr>
          <w:rFonts w:ascii="Arial" w:hAnsi="Arial" w:cs="Arial"/>
        </w:rPr>
        <w:t>u</w:t>
      </w:r>
      <w:r w:rsidRPr="00A977E8">
        <w:rPr>
          <w:rFonts w:ascii="Arial" w:hAnsi="Arial" w:cs="Arial"/>
        </w:rPr>
        <w:t>rídico aplicable.</w:t>
      </w:r>
    </w:p>
    <w:p w:rsidR="00C20C81" w:rsidRPr="00A977E8" w:rsidRDefault="00C20C81" w:rsidP="00C20C81">
      <w:pPr>
        <w:rPr>
          <w:rFonts w:ascii="Arial" w:hAnsi="Arial" w:cs="Arial"/>
        </w:rPr>
      </w:pPr>
      <w:r w:rsidRPr="00A977E8">
        <w:rPr>
          <w:rFonts w:ascii="Arial" w:hAnsi="Arial" w:cs="Arial"/>
        </w:rPr>
        <w:t>El Director del Servicio de Desarrollo Normativo y Asesoramiento</w:t>
      </w:r>
      <w:r>
        <w:rPr>
          <w:rFonts w:ascii="Arial" w:hAnsi="Arial" w:cs="Arial"/>
        </w:rPr>
        <w:t xml:space="preserve"> </w:t>
      </w:r>
      <w:r w:rsidRPr="00A977E8">
        <w:rPr>
          <w:rFonts w:ascii="Arial" w:hAnsi="Arial" w:cs="Arial"/>
        </w:rPr>
        <w:t>Jurídico</w:t>
      </w:r>
      <w:r>
        <w:rPr>
          <w:rFonts w:ascii="Arial" w:hAnsi="Arial" w:cs="Arial"/>
        </w:rPr>
        <w:t>, José</w:t>
      </w:r>
      <w:r w:rsidRPr="00A977E8">
        <w:rPr>
          <w:rFonts w:ascii="Arial" w:hAnsi="Arial" w:cs="Arial"/>
        </w:rPr>
        <w:t xml:space="preserve"> Javier</w:t>
      </w:r>
      <w:r>
        <w:rPr>
          <w:rFonts w:ascii="Arial" w:hAnsi="Arial" w:cs="Arial"/>
        </w:rPr>
        <w:t xml:space="preserve"> Z</w:t>
      </w:r>
      <w:r>
        <w:rPr>
          <w:rFonts w:ascii="Arial" w:hAnsi="Arial" w:cs="Arial"/>
        </w:rPr>
        <w:t>a</w:t>
      </w:r>
      <w:r>
        <w:rPr>
          <w:rFonts w:ascii="Arial" w:hAnsi="Arial" w:cs="Arial"/>
        </w:rPr>
        <w:t xml:space="preserve">baleta </w:t>
      </w:r>
      <w:proofErr w:type="spellStart"/>
      <w:r>
        <w:rPr>
          <w:rFonts w:ascii="Arial" w:hAnsi="Arial" w:cs="Arial"/>
        </w:rPr>
        <w:t>Zuñiga</w:t>
      </w:r>
      <w:proofErr w:type="spellEnd"/>
    </w:p>
    <w:p w:rsidR="00C20C81" w:rsidRPr="00A977E8" w:rsidRDefault="00C20C81" w:rsidP="00C20C81">
      <w:pPr>
        <w:rPr>
          <w:rFonts w:ascii="Arial" w:hAnsi="Arial" w:cs="Arial"/>
        </w:rPr>
      </w:pPr>
      <w:r w:rsidRPr="00A977E8">
        <w:rPr>
          <w:rFonts w:ascii="Arial" w:hAnsi="Arial" w:cs="Arial"/>
        </w:rPr>
        <w:lastRenderedPageBreak/>
        <w:t xml:space="preserve">ALEGACIONES </w:t>
      </w:r>
      <w:r>
        <w:rPr>
          <w:rFonts w:ascii="Arial" w:hAnsi="Arial" w:cs="Arial"/>
        </w:rPr>
        <w:t>DEL DEPARTAMENTO DE PRESIDENCIA, FUNCIÓN PÚBLICA, INT</w:t>
      </w:r>
      <w:r>
        <w:rPr>
          <w:rFonts w:ascii="Arial" w:hAnsi="Arial" w:cs="Arial"/>
        </w:rPr>
        <w:t>E</w:t>
      </w:r>
      <w:r>
        <w:rPr>
          <w:rFonts w:ascii="Arial" w:hAnsi="Arial" w:cs="Arial"/>
        </w:rPr>
        <w:t>RIOR Y JUSTICIA</w:t>
      </w:r>
    </w:p>
    <w:p w:rsidR="00C20C81" w:rsidRPr="00A977E8" w:rsidRDefault="00C20C81" w:rsidP="00C20C81">
      <w:pPr>
        <w:rPr>
          <w:rFonts w:ascii="Arial" w:hAnsi="Arial" w:cs="Arial"/>
        </w:rPr>
      </w:pPr>
      <w:r w:rsidRPr="00A977E8">
        <w:rPr>
          <w:rFonts w:ascii="Arial" w:hAnsi="Arial" w:cs="Arial"/>
        </w:rPr>
        <w:t>En relación a la propuesta de informe provisional fiscalización que la Cámara de Comptos ha realizado sobre la gestión de la prestación farmacéutica en el Servicio Navarro de Salud-</w:t>
      </w:r>
      <w:proofErr w:type="spellStart"/>
      <w:r w:rsidRPr="00A977E8">
        <w:rPr>
          <w:rFonts w:ascii="Arial" w:hAnsi="Arial" w:cs="Arial"/>
        </w:rPr>
        <w:t>Osasunbidea</w:t>
      </w:r>
      <w:proofErr w:type="spellEnd"/>
      <w:r w:rsidRPr="00A977E8">
        <w:rPr>
          <w:rFonts w:ascii="Arial" w:hAnsi="Arial" w:cs="Arial"/>
        </w:rPr>
        <w:t>, quisiera hacer una aportación en referencia a las siguientes conclusiones del info</w:t>
      </w:r>
      <w:r w:rsidRPr="00A977E8">
        <w:rPr>
          <w:rFonts w:ascii="Arial" w:hAnsi="Arial" w:cs="Arial"/>
        </w:rPr>
        <w:t>r</w:t>
      </w:r>
      <w:r w:rsidRPr="00A977E8">
        <w:rPr>
          <w:rFonts w:ascii="Arial" w:hAnsi="Arial" w:cs="Arial"/>
        </w:rPr>
        <w:t>me:</w:t>
      </w:r>
    </w:p>
    <w:p w:rsidR="00C20C81" w:rsidRPr="00A977E8" w:rsidRDefault="00C20C81" w:rsidP="00C20C81">
      <w:pPr>
        <w:rPr>
          <w:rFonts w:ascii="Arial" w:hAnsi="Arial" w:cs="Arial"/>
        </w:rPr>
      </w:pPr>
      <w:r w:rsidRPr="00A977E8">
        <w:rPr>
          <w:rFonts w:ascii="Arial" w:hAnsi="Arial" w:cs="Arial"/>
        </w:rPr>
        <w:t>•</w:t>
      </w:r>
      <w:r w:rsidRPr="00A977E8">
        <w:rPr>
          <w:rFonts w:ascii="Arial" w:hAnsi="Arial" w:cs="Arial"/>
        </w:rPr>
        <w:tab/>
        <w:t>...tal y como indicaba el informe de esta Cámara de junio de 2016 sobre la gestión de la i</w:t>
      </w:r>
      <w:r w:rsidRPr="00A977E8">
        <w:rPr>
          <w:rFonts w:ascii="Arial" w:hAnsi="Arial" w:cs="Arial"/>
        </w:rPr>
        <w:t>n</w:t>
      </w:r>
      <w:r w:rsidRPr="00A977E8">
        <w:rPr>
          <w:rFonts w:ascii="Arial" w:hAnsi="Arial" w:cs="Arial"/>
        </w:rPr>
        <w:t>formática en la Administración de la Comunidad Foral de Navarra, el desarrollo, mantenimiento, soporte y operación de las aplicaciones informáticas, se realiza a través de asistencias técnicas contratadas a empresas externas a la administración en las que recae el conocimiento técnico s</w:t>
      </w:r>
      <w:r w:rsidRPr="00A977E8">
        <w:rPr>
          <w:rFonts w:ascii="Arial" w:hAnsi="Arial" w:cs="Arial"/>
        </w:rPr>
        <w:t>o</w:t>
      </w:r>
      <w:r w:rsidRPr="00A977E8">
        <w:rPr>
          <w:rFonts w:ascii="Arial" w:hAnsi="Arial" w:cs="Arial"/>
        </w:rPr>
        <w:t>bre las mismas; este hecho produce una dependencia del personal de estas entidades. Como ya mencionamos en dicho informe, esto está suponiendo una cierta descapitalización del factor h</w:t>
      </w:r>
      <w:r w:rsidRPr="00A977E8">
        <w:rPr>
          <w:rFonts w:ascii="Arial" w:hAnsi="Arial" w:cs="Arial"/>
        </w:rPr>
        <w:t>u</w:t>
      </w:r>
      <w:r w:rsidRPr="00A977E8">
        <w:rPr>
          <w:rFonts w:ascii="Arial" w:hAnsi="Arial" w:cs="Arial"/>
        </w:rPr>
        <w:t>mano y un riesgo para la administración al no contar con personal propio con los conocimientos técnicos suficientes sobre las aplicaciones que hemos analizado.</w:t>
      </w:r>
    </w:p>
    <w:p w:rsidR="00C20C81" w:rsidRPr="00A977E8" w:rsidRDefault="00C20C81" w:rsidP="00C20C81">
      <w:pPr>
        <w:rPr>
          <w:rFonts w:ascii="Arial" w:hAnsi="Arial" w:cs="Arial"/>
        </w:rPr>
      </w:pPr>
      <w:r w:rsidRPr="00A977E8">
        <w:rPr>
          <w:rFonts w:ascii="Arial" w:hAnsi="Arial" w:cs="Arial"/>
        </w:rPr>
        <w:t>Considero importante matizar dichas conclusiones, haciendo referencia al hecho de que las limitaciones impuestas por la Administración General del Estado a las ofertas públicas de empleo han hecho imposible revertir la externalización del servicio, por lo que propongo que se incluya la siguiente frase en la redacción final del informe:</w:t>
      </w:r>
    </w:p>
    <w:p w:rsidR="00C20C81" w:rsidRPr="000557A8" w:rsidRDefault="00C20C81" w:rsidP="00C20C81">
      <w:pPr>
        <w:rPr>
          <w:rFonts w:ascii="Arial" w:hAnsi="Arial" w:cs="Arial"/>
          <w:b/>
        </w:rPr>
      </w:pPr>
      <w:r w:rsidRPr="00A977E8">
        <w:rPr>
          <w:rFonts w:ascii="Arial" w:hAnsi="Arial" w:cs="Arial"/>
        </w:rPr>
        <w:t>•</w:t>
      </w:r>
      <w:r w:rsidRPr="00A977E8">
        <w:rPr>
          <w:rFonts w:ascii="Arial" w:hAnsi="Arial" w:cs="Arial"/>
        </w:rPr>
        <w:tab/>
        <w:t>...tal y como indicaba el informe de esta Cámara de junio de 2016 sobre la gestión de la i</w:t>
      </w:r>
      <w:r w:rsidRPr="00A977E8">
        <w:rPr>
          <w:rFonts w:ascii="Arial" w:hAnsi="Arial" w:cs="Arial"/>
        </w:rPr>
        <w:t>n</w:t>
      </w:r>
      <w:r w:rsidRPr="00A977E8">
        <w:rPr>
          <w:rFonts w:ascii="Arial" w:hAnsi="Arial" w:cs="Arial"/>
        </w:rPr>
        <w:t>formática en la Administración de la Comunidad Foral de Navarra, el desarrollo, mantenimiento, soporte y operación de las aplicaciones informáticas, se realiza a través de asistencias técnicas contratadas</w:t>
      </w:r>
      <w:r>
        <w:rPr>
          <w:rFonts w:ascii="Arial" w:hAnsi="Arial" w:cs="Arial"/>
        </w:rPr>
        <w:t xml:space="preserve"> a empresas </w:t>
      </w:r>
      <w:r w:rsidRPr="00A977E8">
        <w:rPr>
          <w:rFonts w:ascii="Arial" w:hAnsi="Arial" w:cs="Arial"/>
        </w:rPr>
        <w:t>externas a la administración en las que recae el conocimiento técnico s</w:t>
      </w:r>
      <w:r w:rsidRPr="00A977E8">
        <w:rPr>
          <w:rFonts w:ascii="Arial" w:hAnsi="Arial" w:cs="Arial"/>
        </w:rPr>
        <w:t>o</w:t>
      </w:r>
      <w:r w:rsidRPr="00A977E8">
        <w:rPr>
          <w:rFonts w:ascii="Arial" w:hAnsi="Arial" w:cs="Arial"/>
        </w:rPr>
        <w:t>bre las mismas; este hecho produce una dependencia del personal de estas entidades. Como ya mencionamos en dicho informe, esto está suponiendo una cierta descapitalización del factor h</w:t>
      </w:r>
      <w:r w:rsidRPr="00A977E8">
        <w:rPr>
          <w:rFonts w:ascii="Arial" w:hAnsi="Arial" w:cs="Arial"/>
        </w:rPr>
        <w:t>u</w:t>
      </w:r>
      <w:r w:rsidRPr="00A977E8">
        <w:rPr>
          <w:rFonts w:ascii="Arial" w:hAnsi="Arial" w:cs="Arial"/>
        </w:rPr>
        <w:t xml:space="preserve">mano y un riesgo para la administración al no contar con personal propio con los conocimientos técnicos suficientes sobre las aplicaciones que hemos analizado. </w:t>
      </w:r>
      <w:r w:rsidRPr="000557A8">
        <w:rPr>
          <w:rFonts w:ascii="Arial" w:hAnsi="Arial" w:cs="Arial"/>
          <w:b/>
        </w:rPr>
        <w:t>En los últimos años, las lim</w:t>
      </w:r>
      <w:r w:rsidRPr="000557A8">
        <w:rPr>
          <w:rFonts w:ascii="Arial" w:hAnsi="Arial" w:cs="Arial"/>
          <w:b/>
        </w:rPr>
        <w:t>i</w:t>
      </w:r>
      <w:r w:rsidRPr="000557A8">
        <w:rPr>
          <w:rFonts w:ascii="Arial" w:hAnsi="Arial" w:cs="Arial"/>
          <w:b/>
        </w:rPr>
        <w:t>taciones impuestas por la Administración General del Estado en las sucesivas Leyes de Presupuestos en relación con la reposición de efectivos, las ofertas públicas de empleo, el incremento de las plantillas de personal y las limitaciones a la asunción de personal exte</w:t>
      </w:r>
      <w:r w:rsidRPr="000557A8">
        <w:rPr>
          <w:rFonts w:ascii="Arial" w:hAnsi="Arial" w:cs="Arial"/>
          <w:b/>
        </w:rPr>
        <w:t>r</w:t>
      </w:r>
      <w:r w:rsidRPr="000557A8">
        <w:rPr>
          <w:rFonts w:ascii="Arial" w:hAnsi="Arial" w:cs="Arial"/>
          <w:b/>
        </w:rPr>
        <w:t>nalizado, han dificultado en gran medida la reversión de la externalización del servicio i</w:t>
      </w:r>
      <w:r w:rsidRPr="000557A8">
        <w:rPr>
          <w:rFonts w:ascii="Arial" w:hAnsi="Arial" w:cs="Arial"/>
          <w:b/>
        </w:rPr>
        <w:t>n</w:t>
      </w:r>
      <w:r w:rsidRPr="000557A8">
        <w:rPr>
          <w:rFonts w:ascii="Arial" w:hAnsi="Arial" w:cs="Arial"/>
          <w:b/>
        </w:rPr>
        <w:t>formático en Gobierno de Navarra.</w:t>
      </w:r>
    </w:p>
    <w:p w:rsidR="00C20C81" w:rsidRPr="000557A8" w:rsidRDefault="00C20C81" w:rsidP="00C20C81">
      <w:pPr>
        <w:rPr>
          <w:rFonts w:ascii="Arial" w:hAnsi="Arial" w:cs="Arial"/>
          <w:i/>
        </w:rPr>
      </w:pPr>
      <w:r w:rsidRPr="000557A8">
        <w:rPr>
          <w:rFonts w:ascii="Arial" w:hAnsi="Arial" w:cs="Arial"/>
          <w:i/>
        </w:rPr>
        <w:t>Nota: La frase ha sido se</w:t>
      </w:r>
      <w:r>
        <w:rPr>
          <w:rFonts w:ascii="Arial" w:hAnsi="Arial" w:cs="Arial"/>
          <w:i/>
        </w:rPr>
        <w:t>ñ</w:t>
      </w:r>
      <w:r w:rsidRPr="000557A8">
        <w:rPr>
          <w:rFonts w:ascii="Arial" w:hAnsi="Arial" w:cs="Arial"/>
          <w:i/>
        </w:rPr>
        <w:t>alada en negrita, con el único objeto de facilitar la identificación del a</w:t>
      </w:r>
      <w:r>
        <w:rPr>
          <w:rFonts w:ascii="Arial" w:hAnsi="Arial" w:cs="Arial"/>
          <w:i/>
        </w:rPr>
        <w:t>ñ</w:t>
      </w:r>
      <w:r w:rsidRPr="000557A8">
        <w:rPr>
          <w:rFonts w:ascii="Arial" w:hAnsi="Arial" w:cs="Arial"/>
          <w:i/>
        </w:rPr>
        <w:t>adido propuesto.</w:t>
      </w:r>
    </w:p>
    <w:p w:rsidR="00C20C81" w:rsidRPr="00A977E8" w:rsidRDefault="00C20C81" w:rsidP="00C20C81">
      <w:pPr>
        <w:rPr>
          <w:rFonts w:ascii="Arial" w:hAnsi="Arial" w:cs="Arial"/>
        </w:rPr>
      </w:pPr>
      <w:r w:rsidRPr="00A977E8">
        <w:rPr>
          <w:rFonts w:ascii="Arial" w:hAnsi="Arial" w:cs="Arial"/>
        </w:rPr>
        <w:t>Quedo a su disposición para cuantas aclaraciones pudieran necesitar desde la Institución.</w:t>
      </w:r>
    </w:p>
    <w:p w:rsidR="00C20C81" w:rsidRPr="00A977E8" w:rsidRDefault="00C20C81" w:rsidP="00C20C81">
      <w:pPr>
        <w:rPr>
          <w:rFonts w:ascii="Arial" w:hAnsi="Arial" w:cs="Arial"/>
        </w:rPr>
      </w:pPr>
      <w:r w:rsidRPr="00A977E8">
        <w:rPr>
          <w:rFonts w:ascii="Arial" w:hAnsi="Arial" w:cs="Arial"/>
        </w:rPr>
        <w:t>Pamplona, 26 de marzo de 2019</w:t>
      </w:r>
    </w:p>
    <w:p w:rsidR="00C20C81" w:rsidRPr="00A977E8" w:rsidRDefault="00C20C81" w:rsidP="00C20C81">
      <w:pPr>
        <w:rPr>
          <w:rFonts w:ascii="Arial" w:hAnsi="Arial" w:cs="Arial"/>
        </w:rPr>
      </w:pPr>
      <w:r w:rsidRPr="00A977E8">
        <w:rPr>
          <w:rFonts w:ascii="Arial" w:hAnsi="Arial" w:cs="Arial"/>
        </w:rPr>
        <w:t>La Consejera de Presidencia, Función Pública, Interior y Justicia</w:t>
      </w:r>
      <w:r>
        <w:rPr>
          <w:rFonts w:ascii="Arial" w:hAnsi="Arial" w:cs="Arial"/>
        </w:rPr>
        <w:t xml:space="preserve">, </w:t>
      </w:r>
      <w:proofErr w:type="spellStart"/>
      <w:r w:rsidRPr="00A977E8">
        <w:rPr>
          <w:rFonts w:ascii="Arial" w:hAnsi="Arial" w:cs="Arial"/>
        </w:rPr>
        <w:t>Maria</w:t>
      </w:r>
      <w:proofErr w:type="spellEnd"/>
      <w:r w:rsidRPr="00A977E8">
        <w:rPr>
          <w:rFonts w:ascii="Arial" w:hAnsi="Arial" w:cs="Arial"/>
        </w:rPr>
        <w:t xml:space="preserve"> José Beaumont </w:t>
      </w:r>
      <w:proofErr w:type="spellStart"/>
      <w:r w:rsidRPr="00A977E8">
        <w:rPr>
          <w:rFonts w:ascii="Arial" w:hAnsi="Arial" w:cs="Arial"/>
        </w:rPr>
        <w:t>Aristu</w:t>
      </w:r>
      <w:proofErr w:type="spellEnd"/>
    </w:p>
    <w:p w:rsidR="00C20C81" w:rsidRPr="00A977E8" w:rsidRDefault="00C20C81" w:rsidP="00C20C81">
      <w:pPr>
        <w:rPr>
          <w:rFonts w:ascii="Arial" w:hAnsi="Arial" w:cs="Arial"/>
        </w:rPr>
      </w:pPr>
      <w:r w:rsidRPr="00A977E8">
        <w:rPr>
          <w:rFonts w:ascii="Arial" w:hAnsi="Arial" w:cs="Arial"/>
        </w:rPr>
        <w:t>ALEGACIONES DE LA SUBDIRECCIÓN DE</w:t>
      </w:r>
      <w:r>
        <w:rPr>
          <w:rFonts w:ascii="Arial" w:hAnsi="Arial" w:cs="Arial"/>
        </w:rPr>
        <w:t xml:space="preserve"> </w:t>
      </w:r>
      <w:r w:rsidRPr="00A977E8">
        <w:rPr>
          <w:rFonts w:ascii="Arial" w:hAnsi="Arial" w:cs="Arial"/>
        </w:rPr>
        <w:t>FARMACIA</w:t>
      </w:r>
      <w:r>
        <w:rPr>
          <w:rFonts w:ascii="Arial" w:hAnsi="Arial" w:cs="Arial"/>
        </w:rPr>
        <w:t xml:space="preserve"> </w:t>
      </w:r>
    </w:p>
    <w:p w:rsidR="00C20C81" w:rsidRPr="00A977E8" w:rsidRDefault="00C20C81" w:rsidP="00C20C81">
      <w:pPr>
        <w:rPr>
          <w:rFonts w:ascii="Arial" w:hAnsi="Arial" w:cs="Arial"/>
        </w:rPr>
      </w:pPr>
      <w:r w:rsidRPr="00A977E8">
        <w:rPr>
          <w:rFonts w:ascii="Arial" w:hAnsi="Arial" w:cs="Arial"/>
        </w:rPr>
        <w:t>Una vez revisado el borrador de informe emitido por la Cámara de Comptos sobre gestión de la prestación farmacéutica y después de la reunión mantenida con los responsables de la el</w:t>
      </w:r>
      <w:r w:rsidRPr="00A977E8">
        <w:rPr>
          <w:rFonts w:ascii="Arial" w:hAnsi="Arial" w:cs="Arial"/>
        </w:rPr>
        <w:t>a</w:t>
      </w:r>
      <w:r w:rsidRPr="00A977E8">
        <w:rPr>
          <w:rFonts w:ascii="Arial" w:hAnsi="Arial" w:cs="Arial"/>
        </w:rPr>
        <w:t>boración del mismo, desde la Subdirección de Farmacia, el Departamento de Salud desea form</w:t>
      </w:r>
      <w:r w:rsidRPr="00A977E8">
        <w:rPr>
          <w:rFonts w:ascii="Arial" w:hAnsi="Arial" w:cs="Arial"/>
        </w:rPr>
        <w:t>u</w:t>
      </w:r>
      <w:r w:rsidRPr="00A977E8">
        <w:rPr>
          <w:rFonts w:ascii="Arial" w:hAnsi="Arial" w:cs="Arial"/>
        </w:rPr>
        <w:t>lar las siguientes alegaciones:</w:t>
      </w:r>
    </w:p>
    <w:p w:rsidR="00C20C81" w:rsidRPr="00A977E8" w:rsidRDefault="00C20C81" w:rsidP="00C20C81">
      <w:pPr>
        <w:rPr>
          <w:rFonts w:ascii="Arial" w:hAnsi="Arial" w:cs="Arial"/>
        </w:rPr>
      </w:pPr>
      <w:proofErr w:type="gramStart"/>
      <w:r w:rsidRPr="00A977E8">
        <w:rPr>
          <w:rFonts w:ascii="Arial" w:hAnsi="Arial" w:cs="Arial"/>
        </w:rPr>
        <w:t>1</w:t>
      </w:r>
      <w:r>
        <w:rPr>
          <w:rFonts w:ascii="Arial" w:hAnsi="Arial" w:cs="Arial"/>
        </w:rPr>
        <w:t>.</w:t>
      </w:r>
      <w:r w:rsidRPr="00A977E8">
        <w:rPr>
          <w:rFonts w:ascii="Arial" w:hAnsi="Arial" w:cs="Arial"/>
        </w:rPr>
        <w:t>º</w:t>
      </w:r>
      <w:proofErr w:type="gramEnd"/>
      <w:r w:rsidRPr="00A977E8">
        <w:rPr>
          <w:rFonts w:ascii="Arial" w:hAnsi="Arial" w:cs="Arial"/>
        </w:rPr>
        <w:t xml:space="preserve"> Página 20 Apartado c) Prescripción</w:t>
      </w:r>
    </w:p>
    <w:p w:rsidR="00C20C81" w:rsidRPr="00CA5B94" w:rsidRDefault="00C20C81" w:rsidP="00C20C81">
      <w:pPr>
        <w:rPr>
          <w:rFonts w:ascii="Arial" w:hAnsi="Arial" w:cs="Arial"/>
          <w:i/>
        </w:rPr>
      </w:pPr>
      <w:r w:rsidRPr="00CA5B94">
        <w:rPr>
          <w:rFonts w:ascii="Arial" w:hAnsi="Arial" w:cs="Arial"/>
          <w:i/>
        </w:rPr>
        <w:t>Prescripción de algunos medicamentos que aún no tienen código nacional.</w:t>
      </w:r>
    </w:p>
    <w:p w:rsidR="00C20C81" w:rsidRPr="00A977E8" w:rsidRDefault="00C20C81" w:rsidP="00C20C81">
      <w:pPr>
        <w:rPr>
          <w:rFonts w:ascii="Arial" w:hAnsi="Arial" w:cs="Arial"/>
        </w:rPr>
      </w:pPr>
      <w:r w:rsidRPr="00A977E8">
        <w:rPr>
          <w:rFonts w:ascii="Arial" w:hAnsi="Arial" w:cs="Arial"/>
        </w:rPr>
        <w:t>Propuesta:</w:t>
      </w:r>
    </w:p>
    <w:p w:rsidR="00C20C81" w:rsidRPr="00CA5B94" w:rsidRDefault="00C20C81" w:rsidP="00C20C81">
      <w:pPr>
        <w:rPr>
          <w:rFonts w:ascii="Arial" w:hAnsi="Arial" w:cs="Arial"/>
          <w:i/>
        </w:rPr>
      </w:pPr>
      <w:r w:rsidRPr="00CA5B94">
        <w:rPr>
          <w:rFonts w:ascii="Arial" w:hAnsi="Arial" w:cs="Arial"/>
          <w:i/>
        </w:rPr>
        <w:t>Prescripción de algunos medicamentos que no tienen código nacional.</w:t>
      </w:r>
    </w:p>
    <w:p w:rsidR="00C20C81" w:rsidRPr="00A977E8" w:rsidRDefault="00C20C81" w:rsidP="00C20C81">
      <w:pPr>
        <w:rPr>
          <w:rFonts w:ascii="Arial" w:hAnsi="Arial" w:cs="Arial"/>
        </w:rPr>
      </w:pPr>
      <w:proofErr w:type="gramStart"/>
      <w:r w:rsidRPr="00A977E8">
        <w:rPr>
          <w:rFonts w:ascii="Arial" w:hAnsi="Arial" w:cs="Arial"/>
        </w:rPr>
        <w:t>2</w:t>
      </w:r>
      <w:r>
        <w:rPr>
          <w:rFonts w:ascii="Arial" w:hAnsi="Arial" w:cs="Arial"/>
        </w:rPr>
        <w:t>.</w:t>
      </w:r>
      <w:r w:rsidRPr="00A977E8">
        <w:rPr>
          <w:rFonts w:ascii="Arial" w:hAnsi="Arial" w:cs="Arial"/>
        </w:rPr>
        <w:t>º</w:t>
      </w:r>
      <w:proofErr w:type="gramEnd"/>
      <w:r w:rsidRPr="00A977E8">
        <w:rPr>
          <w:rFonts w:ascii="Arial" w:hAnsi="Arial" w:cs="Arial"/>
        </w:rPr>
        <w:t xml:space="preserve"> Página 20 Apartado d) Visado</w:t>
      </w:r>
    </w:p>
    <w:p w:rsidR="00C20C81" w:rsidRPr="00A977E8" w:rsidRDefault="00C20C81" w:rsidP="00C20C81">
      <w:pPr>
        <w:rPr>
          <w:rFonts w:ascii="Arial" w:hAnsi="Arial" w:cs="Arial"/>
        </w:rPr>
      </w:pPr>
      <w:r w:rsidRPr="00A977E8">
        <w:rPr>
          <w:rFonts w:ascii="Arial" w:hAnsi="Arial" w:cs="Arial"/>
        </w:rPr>
        <w:lastRenderedPageBreak/>
        <w:t>Visado administrativo</w:t>
      </w:r>
    </w:p>
    <w:p w:rsidR="00C20C81" w:rsidRPr="00CA5B94" w:rsidRDefault="00C20C81" w:rsidP="00C20C81">
      <w:pPr>
        <w:rPr>
          <w:rFonts w:ascii="Arial" w:hAnsi="Arial" w:cs="Arial"/>
          <w:i/>
        </w:rPr>
      </w:pPr>
      <w:r w:rsidRPr="00CA5B94">
        <w:rPr>
          <w:rFonts w:ascii="Arial" w:hAnsi="Arial" w:cs="Arial"/>
          <w:i/>
        </w:rPr>
        <w:t>Se aplica en Navarra para la financiación de determinados medicamentos indicados para algunas patologías o grupos de riesgo si se cumplen determinados requisitos especificados por el ministerio.</w:t>
      </w:r>
    </w:p>
    <w:p w:rsidR="00C20C81" w:rsidRPr="00A977E8" w:rsidRDefault="00C20C81" w:rsidP="00C20C81">
      <w:pPr>
        <w:rPr>
          <w:rFonts w:ascii="Arial" w:hAnsi="Arial" w:cs="Arial"/>
        </w:rPr>
      </w:pPr>
      <w:r w:rsidRPr="00A977E8">
        <w:rPr>
          <w:rFonts w:ascii="Arial" w:hAnsi="Arial" w:cs="Arial"/>
        </w:rPr>
        <w:t>Propuesta:</w:t>
      </w:r>
    </w:p>
    <w:p w:rsidR="00C20C81" w:rsidRPr="00CA5B94" w:rsidRDefault="00C20C81" w:rsidP="00C20C81">
      <w:pPr>
        <w:rPr>
          <w:rFonts w:ascii="Arial" w:hAnsi="Arial" w:cs="Arial"/>
          <w:i/>
        </w:rPr>
      </w:pPr>
      <w:r w:rsidRPr="00CA5B94">
        <w:rPr>
          <w:rFonts w:ascii="Arial" w:hAnsi="Arial" w:cs="Arial"/>
          <w:i/>
        </w:rPr>
        <w:t>Se aplica en Navarra para determinados medicamentos que sólo se financian en indicaci</w:t>
      </w:r>
      <w:r w:rsidRPr="00CA5B94">
        <w:rPr>
          <w:rFonts w:ascii="Arial" w:hAnsi="Arial" w:cs="Arial"/>
          <w:i/>
        </w:rPr>
        <w:t>o</w:t>
      </w:r>
      <w:r w:rsidRPr="00CA5B94">
        <w:rPr>
          <w:rFonts w:ascii="Arial" w:hAnsi="Arial" w:cs="Arial"/>
          <w:i/>
        </w:rPr>
        <w:t>nes concretas.</w:t>
      </w:r>
    </w:p>
    <w:p w:rsidR="00C20C81" w:rsidRPr="00A977E8" w:rsidRDefault="00C20C81" w:rsidP="00C20C81">
      <w:pPr>
        <w:rPr>
          <w:rFonts w:ascii="Arial" w:hAnsi="Arial" w:cs="Arial"/>
        </w:rPr>
      </w:pPr>
      <w:proofErr w:type="gramStart"/>
      <w:r w:rsidRPr="00A977E8">
        <w:rPr>
          <w:rFonts w:ascii="Arial" w:hAnsi="Arial" w:cs="Arial"/>
        </w:rPr>
        <w:t>3</w:t>
      </w:r>
      <w:r>
        <w:rPr>
          <w:rFonts w:ascii="Arial" w:hAnsi="Arial" w:cs="Arial"/>
        </w:rPr>
        <w:t>.</w:t>
      </w:r>
      <w:r w:rsidRPr="00A977E8">
        <w:rPr>
          <w:rFonts w:ascii="Arial" w:hAnsi="Arial" w:cs="Arial"/>
        </w:rPr>
        <w:t>º</w:t>
      </w:r>
      <w:proofErr w:type="gramEnd"/>
      <w:r w:rsidRPr="00A977E8">
        <w:rPr>
          <w:rFonts w:ascii="Arial" w:hAnsi="Arial" w:cs="Arial"/>
        </w:rPr>
        <w:t xml:space="preserve"> Página 26</w:t>
      </w:r>
    </w:p>
    <w:p w:rsidR="00C20C81" w:rsidRPr="00A977E8" w:rsidRDefault="00C20C81" w:rsidP="00C20C81">
      <w:pPr>
        <w:rPr>
          <w:rFonts w:ascii="Arial" w:hAnsi="Arial" w:cs="Arial"/>
        </w:rPr>
      </w:pPr>
      <w:r w:rsidRPr="00A977E8">
        <w:rPr>
          <w:rFonts w:ascii="Arial" w:hAnsi="Arial" w:cs="Arial"/>
        </w:rPr>
        <w:t>Incorporación de datos del Nomenclátor</w:t>
      </w:r>
      <w:r>
        <w:rPr>
          <w:rFonts w:ascii="Arial" w:hAnsi="Arial" w:cs="Arial"/>
        </w:rPr>
        <w:t xml:space="preserve"> </w:t>
      </w:r>
      <w:r w:rsidRPr="00A977E8">
        <w:rPr>
          <w:rFonts w:ascii="Arial" w:hAnsi="Arial" w:cs="Arial"/>
        </w:rPr>
        <w:t>a los s</w:t>
      </w:r>
      <w:r>
        <w:rPr>
          <w:rFonts w:ascii="Arial" w:hAnsi="Arial" w:cs="Arial"/>
        </w:rPr>
        <w:t>istemas de información del SNS-O</w:t>
      </w:r>
    </w:p>
    <w:p w:rsidR="00C20C81" w:rsidRPr="00CA5B94" w:rsidRDefault="00C20C81" w:rsidP="00C20C81">
      <w:pPr>
        <w:rPr>
          <w:rFonts w:ascii="Arial" w:hAnsi="Arial" w:cs="Arial"/>
          <w:i/>
        </w:rPr>
      </w:pPr>
      <w:r w:rsidRPr="00CA5B94">
        <w:rPr>
          <w:rFonts w:ascii="Arial" w:hAnsi="Arial" w:cs="Arial"/>
          <w:i/>
        </w:rPr>
        <w:t>Este proceso lo lleva a cabo una única persona y el procedimiento establecido para realizar esta tarea está obsoleto.</w:t>
      </w:r>
    </w:p>
    <w:p w:rsidR="00C20C81" w:rsidRPr="00A977E8" w:rsidRDefault="00C20C81" w:rsidP="00C20C81">
      <w:pPr>
        <w:rPr>
          <w:rFonts w:ascii="Arial" w:hAnsi="Arial" w:cs="Arial"/>
        </w:rPr>
      </w:pPr>
      <w:r w:rsidRPr="00A977E8">
        <w:rPr>
          <w:rFonts w:ascii="Arial" w:hAnsi="Arial" w:cs="Arial"/>
        </w:rPr>
        <w:t>Propuesta:</w:t>
      </w:r>
    </w:p>
    <w:p w:rsidR="00C20C81" w:rsidRPr="00CA5B94" w:rsidRDefault="00C20C81" w:rsidP="00C20C81">
      <w:pPr>
        <w:rPr>
          <w:rFonts w:ascii="Arial" w:hAnsi="Arial" w:cs="Arial"/>
          <w:i/>
        </w:rPr>
      </w:pPr>
      <w:r w:rsidRPr="00CA5B94">
        <w:rPr>
          <w:rFonts w:ascii="Arial" w:hAnsi="Arial" w:cs="Arial"/>
          <w:i/>
        </w:rPr>
        <w:t>Este proceso lo lleva a cabo una única persona y el procedimiento establecido para realizar esta tarea no está actualizado.</w:t>
      </w:r>
    </w:p>
    <w:p w:rsidR="00C20C81" w:rsidRPr="00A977E8" w:rsidRDefault="00C20C81" w:rsidP="00C20C81">
      <w:pPr>
        <w:rPr>
          <w:rFonts w:ascii="Arial" w:hAnsi="Arial" w:cs="Arial"/>
        </w:rPr>
      </w:pPr>
      <w:proofErr w:type="gramStart"/>
      <w:r w:rsidRPr="00A977E8">
        <w:rPr>
          <w:rFonts w:ascii="Arial" w:hAnsi="Arial" w:cs="Arial"/>
        </w:rPr>
        <w:t>4</w:t>
      </w:r>
      <w:r>
        <w:rPr>
          <w:rFonts w:ascii="Arial" w:hAnsi="Arial" w:cs="Arial"/>
        </w:rPr>
        <w:t>.</w:t>
      </w:r>
      <w:r w:rsidRPr="00A977E8">
        <w:rPr>
          <w:rFonts w:ascii="Arial" w:hAnsi="Arial" w:cs="Arial"/>
        </w:rPr>
        <w:t>°</w:t>
      </w:r>
      <w:proofErr w:type="gramEnd"/>
      <w:r w:rsidRPr="00A977E8">
        <w:rPr>
          <w:rFonts w:ascii="Arial" w:hAnsi="Arial" w:cs="Arial"/>
        </w:rPr>
        <w:t xml:space="preserve"> Página 29</w:t>
      </w:r>
    </w:p>
    <w:p w:rsidR="00C20C81" w:rsidRPr="00CA5B94" w:rsidRDefault="00C20C81" w:rsidP="00C20C81">
      <w:pPr>
        <w:rPr>
          <w:rFonts w:ascii="Arial" w:hAnsi="Arial" w:cs="Arial"/>
          <w:i/>
        </w:rPr>
      </w:pPr>
      <w:r w:rsidRPr="00CA5B94">
        <w:rPr>
          <w:rFonts w:ascii="Arial" w:hAnsi="Arial" w:cs="Arial"/>
          <w:i/>
        </w:rPr>
        <w:t>A pesar de la trascendencia de la gestión que estam</w:t>
      </w:r>
      <w:r>
        <w:rPr>
          <w:rFonts w:ascii="Arial" w:hAnsi="Arial" w:cs="Arial"/>
          <w:i/>
        </w:rPr>
        <w:t>os analizando, y de que el SNS-O</w:t>
      </w:r>
      <w:r w:rsidRPr="00CA5B94">
        <w:rPr>
          <w:rFonts w:ascii="Arial" w:hAnsi="Arial" w:cs="Arial"/>
          <w:i/>
        </w:rPr>
        <w:t xml:space="preserve"> real</w:t>
      </w:r>
      <w:r w:rsidRPr="00CA5B94">
        <w:rPr>
          <w:rFonts w:ascii="Arial" w:hAnsi="Arial" w:cs="Arial"/>
          <w:i/>
        </w:rPr>
        <w:t>i</w:t>
      </w:r>
      <w:r w:rsidRPr="00CA5B94">
        <w:rPr>
          <w:rFonts w:ascii="Arial" w:hAnsi="Arial" w:cs="Arial"/>
          <w:i/>
        </w:rPr>
        <w:t>zó el desarrollo informático de LAMIA, destacamos que la empresa externa que se encarga de la digitalización de los cupones, fue quien diseñó la pasarela informática de intercambio de inform</w:t>
      </w:r>
      <w:r w:rsidRPr="00CA5B94">
        <w:rPr>
          <w:rFonts w:ascii="Arial" w:hAnsi="Arial" w:cs="Arial"/>
          <w:i/>
        </w:rPr>
        <w:t>a</w:t>
      </w:r>
      <w:r w:rsidRPr="00CA5B94">
        <w:rPr>
          <w:rFonts w:ascii="Arial" w:hAnsi="Arial" w:cs="Arial"/>
          <w:i/>
        </w:rPr>
        <w:t>ción e integración entre los distintos software de las farmacias, el COFNA como agente</w:t>
      </w:r>
      <w:r>
        <w:rPr>
          <w:rFonts w:ascii="Arial" w:hAnsi="Arial" w:cs="Arial"/>
          <w:i/>
        </w:rPr>
        <w:t xml:space="preserve"> </w:t>
      </w:r>
      <w:r w:rsidRPr="00CA5B94">
        <w:rPr>
          <w:rFonts w:ascii="Arial" w:hAnsi="Arial" w:cs="Arial"/>
          <w:i/>
        </w:rPr>
        <w:t>facturador y LAMIA.</w:t>
      </w:r>
    </w:p>
    <w:p w:rsidR="00C20C81" w:rsidRPr="00A977E8" w:rsidRDefault="00C20C81" w:rsidP="00C20C81">
      <w:pPr>
        <w:rPr>
          <w:rFonts w:ascii="Arial" w:hAnsi="Arial" w:cs="Arial"/>
        </w:rPr>
      </w:pPr>
      <w:r w:rsidRPr="00A977E8">
        <w:rPr>
          <w:rFonts w:ascii="Arial" w:hAnsi="Arial" w:cs="Arial"/>
        </w:rPr>
        <w:t>Propuesta:</w:t>
      </w:r>
    </w:p>
    <w:p w:rsidR="00C20C81" w:rsidRPr="00CA5B94" w:rsidRDefault="00C20C81" w:rsidP="00C20C81">
      <w:pPr>
        <w:rPr>
          <w:rFonts w:ascii="Arial" w:hAnsi="Arial" w:cs="Arial"/>
          <w:i/>
        </w:rPr>
      </w:pPr>
      <w:r w:rsidRPr="00CA5B94">
        <w:rPr>
          <w:rFonts w:ascii="Arial" w:hAnsi="Arial" w:cs="Arial"/>
          <w:i/>
        </w:rPr>
        <w:t>A pesar de la trascendencia de la gestión que estam</w:t>
      </w:r>
      <w:r>
        <w:rPr>
          <w:rFonts w:ascii="Arial" w:hAnsi="Arial" w:cs="Arial"/>
          <w:i/>
        </w:rPr>
        <w:t>os analizando, y de que el SNS-O</w:t>
      </w:r>
      <w:r w:rsidRPr="00CA5B94">
        <w:rPr>
          <w:rFonts w:ascii="Arial" w:hAnsi="Arial" w:cs="Arial"/>
          <w:i/>
        </w:rPr>
        <w:t xml:space="preserve"> real</w:t>
      </w:r>
      <w:r w:rsidRPr="00CA5B94">
        <w:rPr>
          <w:rFonts w:ascii="Arial" w:hAnsi="Arial" w:cs="Arial"/>
          <w:i/>
        </w:rPr>
        <w:t>i</w:t>
      </w:r>
      <w:r w:rsidRPr="00CA5B94">
        <w:rPr>
          <w:rFonts w:ascii="Arial" w:hAnsi="Arial" w:cs="Arial"/>
          <w:i/>
        </w:rPr>
        <w:t>zó el desarrollo informático de LAMIA, destacamos que la empresa externa que se encarga de la digitalización de los cupones, fue quien diseñó la pasarela informática de intercambio de inform</w:t>
      </w:r>
      <w:r w:rsidRPr="00CA5B94">
        <w:rPr>
          <w:rFonts w:ascii="Arial" w:hAnsi="Arial" w:cs="Arial"/>
          <w:i/>
        </w:rPr>
        <w:t>a</w:t>
      </w:r>
      <w:r w:rsidRPr="00CA5B94">
        <w:rPr>
          <w:rFonts w:ascii="Arial" w:hAnsi="Arial" w:cs="Arial"/>
          <w:i/>
        </w:rPr>
        <w:t>ción e integración entre los distintos software de las farmacias, el COFNA como agente facturador y LAMIA, ya que todas las oficinas de farmacia tienen delegada en el COFNA la</w:t>
      </w:r>
      <w:r>
        <w:rPr>
          <w:rFonts w:ascii="Arial" w:hAnsi="Arial" w:cs="Arial"/>
          <w:i/>
        </w:rPr>
        <w:t xml:space="preserve"> </w:t>
      </w:r>
      <w:r w:rsidRPr="00CA5B94">
        <w:rPr>
          <w:rFonts w:ascii="Arial" w:hAnsi="Arial" w:cs="Arial"/>
          <w:i/>
        </w:rPr>
        <w:t>fact</w:t>
      </w:r>
      <w:r>
        <w:rPr>
          <w:rFonts w:ascii="Arial" w:hAnsi="Arial" w:cs="Arial"/>
          <w:i/>
        </w:rPr>
        <w:t>uración de las recetas del SNS-O</w:t>
      </w:r>
      <w:r w:rsidRPr="00CA5B94">
        <w:rPr>
          <w:rFonts w:ascii="Arial" w:hAnsi="Arial" w:cs="Arial"/>
          <w:i/>
        </w:rPr>
        <w:t>.</w:t>
      </w:r>
    </w:p>
    <w:p w:rsidR="00C20C81" w:rsidRPr="00A977E8" w:rsidRDefault="00C20C81" w:rsidP="00C20C81">
      <w:pPr>
        <w:rPr>
          <w:rFonts w:ascii="Arial" w:hAnsi="Arial" w:cs="Arial"/>
        </w:rPr>
      </w:pPr>
      <w:r w:rsidRPr="00A977E8">
        <w:rPr>
          <w:rFonts w:ascii="Arial" w:hAnsi="Arial" w:cs="Arial"/>
        </w:rPr>
        <w:t>Esperamos se tengan en cuenta estas pequeñas modificaciones propuestas.</w:t>
      </w:r>
    </w:p>
    <w:p w:rsidR="00C20C81" w:rsidRPr="00A977E8" w:rsidRDefault="00C20C81" w:rsidP="00C20C81">
      <w:pPr>
        <w:rPr>
          <w:rFonts w:ascii="Arial" w:hAnsi="Arial" w:cs="Arial"/>
        </w:rPr>
      </w:pPr>
      <w:r w:rsidRPr="00A977E8">
        <w:rPr>
          <w:rFonts w:ascii="Arial" w:hAnsi="Arial" w:cs="Arial"/>
        </w:rPr>
        <w:t>Pamplona, 26 de marzo de 2019</w:t>
      </w:r>
    </w:p>
    <w:p w:rsidR="00C20C81" w:rsidRPr="00A977E8" w:rsidRDefault="00C20C81" w:rsidP="00C20C81">
      <w:pPr>
        <w:rPr>
          <w:rFonts w:ascii="Arial" w:hAnsi="Arial" w:cs="Arial"/>
        </w:rPr>
      </w:pPr>
      <w:r w:rsidRPr="00A977E8">
        <w:rPr>
          <w:rFonts w:ascii="Arial" w:hAnsi="Arial" w:cs="Arial"/>
        </w:rPr>
        <w:t>El Consejero de Salud</w:t>
      </w:r>
      <w:r>
        <w:rPr>
          <w:rFonts w:ascii="Arial" w:hAnsi="Arial" w:cs="Arial"/>
        </w:rPr>
        <w:t xml:space="preserve">, </w:t>
      </w:r>
      <w:r w:rsidRPr="00A977E8">
        <w:rPr>
          <w:rFonts w:ascii="Arial" w:hAnsi="Arial" w:cs="Arial"/>
        </w:rPr>
        <w:t>Fernando</w:t>
      </w:r>
      <w:r w:rsidRPr="00CA5B94">
        <w:rPr>
          <w:rFonts w:ascii="Arial" w:hAnsi="Arial" w:cs="Arial"/>
        </w:rPr>
        <w:t xml:space="preserve"> </w:t>
      </w:r>
      <w:r>
        <w:rPr>
          <w:rFonts w:ascii="Arial" w:hAnsi="Arial" w:cs="Arial"/>
        </w:rPr>
        <w:t>Domí</w:t>
      </w:r>
      <w:r w:rsidRPr="00A977E8">
        <w:rPr>
          <w:rFonts w:ascii="Arial" w:hAnsi="Arial" w:cs="Arial"/>
        </w:rPr>
        <w:t>nguez</w:t>
      </w:r>
      <w:r w:rsidRPr="00CA5B94">
        <w:rPr>
          <w:rFonts w:ascii="Arial" w:hAnsi="Arial" w:cs="Arial"/>
        </w:rPr>
        <w:t xml:space="preserve"> </w:t>
      </w:r>
      <w:proofErr w:type="spellStart"/>
      <w:r w:rsidRPr="00A977E8">
        <w:rPr>
          <w:rFonts w:ascii="Arial" w:hAnsi="Arial" w:cs="Arial"/>
        </w:rPr>
        <w:t>Cunchillos</w:t>
      </w:r>
      <w:proofErr w:type="spellEnd"/>
    </w:p>
    <w:p w:rsidR="000D7F75" w:rsidRDefault="000D7F75" w:rsidP="00C20C81">
      <w:pPr>
        <w:pStyle w:val="atitulo1"/>
        <w:jc w:val="left"/>
        <w:rPr>
          <w:bCs/>
          <w:color w:val="auto"/>
          <w:sz w:val="32"/>
        </w:rPr>
      </w:pPr>
    </w:p>
    <w:p w:rsidR="000D7F75" w:rsidRDefault="000D7F75" w:rsidP="00227E5A">
      <w:pPr>
        <w:pStyle w:val="atitulo1"/>
        <w:jc w:val="right"/>
        <w:rPr>
          <w:bCs/>
          <w:color w:val="auto"/>
          <w:sz w:val="32"/>
        </w:rPr>
      </w:pPr>
    </w:p>
    <w:p w:rsidR="000D7F75" w:rsidRDefault="000D7F75" w:rsidP="00227E5A">
      <w:pPr>
        <w:pStyle w:val="atitulo1"/>
        <w:jc w:val="right"/>
        <w:rPr>
          <w:bCs/>
          <w:color w:val="auto"/>
          <w:sz w:val="32"/>
        </w:rPr>
        <w:sectPr w:rsidR="000D7F75" w:rsidSect="009869A1">
          <w:footerReference w:type="default" r:id="rId24"/>
          <w:pgSz w:w="11907" w:h="16840" w:code="9"/>
          <w:pgMar w:top="2109" w:right="1559" w:bottom="1644" w:left="1559" w:header="369" w:footer="136" w:gutter="0"/>
          <w:cols w:space="720"/>
          <w:docGrid w:linePitch="360"/>
        </w:sectPr>
      </w:pPr>
    </w:p>
    <w:p w:rsidR="000D7F75" w:rsidRPr="00F555B0" w:rsidRDefault="000D7F75" w:rsidP="000D7F75">
      <w:pPr>
        <w:pStyle w:val="atitulo1"/>
        <w:rPr>
          <w:color w:val="auto"/>
        </w:rPr>
      </w:pPr>
      <w:bookmarkStart w:id="83" w:name="_Toc4671439"/>
      <w:r w:rsidRPr="00F555B0">
        <w:rPr>
          <w:color w:val="auto"/>
        </w:rPr>
        <w:lastRenderedPageBreak/>
        <w:t>Contestación de la Cámara de Comptos a las alegaciones presentadas al informe provisional</w:t>
      </w:r>
      <w:bookmarkEnd w:id="83"/>
    </w:p>
    <w:p w:rsidR="000D7F75" w:rsidRDefault="000D7F75" w:rsidP="000D7F75">
      <w:pPr>
        <w:ind w:firstLine="336"/>
        <w:rPr>
          <w:rFonts w:ascii="Arial" w:hAnsi="Arial" w:cs="Arial"/>
          <w:sz w:val="24"/>
          <w:szCs w:val="24"/>
        </w:rPr>
      </w:pPr>
      <w:r w:rsidRPr="00F555B0">
        <w:rPr>
          <w:rFonts w:ascii="Arial" w:hAnsi="Arial" w:cs="Arial"/>
          <w:sz w:val="24"/>
          <w:szCs w:val="24"/>
        </w:rPr>
        <w:t>Agradecemos a</w:t>
      </w:r>
      <w:r>
        <w:rPr>
          <w:rFonts w:ascii="Arial" w:hAnsi="Arial" w:cs="Arial"/>
          <w:sz w:val="24"/>
          <w:szCs w:val="24"/>
        </w:rPr>
        <w:t xml:space="preserve">l COFNA, a la Hacienda Tributaria de Navarra, al </w:t>
      </w:r>
      <w:r w:rsidR="00907C4A">
        <w:rPr>
          <w:rFonts w:ascii="Arial" w:hAnsi="Arial" w:cs="Arial"/>
          <w:sz w:val="24"/>
          <w:szCs w:val="24"/>
        </w:rPr>
        <w:t>D</w:t>
      </w:r>
      <w:r>
        <w:rPr>
          <w:rFonts w:ascii="Arial" w:hAnsi="Arial" w:cs="Arial"/>
          <w:sz w:val="24"/>
          <w:szCs w:val="24"/>
        </w:rPr>
        <w:t>epartame</w:t>
      </w:r>
      <w:r>
        <w:rPr>
          <w:rFonts w:ascii="Arial" w:hAnsi="Arial" w:cs="Arial"/>
          <w:sz w:val="24"/>
          <w:szCs w:val="24"/>
        </w:rPr>
        <w:t>n</w:t>
      </w:r>
      <w:r>
        <w:rPr>
          <w:rFonts w:ascii="Arial" w:hAnsi="Arial" w:cs="Arial"/>
          <w:sz w:val="24"/>
          <w:szCs w:val="24"/>
        </w:rPr>
        <w:t>to de Presidencia, Función Pública, Interior y Justicia</w:t>
      </w:r>
      <w:r w:rsidR="00907C4A">
        <w:rPr>
          <w:rFonts w:ascii="Arial" w:hAnsi="Arial" w:cs="Arial"/>
          <w:sz w:val="24"/>
          <w:szCs w:val="24"/>
        </w:rPr>
        <w:t xml:space="preserve"> y al Departamento de Salud</w:t>
      </w:r>
      <w:r>
        <w:rPr>
          <w:rFonts w:ascii="Arial" w:hAnsi="Arial" w:cs="Arial"/>
          <w:sz w:val="24"/>
          <w:szCs w:val="24"/>
        </w:rPr>
        <w:t xml:space="preserve"> </w:t>
      </w:r>
      <w:r w:rsidRPr="00853567">
        <w:rPr>
          <w:rFonts w:ascii="Arial" w:hAnsi="Arial" w:cs="Arial"/>
          <w:sz w:val="24"/>
          <w:szCs w:val="24"/>
        </w:rPr>
        <w:t>las aleg</w:t>
      </w:r>
      <w:r w:rsidRPr="00F555B0">
        <w:rPr>
          <w:rFonts w:ascii="Arial" w:hAnsi="Arial" w:cs="Arial"/>
          <w:sz w:val="24"/>
          <w:szCs w:val="24"/>
        </w:rPr>
        <w:t>aciones que nos han presentado. Estas alegaciones se incorporan al i</w:t>
      </w:r>
      <w:r w:rsidRPr="00F555B0">
        <w:rPr>
          <w:rFonts w:ascii="Arial" w:hAnsi="Arial" w:cs="Arial"/>
          <w:sz w:val="24"/>
          <w:szCs w:val="24"/>
        </w:rPr>
        <w:t>n</w:t>
      </w:r>
      <w:r w:rsidRPr="00F555B0">
        <w:rPr>
          <w:rFonts w:ascii="Arial" w:hAnsi="Arial" w:cs="Arial"/>
          <w:sz w:val="24"/>
          <w:szCs w:val="24"/>
        </w:rPr>
        <w:t>forme provisional y se eleva éste a definitivo al considerar que constituyen una explicación de la fiscalización realizada y no alteran su contenido</w:t>
      </w:r>
      <w:r>
        <w:rPr>
          <w:rFonts w:ascii="Arial" w:hAnsi="Arial" w:cs="Arial"/>
          <w:sz w:val="24"/>
          <w:szCs w:val="24"/>
        </w:rPr>
        <w:t xml:space="preserve"> a excepción de una matización del COFNA que se ha realizado en una nota a pie incluida en la página 22</w:t>
      </w:r>
      <w:r w:rsidRPr="00F555B0">
        <w:rPr>
          <w:rFonts w:ascii="Arial" w:hAnsi="Arial" w:cs="Arial"/>
          <w:sz w:val="24"/>
          <w:szCs w:val="24"/>
        </w:rPr>
        <w:t>.</w:t>
      </w:r>
    </w:p>
    <w:p w:rsidR="000D7F75" w:rsidRPr="00D33A2C" w:rsidRDefault="000D7F75" w:rsidP="000D7F75">
      <w:pPr>
        <w:autoSpaceDE w:val="0"/>
        <w:autoSpaceDN w:val="0"/>
        <w:adjustRightInd w:val="0"/>
        <w:spacing w:before="240" w:after="240"/>
        <w:ind w:firstLine="0"/>
        <w:jc w:val="left"/>
        <w:rPr>
          <w:rFonts w:ascii="Arial" w:hAnsi="Arial" w:cs="Arial"/>
          <w:i/>
          <w:sz w:val="26"/>
          <w:szCs w:val="26"/>
        </w:rPr>
      </w:pPr>
      <w:r w:rsidRPr="00D33A2C">
        <w:rPr>
          <w:rFonts w:ascii="Arial" w:hAnsi="Arial" w:cs="Arial"/>
          <w:i/>
          <w:sz w:val="26"/>
          <w:szCs w:val="26"/>
        </w:rPr>
        <w:t>Contestación a las alegaciones del COFNA</w:t>
      </w:r>
    </w:p>
    <w:p w:rsidR="000D7F75" w:rsidRDefault="000D7F75" w:rsidP="002303D6">
      <w:pPr>
        <w:pStyle w:val="Prrafodelista"/>
        <w:numPr>
          <w:ilvl w:val="0"/>
          <w:numId w:val="9"/>
        </w:numPr>
        <w:ind w:left="378"/>
        <w:rPr>
          <w:rFonts w:ascii="Arial" w:hAnsi="Arial" w:cs="Arial"/>
          <w:sz w:val="24"/>
          <w:szCs w:val="24"/>
        </w:rPr>
      </w:pPr>
      <w:r>
        <w:rPr>
          <w:rFonts w:ascii="Arial" w:hAnsi="Arial" w:cs="Arial"/>
          <w:sz w:val="24"/>
          <w:szCs w:val="24"/>
        </w:rPr>
        <w:t xml:space="preserve">Respecto a la “alegación 1ª” señalamos que, teniendo en cuenta los datos que </w:t>
      </w:r>
      <w:proofErr w:type="gramStart"/>
      <w:r>
        <w:rPr>
          <w:rFonts w:ascii="Arial" w:hAnsi="Arial" w:cs="Arial"/>
          <w:sz w:val="24"/>
          <w:szCs w:val="24"/>
        </w:rPr>
        <w:t>los</w:t>
      </w:r>
      <w:proofErr w:type="gramEnd"/>
      <w:r>
        <w:rPr>
          <w:rFonts w:ascii="Arial" w:hAnsi="Arial" w:cs="Arial"/>
          <w:sz w:val="24"/>
          <w:szCs w:val="24"/>
        </w:rPr>
        <w:t xml:space="preserve"> software de farmacia envían a LAMIA sobre los precios facturados a los pacientes, estimamos las diferencias entre estos importes y los establecidos en el </w:t>
      </w:r>
      <w:r w:rsidR="00445899">
        <w:rPr>
          <w:rFonts w:ascii="Arial" w:hAnsi="Arial" w:cs="Arial"/>
          <w:sz w:val="24"/>
          <w:szCs w:val="24"/>
        </w:rPr>
        <w:t>Nomenclátor</w:t>
      </w:r>
      <w:r>
        <w:rPr>
          <w:rFonts w:ascii="Arial" w:hAnsi="Arial" w:cs="Arial"/>
          <w:sz w:val="24"/>
          <w:szCs w:val="24"/>
        </w:rPr>
        <w:t xml:space="preserve"> obteniendo unas discrepancias que suponen un porcentaje muy pequeño sobre el total de las dispensaciones realizadas.</w:t>
      </w:r>
    </w:p>
    <w:p w:rsidR="000D7F75" w:rsidRPr="00BF55A6" w:rsidRDefault="000D7F75" w:rsidP="002303D6">
      <w:pPr>
        <w:ind w:left="378" w:firstLine="0"/>
        <w:rPr>
          <w:rFonts w:ascii="Arial" w:hAnsi="Arial" w:cs="Arial"/>
          <w:sz w:val="24"/>
          <w:szCs w:val="24"/>
        </w:rPr>
      </w:pPr>
      <w:r>
        <w:rPr>
          <w:rFonts w:ascii="Arial" w:hAnsi="Arial" w:cs="Arial"/>
          <w:sz w:val="24"/>
          <w:szCs w:val="24"/>
        </w:rPr>
        <w:t xml:space="preserve">En caso de que, tal y como se indica en la alegación, no podamos tener </w:t>
      </w:r>
      <w:r w:rsidR="00907C4A">
        <w:rPr>
          <w:rFonts w:ascii="Arial" w:hAnsi="Arial" w:cs="Arial"/>
          <w:sz w:val="24"/>
          <w:szCs w:val="24"/>
        </w:rPr>
        <w:t>cert</w:t>
      </w:r>
      <w:r w:rsidR="00907C4A">
        <w:rPr>
          <w:rFonts w:ascii="Arial" w:hAnsi="Arial" w:cs="Arial"/>
          <w:sz w:val="24"/>
          <w:szCs w:val="24"/>
        </w:rPr>
        <w:t>e</w:t>
      </w:r>
      <w:r w:rsidR="00907C4A">
        <w:rPr>
          <w:rFonts w:ascii="Arial" w:hAnsi="Arial" w:cs="Arial"/>
          <w:sz w:val="24"/>
          <w:szCs w:val="24"/>
        </w:rPr>
        <w:t>za</w:t>
      </w:r>
      <w:r>
        <w:rPr>
          <w:rFonts w:ascii="Arial" w:hAnsi="Arial" w:cs="Arial"/>
          <w:sz w:val="24"/>
          <w:szCs w:val="24"/>
        </w:rPr>
        <w:t xml:space="preserve"> sobre si este es el precio realmente cobrado a los pacientes, estaríamos en la situación de no poder asegurar que se </w:t>
      </w:r>
      <w:r w:rsidR="00907C4A">
        <w:rPr>
          <w:rFonts w:ascii="Arial" w:hAnsi="Arial" w:cs="Arial"/>
          <w:sz w:val="24"/>
          <w:szCs w:val="24"/>
        </w:rPr>
        <w:t xml:space="preserve">les </w:t>
      </w:r>
      <w:r>
        <w:rPr>
          <w:rFonts w:ascii="Arial" w:hAnsi="Arial" w:cs="Arial"/>
          <w:sz w:val="24"/>
          <w:szCs w:val="24"/>
        </w:rPr>
        <w:t xml:space="preserve">ha facturado </w:t>
      </w:r>
      <w:r w:rsidR="00907C4A">
        <w:rPr>
          <w:rFonts w:ascii="Arial" w:hAnsi="Arial" w:cs="Arial"/>
          <w:sz w:val="24"/>
          <w:szCs w:val="24"/>
        </w:rPr>
        <w:t xml:space="preserve">correctamente </w:t>
      </w:r>
      <w:r>
        <w:rPr>
          <w:rFonts w:ascii="Arial" w:hAnsi="Arial" w:cs="Arial"/>
          <w:sz w:val="24"/>
          <w:szCs w:val="24"/>
        </w:rPr>
        <w:t>en ningún caso</w:t>
      </w:r>
      <w:r w:rsidR="00907C4A">
        <w:rPr>
          <w:rFonts w:ascii="Arial" w:hAnsi="Arial" w:cs="Arial"/>
          <w:sz w:val="24"/>
          <w:szCs w:val="24"/>
        </w:rPr>
        <w:t>; esta</w:t>
      </w:r>
      <w:r>
        <w:rPr>
          <w:rFonts w:ascii="Arial" w:hAnsi="Arial" w:cs="Arial"/>
          <w:sz w:val="24"/>
          <w:szCs w:val="24"/>
        </w:rPr>
        <w:t xml:space="preserve"> situación sería más preocupante, ya que la normativa est</w:t>
      </w:r>
      <w:r>
        <w:rPr>
          <w:rFonts w:ascii="Arial" w:hAnsi="Arial" w:cs="Arial"/>
          <w:sz w:val="24"/>
          <w:szCs w:val="24"/>
        </w:rPr>
        <w:t>a</w:t>
      </w:r>
      <w:r>
        <w:rPr>
          <w:rFonts w:ascii="Arial" w:hAnsi="Arial" w:cs="Arial"/>
          <w:sz w:val="24"/>
          <w:szCs w:val="24"/>
        </w:rPr>
        <w:t>blece que los precios que deben abonar los pacientes tienen que ser los est</w:t>
      </w:r>
      <w:r>
        <w:rPr>
          <w:rFonts w:ascii="Arial" w:hAnsi="Arial" w:cs="Arial"/>
          <w:sz w:val="24"/>
          <w:szCs w:val="24"/>
        </w:rPr>
        <w:t>a</w:t>
      </w:r>
      <w:r>
        <w:rPr>
          <w:rFonts w:ascii="Arial" w:hAnsi="Arial" w:cs="Arial"/>
          <w:sz w:val="24"/>
          <w:szCs w:val="24"/>
        </w:rPr>
        <w:t xml:space="preserve">blecidos en el </w:t>
      </w:r>
      <w:r w:rsidR="00445899">
        <w:rPr>
          <w:rFonts w:ascii="Arial" w:hAnsi="Arial" w:cs="Arial"/>
          <w:sz w:val="24"/>
          <w:szCs w:val="24"/>
        </w:rPr>
        <w:t>Nomenclátor</w:t>
      </w:r>
      <w:r>
        <w:rPr>
          <w:rFonts w:ascii="Arial" w:hAnsi="Arial" w:cs="Arial"/>
          <w:sz w:val="24"/>
          <w:szCs w:val="24"/>
        </w:rPr>
        <w:t>.</w:t>
      </w:r>
    </w:p>
    <w:p w:rsidR="000D7F75" w:rsidRPr="00BF55A6" w:rsidRDefault="000D7F75" w:rsidP="002303D6">
      <w:pPr>
        <w:pStyle w:val="Prrafodelista"/>
        <w:numPr>
          <w:ilvl w:val="0"/>
          <w:numId w:val="9"/>
        </w:numPr>
        <w:ind w:left="378"/>
        <w:rPr>
          <w:rFonts w:ascii="Arial" w:hAnsi="Arial" w:cs="Arial"/>
          <w:sz w:val="24"/>
          <w:szCs w:val="24"/>
        </w:rPr>
      </w:pPr>
      <w:r>
        <w:rPr>
          <w:rFonts w:ascii="Arial" w:hAnsi="Arial" w:cs="Arial"/>
          <w:sz w:val="24"/>
          <w:szCs w:val="24"/>
        </w:rPr>
        <w:t xml:space="preserve">Hemos procedido a modificar la nota a pie de la página 22 según lo indicado en la “alegación 3ª”. </w:t>
      </w:r>
    </w:p>
    <w:p w:rsidR="000D7F75" w:rsidRPr="00BF55A6" w:rsidRDefault="000D7F75" w:rsidP="000D7F75">
      <w:pPr>
        <w:ind w:firstLine="336"/>
        <w:rPr>
          <w:rFonts w:ascii="Arial" w:hAnsi="Arial" w:cs="Arial"/>
          <w:sz w:val="24"/>
          <w:szCs w:val="24"/>
        </w:rPr>
      </w:pPr>
    </w:p>
    <w:p w:rsidR="000D7F75" w:rsidRPr="00D33A2C" w:rsidRDefault="000D7F75" w:rsidP="000D7F75">
      <w:pPr>
        <w:autoSpaceDE w:val="0"/>
        <w:autoSpaceDN w:val="0"/>
        <w:adjustRightInd w:val="0"/>
        <w:spacing w:before="240" w:after="240"/>
        <w:ind w:firstLine="0"/>
        <w:jc w:val="left"/>
        <w:rPr>
          <w:rFonts w:ascii="Arial" w:hAnsi="Arial" w:cs="Arial"/>
          <w:i/>
          <w:sz w:val="26"/>
          <w:szCs w:val="26"/>
        </w:rPr>
      </w:pPr>
      <w:r w:rsidRPr="00D33A2C">
        <w:rPr>
          <w:rFonts w:ascii="Arial" w:hAnsi="Arial" w:cs="Arial"/>
          <w:i/>
          <w:sz w:val="26"/>
          <w:szCs w:val="26"/>
        </w:rPr>
        <w:t>Contestación a las alegaciones de la Hacienda tributaria de Navarra</w:t>
      </w:r>
    </w:p>
    <w:p w:rsidR="002303D6" w:rsidRPr="002303D6" w:rsidRDefault="002303D6" w:rsidP="00D33A2C">
      <w:pPr>
        <w:pStyle w:val="Prrafodelista"/>
        <w:numPr>
          <w:ilvl w:val="0"/>
          <w:numId w:val="11"/>
        </w:numPr>
        <w:spacing w:after="120"/>
        <w:ind w:left="374" w:hanging="357"/>
        <w:contextualSpacing w:val="0"/>
        <w:rPr>
          <w:rFonts w:ascii="Arial" w:hAnsi="Arial" w:cs="Arial"/>
          <w:sz w:val="24"/>
          <w:szCs w:val="24"/>
        </w:rPr>
      </w:pPr>
      <w:r w:rsidRPr="002303D6">
        <w:rPr>
          <w:rFonts w:ascii="Arial" w:hAnsi="Arial" w:cs="Arial"/>
          <w:sz w:val="24"/>
          <w:szCs w:val="24"/>
        </w:rPr>
        <w:t>En relación con el punto 1</w:t>
      </w:r>
      <w:r w:rsidR="00D33A2C">
        <w:rPr>
          <w:rFonts w:ascii="Arial" w:hAnsi="Arial" w:cs="Arial"/>
          <w:sz w:val="24"/>
          <w:szCs w:val="24"/>
        </w:rPr>
        <w:t>, queremos señalar</w:t>
      </w:r>
      <w:r w:rsidRPr="002303D6">
        <w:rPr>
          <w:rFonts w:ascii="Arial" w:hAnsi="Arial" w:cs="Arial"/>
          <w:sz w:val="24"/>
          <w:szCs w:val="24"/>
        </w:rPr>
        <w:t xml:space="preserve"> que </w:t>
      </w:r>
      <w:r w:rsidR="00D33A2C">
        <w:rPr>
          <w:rFonts w:ascii="Arial" w:hAnsi="Arial" w:cs="Arial"/>
          <w:sz w:val="24"/>
          <w:szCs w:val="24"/>
        </w:rPr>
        <w:t>la Cámara de Comptos en este caso, ha seguido el procedimiento</w:t>
      </w:r>
      <w:r w:rsidRPr="002303D6">
        <w:rPr>
          <w:rFonts w:ascii="Arial" w:hAnsi="Arial" w:cs="Arial"/>
          <w:sz w:val="24"/>
          <w:szCs w:val="24"/>
        </w:rPr>
        <w:t xml:space="preserve"> habitual de solicitud de información </w:t>
      </w:r>
      <w:r w:rsidR="00D33A2C">
        <w:rPr>
          <w:rFonts w:ascii="Arial" w:hAnsi="Arial" w:cs="Arial"/>
          <w:sz w:val="24"/>
          <w:szCs w:val="24"/>
        </w:rPr>
        <w:t>respetando sus competencias y la normativa aplicable a nuestra Institución</w:t>
      </w:r>
      <w:r w:rsidRPr="002303D6">
        <w:rPr>
          <w:rFonts w:ascii="Arial" w:hAnsi="Arial" w:cs="Arial"/>
          <w:sz w:val="24"/>
          <w:szCs w:val="24"/>
        </w:rPr>
        <w:t>.</w:t>
      </w:r>
    </w:p>
    <w:p w:rsidR="002303D6" w:rsidRPr="002303D6" w:rsidRDefault="002303D6" w:rsidP="002303D6">
      <w:pPr>
        <w:pStyle w:val="Prrafodelista"/>
        <w:numPr>
          <w:ilvl w:val="0"/>
          <w:numId w:val="11"/>
        </w:numPr>
        <w:ind w:left="378"/>
        <w:rPr>
          <w:rFonts w:ascii="Arial" w:hAnsi="Arial" w:cs="Arial"/>
          <w:sz w:val="24"/>
          <w:szCs w:val="24"/>
        </w:rPr>
      </w:pPr>
      <w:r w:rsidRPr="002303D6">
        <w:rPr>
          <w:rFonts w:ascii="Arial" w:hAnsi="Arial" w:cs="Arial"/>
          <w:sz w:val="24"/>
          <w:szCs w:val="24"/>
        </w:rPr>
        <w:t>En cuanto a las alegaciones contenidas en el punto 2</w:t>
      </w:r>
      <w:r w:rsidR="00D33A2C">
        <w:rPr>
          <w:rFonts w:ascii="Arial" w:hAnsi="Arial" w:cs="Arial"/>
          <w:sz w:val="24"/>
          <w:szCs w:val="24"/>
        </w:rPr>
        <w:t>,</w:t>
      </w:r>
      <w:r w:rsidRPr="002303D6">
        <w:rPr>
          <w:rFonts w:ascii="Arial" w:hAnsi="Arial" w:cs="Arial"/>
          <w:sz w:val="24"/>
          <w:szCs w:val="24"/>
        </w:rPr>
        <w:t xml:space="preserve"> indicamos lo siguiente:</w:t>
      </w:r>
    </w:p>
    <w:p w:rsidR="002303D6" w:rsidRDefault="002303D6" w:rsidP="002303D6">
      <w:pPr>
        <w:numPr>
          <w:ilvl w:val="0"/>
          <w:numId w:val="10"/>
        </w:numPr>
        <w:spacing w:after="200" w:line="276" w:lineRule="auto"/>
        <w:ind w:left="709"/>
        <w:contextualSpacing/>
        <w:rPr>
          <w:rFonts w:ascii="Arial" w:eastAsiaTheme="minorHAnsi" w:hAnsi="Arial" w:cs="Arial"/>
          <w:sz w:val="24"/>
          <w:szCs w:val="24"/>
          <w:lang w:val="es-ES"/>
        </w:rPr>
      </w:pPr>
      <w:r w:rsidRPr="002303D6">
        <w:rPr>
          <w:rFonts w:ascii="Arial" w:eastAsiaTheme="minorHAnsi" w:hAnsi="Arial" w:cs="Arial"/>
          <w:sz w:val="24"/>
          <w:szCs w:val="24"/>
          <w:lang w:val="es-ES"/>
        </w:rPr>
        <w:t xml:space="preserve">La información proporcionada por la HTN a esta Cámara no permite llevar a cabo una auditoría exhaustiva ya que, si bien nos facilitaron las reglas, criterios y el código fuente del programa que genera el fichero, </w:t>
      </w:r>
      <w:r w:rsidR="00D33A2C">
        <w:rPr>
          <w:rFonts w:ascii="Arial" w:eastAsiaTheme="minorHAnsi" w:hAnsi="Arial" w:cs="Arial"/>
          <w:sz w:val="24"/>
          <w:szCs w:val="24"/>
          <w:lang w:val="es-ES"/>
        </w:rPr>
        <w:t>informamos a este organismo</w:t>
      </w:r>
      <w:r w:rsidRPr="002303D6">
        <w:rPr>
          <w:rFonts w:ascii="Arial" w:eastAsiaTheme="minorHAnsi" w:hAnsi="Arial" w:cs="Arial"/>
          <w:sz w:val="24"/>
          <w:szCs w:val="24"/>
          <w:lang w:val="es-ES"/>
        </w:rPr>
        <w:t xml:space="preserve"> que no era posible extraer ninguna conclusión al respe</w:t>
      </w:r>
      <w:r w:rsidRPr="002303D6">
        <w:rPr>
          <w:rFonts w:ascii="Arial" w:eastAsiaTheme="minorHAnsi" w:hAnsi="Arial" w:cs="Arial"/>
          <w:sz w:val="24"/>
          <w:szCs w:val="24"/>
          <w:lang w:val="es-ES"/>
        </w:rPr>
        <w:t>c</w:t>
      </w:r>
      <w:r w:rsidRPr="002303D6">
        <w:rPr>
          <w:rFonts w:ascii="Arial" w:eastAsiaTheme="minorHAnsi" w:hAnsi="Arial" w:cs="Arial"/>
          <w:sz w:val="24"/>
          <w:szCs w:val="24"/>
          <w:lang w:val="es-ES"/>
        </w:rPr>
        <w:t>to</w:t>
      </w:r>
      <w:r w:rsidR="00D33A2C">
        <w:rPr>
          <w:rFonts w:ascii="Arial" w:eastAsiaTheme="minorHAnsi" w:hAnsi="Arial" w:cs="Arial"/>
          <w:sz w:val="24"/>
          <w:szCs w:val="24"/>
          <w:lang w:val="es-ES"/>
        </w:rPr>
        <w:t>,</w:t>
      </w:r>
      <w:r w:rsidRPr="002303D6">
        <w:rPr>
          <w:rFonts w:ascii="Arial" w:eastAsiaTheme="minorHAnsi" w:hAnsi="Arial" w:cs="Arial"/>
          <w:sz w:val="24"/>
          <w:szCs w:val="24"/>
          <w:lang w:val="es-ES"/>
        </w:rPr>
        <w:t xml:space="preserve"> sin disponer de los datos sobre los que se había aplicado dicho progr</w:t>
      </w:r>
      <w:r w:rsidRPr="002303D6">
        <w:rPr>
          <w:rFonts w:ascii="Arial" w:eastAsiaTheme="minorHAnsi" w:hAnsi="Arial" w:cs="Arial"/>
          <w:sz w:val="24"/>
          <w:szCs w:val="24"/>
          <w:lang w:val="es-ES"/>
        </w:rPr>
        <w:t>a</w:t>
      </w:r>
      <w:r w:rsidRPr="002303D6">
        <w:rPr>
          <w:rFonts w:ascii="Arial" w:eastAsiaTheme="minorHAnsi" w:hAnsi="Arial" w:cs="Arial"/>
          <w:sz w:val="24"/>
          <w:szCs w:val="24"/>
          <w:lang w:val="es-ES"/>
        </w:rPr>
        <w:t>ma ni el fichero resultante. Es decir, la Cámara de Comptos realiza audit</w:t>
      </w:r>
      <w:r w:rsidRPr="002303D6">
        <w:rPr>
          <w:rFonts w:ascii="Arial" w:eastAsiaTheme="minorHAnsi" w:hAnsi="Arial" w:cs="Arial"/>
          <w:sz w:val="24"/>
          <w:szCs w:val="24"/>
          <w:lang w:val="es-ES"/>
        </w:rPr>
        <w:t>o</w:t>
      </w:r>
      <w:r w:rsidRPr="002303D6">
        <w:rPr>
          <w:rFonts w:ascii="Arial" w:eastAsiaTheme="minorHAnsi" w:hAnsi="Arial" w:cs="Arial"/>
          <w:sz w:val="24"/>
          <w:szCs w:val="24"/>
          <w:lang w:val="es-ES"/>
        </w:rPr>
        <w:t>rías sobre procedimiento</w:t>
      </w:r>
      <w:r w:rsidR="00D33A2C">
        <w:rPr>
          <w:rFonts w:ascii="Arial" w:eastAsiaTheme="minorHAnsi" w:hAnsi="Arial" w:cs="Arial"/>
          <w:sz w:val="24"/>
          <w:szCs w:val="24"/>
          <w:lang w:val="es-ES"/>
        </w:rPr>
        <w:t>s</w:t>
      </w:r>
      <w:r w:rsidRPr="002303D6">
        <w:rPr>
          <w:rFonts w:ascii="Arial" w:eastAsiaTheme="minorHAnsi" w:hAnsi="Arial" w:cs="Arial"/>
          <w:sz w:val="24"/>
          <w:szCs w:val="24"/>
          <w:lang w:val="es-ES"/>
        </w:rPr>
        <w:t xml:space="preserve"> pero siempre verifica la real aplicación de los mismos, lo cual no ha sido posible en este caso.</w:t>
      </w:r>
    </w:p>
    <w:p w:rsidR="00D33A2C" w:rsidRDefault="00D33A2C" w:rsidP="00D33A2C">
      <w:pPr>
        <w:spacing w:after="200" w:line="276" w:lineRule="auto"/>
        <w:contextualSpacing/>
        <w:rPr>
          <w:rFonts w:ascii="Arial" w:eastAsiaTheme="minorHAnsi" w:hAnsi="Arial" w:cs="Arial"/>
          <w:sz w:val="24"/>
          <w:szCs w:val="24"/>
          <w:lang w:val="es-ES"/>
        </w:rPr>
      </w:pPr>
    </w:p>
    <w:p w:rsidR="00D33A2C" w:rsidRPr="002303D6" w:rsidRDefault="00D33A2C" w:rsidP="00FD287D">
      <w:pPr>
        <w:spacing w:after="200" w:line="276" w:lineRule="auto"/>
        <w:ind w:left="756" w:firstLine="0"/>
        <w:contextualSpacing/>
        <w:rPr>
          <w:rFonts w:ascii="Arial" w:eastAsiaTheme="minorHAnsi" w:hAnsi="Arial" w:cs="Arial"/>
          <w:sz w:val="24"/>
          <w:szCs w:val="24"/>
          <w:lang w:val="es-ES"/>
        </w:rPr>
      </w:pPr>
      <w:r>
        <w:rPr>
          <w:rFonts w:ascii="Arial" w:eastAsiaTheme="minorHAnsi" w:hAnsi="Arial" w:cs="Arial"/>
          <w:sz w:val="24"/>
          <w:szCs w:val="24"/>
          <w:lang w:val="es-ES"/>
        </w:rPr>
        <w:lastRenderedPageBreak/>
        <w:t xml:space="preserve">Por </w:t>
      </w:r>
      <w:r w:rsidRPr="002303D6">
        <w:rPr>
          <w:rFonts w:ascii="Arial" w:eastAsiaTheme="minorHAnsi" w:hAnsi="Arial" w:cs="Arial"/>
          <w:sz w:val="24"/>
          <w:szCs w:val="24"/>
          <w:lang w:val="es-ES"/>
        </w:rPr>
        <w:t>lo tanto, la información proporcionada por la HTN a esta Cámara no es suficiente ni adecuada para poder llegar a una conclusión soportada y por este motivo no se menciona esta cuestión en nuestro informe.</w:t>
      </w:r>
    </w:p>
    <w:p w:rsidR="002303D6" w:rsidRPr="002303D6" w:rsidRDefault="002303D6" w:rsidP="002303D6">
      <w:pPr>
        <w:numPr>
          <w:ilvl w:val="0"/>
          <w:numId w:val="10"/>
        </w:numPr>
        <w:spacing w:after="200" w:line="276" w:lineRule="auto"/>
        <w:ind w:left="709"/>
        <w:contextualSpacing/>
        <w:rPr>
          <w:rFonts w:ascii="Arial" w:eastAsiaTheme="minorHAnsi" w:hAnsi="Arial" w:cs="Arial"/>
          <w:sz w:val="24"/>
          <w:szCs w:val="24"/>
          <w:lang w:val="es-ES"/>
        </w:rPr>
      </w:pPr>
      <w:r w:rsidRPr="002303D6">
        <w:rPr>
          <w:rFonts w:ascii="Arial" w:eastAsiaTheme="minorHAnsi" w:hAnsi="Arial" w:cs="Arial"/>
          <w:sz w:val="24"/>
          <w:szCs w:val="24"/>
          <w:lang w:val="es-ES"/>
        </w:rPr>
        <w:t>Teniendo en cuenta que constatamos la existencia de errores en los po</w:t>
      </w:r>
      <w:r w:rsidRPr="002303D6">
        <w:rPr>
          <w:rFonts w:ascii="Arial" w:eastAsiaTheme="minorHAnsi" w:hAnsi="Arial" w:cs="Arial"/>
          <w:sz w:val="24"/>
          <w:szCs w:val="24"/>
          <w:lang w:val="es-ES"/>
        </w:rPr>
        <w:t>r</w:t>
      </w:r>
      <w:r w:rsidRPr="002303D6">
        <w:rPr>
          <w:rFonts w:ascii="Arial" w:eastAsiaTheme="minorHAnsi" w:hAnsi="Arial" w:cs="Arial"/>
          <w:sz w:val="24"/>
          <w:szCs w:val="24"/>
          <w:lang w:val="es-ES"/>
        </w:rPr>
        <w:t>centajes de aportación de pacientes en el muestreo realizado, no podemos reproducir los cálculos en estos casos (por los motivos anteriormente de</w:t>
      </w:r>
      <w:r w:rsidRPr="002303D6">
        <w:rPr>
          <w:rFonts w:ascii="Arial" w:eastAsiaTheme="minorHAnsi" w:hAnsi="Arial" w:cs="Arial"/>
          <w:sz w:val="24"/>
          <w:szCs w:val="24"/>
          <w:lang w:val="es-ES"/>
        </w:rPr>
        <w:t>s</w:t>
      </w:r>
      <w:r w:rsidRPr="002303D6">
        <w:rPr>
          <w:rFonts w:ascii="Arial" w:eastAsiaTheme="minorHAnsi" w:hAnsi="Arial" w:cs="Arial"/>
          <w:sz w:val="24"/>
          <w:szCs w:val="24"/>
          <w:lang w:val="es-ES"/>
        </w:rPr>
        <w:t xml:space="preserve">critos) ni limitarnos al análisis de estos </w:t>
      </w:r>
      <w:r w:rsidR="00907C4A">
        <w:rPr>
          <w:rFonts w:ascii="Arial" w:eastAsiaTheme="minorHAnsi" w:hAnsi="Arial" w:cs="Arial"/>
          <w:sz w:val="24"/>
          <w:szCs w:val="24"/>
          <w:lang w:val="es-ES"/>
        </w:rPr>
        <w:t>errores</w:t>
      </w:r>
      <w:r w:rsidRPr="002303D6">
        <w:rPr>
          <w:rFonts w:ascii="Arial" w:eastAsiaTheme="minorHAnsi" w:hAnsi="Arial" w:cs="Arial"/>
          <w:sz w:val="24"/>
          <w:szCs w:val="24"/>
          <w:lang w:val="es-ES"/>
        </w:rPr>
        <w:t xml:space="preserve"> puntuales. Nuestro trabajo consiste en verificar la adecuada gestión de los fondos públicos, analizando la totalidad de los datos objeto de tratamiento y el fichero remitido por la HTN al INSS para proceder, en su caso, a su corrección con el fin de que el SNS-O asuma el gasto que le corresponde según la normativa.</w:t>
      </w:r>
    </w:p>
    <w:p w:rsidR="002303D6" w:rsidRPr="002303D6" w:rsidRDefault="002303D6" w:rsidP="002303D6">
      <w:pPr>
        <w:numPr>
          <w:ilvl w:val="0"/>
          <w:numId w:val="10"/>
        </w:numPr>
        <w:spacing w:after="200" w:line="276" w:lineRule="auto"/>
        <w:ind w:left="709"/>
        <w:contextualSpacing/>
        <w:rPr>
          <w:rFonts w:ascii="Arial" w:eastAsiaTheme="minorHAnsi" w:hAnsi="Arial" w:cs="Arial"/>
          <w:sz w:val="24"/>
          <w:szCs w:val="24"/>
          <w:lang w:val="es-ES"/>
        </w:rPr>
      </w:pPr>
      <w:r w:rsidRPr="002303D6">
        <w:rPr>
          <w:rFonts w:ascii="Arial" w:eastAsiaTheme="minorHAnsi" w:hAnsi="Arial" w:cs="Arial"/>
          <w:sz w:val="24"/>
          <w:szCs w:val="24"/>
          <w:lang w:val="es-ES"/>
        </w:rPr>
        <w:t>El proceso de determinación del porcentaje de aportación del paciente se compone de tres fases: en la primera, la HTN remite al INSS un fichero con el nivel de renta; en la segunda, el INSS calcula el porcentaje de aportación uniendo la información anterior a otros parámetros</w:t>
      </w:r>
      <w:r w:rsidR="00FD287D">
        <w:rPr>
          <w:rFonts w:ascii="Arial" w:eastAsiaTheme="minorHAnsi" w:hAnsi="Arial" w:cs="Arial"/>
          <w:sz w:val="24"/>
          <w:szCs w:val="24"/>
          <w:lang w:val="es-ES"/>
        </w:rPr>
        <w:t>;</w:t>
      </w:r>
      <w:r w:rsidRPr="002303D6">
        <w:rPr>
          <w:rFonts w:ascii="Arial" w:eastAsiaTheme="minorHAnsi" w:hAnsi="Arial" w:cs="Arial"/>
          <w:sz w:val="24"/>
          <w:szCs w:val="24"/>
          <w:lang w:val="es-ES"/>
        </w:rPr>
        <w:t xml:space="preserve"> en la tercera, el SNS-O actualiza sus datos con los que le remite este instituto. El ámbito comp</w:t>
      </w:r>
      <w:r w:rsidRPr="002303D6">
        <w:rPr>
          <w:rFonts w:ascii="Arial" w:eastAsiaTheme="minorHAnsi" w:hAnsi="Arial" w:cs="Arial"/>
          <w:sz w:val="24"/>
          <w:szCs w:val="24"/>
          <w:lang w:val="es-ES"/>
        </w:rPr>
        <w:t>e</w:t>
      </w:r>
      <w:r w:rsidRPr="002303D6">
        <w:rPr>
          <w:rFonts w:ascii="Arial" w:eastAsiaTheme="minorHAnsi" w:hAnsi="Arial" w:cs="Arial"/>
          <w:sz w:val="24"/>
          <w:szCs w:val="24"/>
          <w:lang w:val="es-ES"/>
        </w:rPr>
        <w:t>tencial de esta Cámara comprende la fiscalización de la primera y tercera fase; tal y como queda reflejado en el informe, hemos constatado que la tercera se llevó a cabo correctamente, quedando pendiente la verificación de la primera. En caso de que hubiéramos podido llevar a cabo esta parte de la fiscalización, podríamos haber determinado si el proceso seguido por la HTN fue correcto</w:t>
      </w:r>
      <w:r w:rsidR="00FD287D">
        <w:rPr>
          <w:rFonts w:ascii="Arial" w:eastAsiaTheme="minorHAnsi" w:hAnsi="Arial" w:cs="Arial"/>
          <w:sz w:val="24"/>
          <w:szCs w:val="24"/>
          <w:lang w:val="es-ES"/>
        </w:rPr>
        <w:t>. E</w:t>
      </w:r>
      <w:r w:rsidRPr="002303D6">
        <w:rPr>
          <w:rFonts w:ascii="Arial" w:eastAsiaTheme="minorHAnsi" w:hAnsi="Arial" w:cs="Arial"/>
          <w:sz w:val="24"/>
          <w:szCs w:val="24"/>
          <w:lang w:val="es-ES"/>
        </w:rPr>
        <w:t>n caso de que lo fuera, el Gobierno de Navarra te</w:t>
      </w:r>
      <w:r w:rsidRPr="002303D6">
        <w:rPr>
          <w:rFonts w:ascii="Arial" w:eastAsiaTheme="minorHAnsi" w:hAnsi="Arial" w:cs="Arial"/>
          <w:sz w:val="24"/>
          <w:szCs w:val="24"/>
          <w:lang w:val="es-ES"/>
        </w:rPr>
        <w:t>n</w:t>
      </w:r>
      <w:r w:rsidRPr="002303D6">
        <w:rPr>
          <w:rFonts w:ascii="Arial" w:eastAsiaTheme="minorHAnsi" w:hAnsi="Arial" w:cs="Arial"/>
          <w:sz w:val="24"/>
          <w:szCs w:val="24"/>
          <w:lang w:val="es-ES"/>
        </w:rPr>
        <w:t>dría que instar al INSS a la revisión del proceso de determinación de los porcentajes de apor</w:t>
      </w:r>
      <w:r w:rsidR="00DD5CE9">
        <w:rPr>
          <w:rFonts w:ascii="Arial" w:eastAsiaTheme="minorHAnsi" w:hAnsi="Arial" w:cs="Arial"/>
          <w:sz w:val="24"/>
          <w:szCs w:val="24"/>
          <w:lang w:val="es-ES"/>
        </w:rPr>
        <w:t>tación del paciente.</w:t>
      </w:r>
    </w:p>
    <w:p w:rsidR="002303D6" w:rsidRPr="002303D6" w:rsidRDefault="002303D6" w:rsidP="00DD5CE9">
      <w:pPr>
        <w:spacing w:after="200" w:line="276" w:lineRule="auto"/>
        <w:ind w:left="686" w:firstLine="0"/>
        <w:contextualSpacing/>
        <w:rPr>
          <w:rFonts w:ascii="Arial" w:eastAsiaTheme="minorHAnsi" w:hAnsi="Arial" w:cs="Arial"/>
          <w:sz w:val="24"/>
          <w:szCs w:val="24"/>
          <w:lang w:val="es-ES"/>
        </w:rPr>
      </w:pPr>
      <w:r w:rsidRPr="002303D6">
        <w:rPr>
          <w:rFonts w:ascii="Arial" w:eastAsiaTheme="minorHAnsi" w:hAnsi="Arial" w:cs="Arial"/>
          <w:sz w:val="24"/>
          <w:szCs w:val="24"/>
          <w:lang w:val="es-ES"/>
        </w:rPr>
        <w:t>Al no disponer de la información necesaria para llevar a cabo esta parte de la fiscalización, no podemos determinar si el error en la determinación del porcentaje de aportación se ha producido en la fase de generación del f</w:t>
      </w:r>
      <w:r w:rsidRPr="002303D6">
        <w:rPr>
          <w:rFonts w:ascii="Arial" w:eastAsiaTheme="minorHAnsi" w:hAnsi="Arial" w:cs="Arial"/>
          <w:sz w:val="24"/>
          <w:szCs w:val="24"/>
          <w:lang w:val="es-ES"/>
        </w:rPr>
        <w:t>i</w:t>
      </w:r>
      <w:r w:rsidRPr="002303D6">
        <w:rPr>
          <w:rFonts w:ascii="Arial" w:eastAsiaTheme="minorHAnsi" w:hAnsi="Arial" w:cs="Arial"/>
          <w:sz w:val="24"/>
          <w:szCs w:val="24"/>
          <w:lang w:val="es-ES"/>
        </w:rPr>
        <w:t>chero por parte de la HTN, o en el tratamiento posterior que realiza el INSS</w:t>
      </w:r>
      <w:r w:rsidR="00FD287D">
        <w:rPr>
          <w:rFonts w:ascii="Arial" w:eastAsiaTheme="minorHAnsi" w:hAnsi="Arial" w:cs="Arial"/>
          <w:sz w:val="24"/>
          <w:szCs w:val="24"/>
          <w:lang w:val="es-ES"/>
        </w:rPr>
        <w:t>;</w:t>
      </w:r>
      <w:r w:rsidRPr="002303D6">
        <w:rPr>
          <w:rFonts w:ascii="Arial" w:eastAsiaTheme="minorHAnsi" w:hAnsi="Arial" w:cs="Arial"/>
          <w:sz w:val="24"/>
          <w:szCs w:val="24"/>
          <w:lang w:val="es-ES"/>
        </w:rPr>
        <w:t xml:space="preserve"> </w:t>
      </w:r>
      <w:r w:rsidR="00FD287D">
        <w:rPr>
          <w:rFonts w:ascii="Arial" w:eastAsiaTheme="minorHAnsi" w:hAnsi="Arial" w:cs="Arial"/>
          <w:sz w:val="24"/>
          <w:szCs w:val="24"/>
          <w:lang w:val="es-ES"/>
        </w:rPr>
        <w:t>tampoco hemos podido comprobar</w:t>
      </w:r>
      <w:r w:rsidRPr="002303D6">
        <w:rPr>
          <w:rFonts w:ascii="Arial" w:eastAsiaTheme="minorHAnsi" w:hAnsi="Arial" w:cs="Arial"/>
          <w:sz w:val="24"/>
          <w:szCs w:val="24"/>
          <w:lang w:val="es-ES"/>
        </w:rPr>
        <w:t xml:space="preserve"> cuántos casos erróneos existen, de ahí que no tengamos la evidencia suficiente para verificar si el gasto del SNS-O derivado de la gestión analizada es el ad</w:t>
      </w:r>
      <w:r w:rsidR="00DD5CE9">
        <w:rPr>
          <w:rFonts w:ascii="Arial" w:eastAsiaTheme="minorHAnsi" w:hAnsi="Arial" w:cs="Arial"/>
          <w:sz w:val="24"/>
          <w:szCs w:val="24"/>
          <w:lang w:val="es-ES"/>
        </w:rPr>
        <w:t>ecuado.</w:t>
      </w:r>
    </w:p>
    <w:p w:rsidR="002303D6" w:rsidRPr="002303D6" w:rsidRDefault="002303D6" w:rsidP="002303D6">
      <w:pPr>
        <w:pStyle w:val="Prrafodelista"/>
        <w:numPr>
          <w:ilvl w:val="0"/>
          <w:numId w:val="11"/>
        </w:numPr>
        <w:ind w:left="378"/>
        <w:rPr>
          <w:rFonts w:ascii="Arial" w:hAnsi="Arial" w:cs="Arial"/>
          <w:sz w:val="24"/>
          <w:szCs w:val="24"/>
        </w:rPr>
      </w:pPr>
      <w:r w:rsidRPr="002303D6">
        <w:rPr>
          <w:rFonts w:ascii="Arial" w:hAnsi="Arial" w:cs="Arial"/>
          <w:sz w:val="24"/>
          <w:szCs w:val="24"/>
        </w:rPr>
        <w:t>Independientemente de todo lo anterior y dado que, según indica la HTN en sus alegaciones, la respuesta a nuestro requerimiento está todavía en tramit</w:t>
      </w:r>
      <w:r w:rsidRPr="002303D6">
        <w:rPr>
          <w:rFonts w:ascii="Arial" w:hAnsi="Arial" w:cs="Arial"/>
          <w:sz w:val="24"/>
          <w:szCs w:val="24"/>
        </w:rPr>
        <w:t>a</w:t>
      </w:r>
      <w:r w:rsidRPr="002303D6">
        <w:rPr>
          <w:rFonts w:ascii="Arial" w:hAnsi="Arial" w:cs="Arial"/>
          <w:sz w:val="24"/>
          <w:szCs w:val="24"/>
        </w:rPr>
        <w:t xml:space="preserve">ción, esta Cámara espera que la respuesta sea favorable </w:t>
      </w:r>
      <w:r w:rsidR="00FD287D">
        <w:rPr>
          <w:rFonts w:ascii="Arial" w:hAnsi="Arial" w:cs="Arial"/>
          <w:sz w:val="24"/>
          <w:szCs w:val="24"/>
        </w:rPr>
        <w:t xml:space="preserve">para poder disponer </w:t>
      </w:r>
      <w:r w:rsidRPr="002303D6">
        <w:rPr>
          <w:rFonts w:ascii="Arial" w:hAnsi="Arial" w:cs="Arial"/>
          <w:sz w:val="24"/>
          <w:szCs w:val="24"/>
        </w:rPr>
        <w:t xml:space="preserve"> de toda la información necesaria para la realización de futuros trabajos y co</w:t>
      </w:r>
      <w:r w:rsidRPr="002303D6">
        <w:rPr>
          <w:rFonts w:ascii="Arial" w:hAnsi="Arial" w:cs="Arial"/>
          <w:sz w:val="24"/>
          <w:szCs w:val="24"/>
        </w:rPr>
        <w:t>n</w:t>
      </w:r>
      <w:r w:rsidRPr="002303D6">
        <w:rPr>
          <w:rFonts w:ascii="Arial" w:hAnsi="Arial" w:cs="Arial"/>
          <w:sz w:val="24"/>
          <w:szCs w:val="24"/>
        </w:rPr>
        <w:t xml:space="preserve">tribuir </w:t>
      </w:r>
      <w:r w:rsidR="00FD287D">
        <w:rPr>
          <w:rFonts w:ascii="Arial" w:hAnsi="Arial" w:cs="Arial"/>
          <w:sz w:val="24"/>
          <w:szCs w:val="24"/>
        </w:rPr>
        <w:t xml:space="preserve">de este modo </w:t>
      </w:r>
      <w:r w:rsidRPr="002303D6">
        <w:rPr>
          <w:rFonts w:ascii="Arial" w:hAnsi="Arial" w:cs="Arial"/>
          <w:sz w:val="24"/>
          <w:szCs w:val="24"/>
        </w:rPr>
        <w:t>a la mejora de la gestión de los fondos públicos.</w:t>
      </w:r>
    </w:p>
    <w:p w:rsidR="002303D6" w:rsidRDefault="000D7F75" w:rsidP="002303D6">
      <w:pPr>
        <w:spacing w:before="240" w:after="0"/>
        <w:ind w:firstLine="0"/>
        <w:jc w:val="center"/>
        <w:rPr>
          <w:rFonts w:ascii="Arial" w:hAnsi="Arial" w:cs="Arial"/>
          <w:spacing w:val="6"/>
          <w:sz w:val="24"/>
          <w:szCs w:val="24"/>
        </w:rPr>
      </w:pPr>
      <w:r w:rsidRPr="00F555B0">
        <w:rPr>
          <w:rFonts w:ascii="Arial" w:hAnsi="Arial" w:cs="Arial"/>
          <w:spacing w:val="6"/>
          <w:sz w:val="24"/>
          <w:szCs w:val="24"/>
        </w:rPr>
        <w:t xml:space="preserve">Pamplona, </w:t>
      </w:r>
      <w:r>
        <w:rPr>
          <w:rFonts w:ascii="Arial" w:hAnsi="Arial" w:cs="Arial"/>
          <w:spacing w:val="6"/>
          <w:sz w:val="24"/>
          <w:szCs w:val="24"/>
        </w:rPr>
        <w:t>28</w:t>
      </w:r>
      <w:r w:rsidRPr="00F555B0">
        <w:rPr>
          <w:rFonts w:ascii="Arial" w:hAnsi="Arial" w:cs="Arial"/>
          <w:spacing w:val="6"/>
          <w:sz w:val="24"/>
          <w:szCs w:val="24"/>
        </w:rPr>
        <w:t xml:space="preserve"> de </w:t>
      </w:r>
      <w:r>
        <w:rPr>
          <w:rFonts w:ascii="Arial" w:hAnsi="Arial" w:cs="Arial"/>
          <w:spacing w:val="6"/>
          <w:sz w:val="24"/>
          <w:szCs w:val="24"/>
        </w:rPr>
        <w:t>marzo de 2019</w:t>
      </w:r>
    </w:p>
    <w:p w:rsidR="000D7F75" w:rsidRPr="00227E5A" w:rsidRDefault="000D7F75" w:rsidP="002303D6">
      <w:pPr>
        <w:spacing w:before="120" w:after="120"/>
        <w:ind w:firstLine="0"/>
        <w:jc w:val="center"/>
        <w:rPr>
          <w:rFonts w:ascii="Arial" w:hAnsi="Arial" w:cs="Arial"/>
          <w:sz w:val="24"/>
        </w:rPr>
      </w:pPr>
      <w:r w:rsidRPr="00227E5A">
        <w:rPr>
          <w:rFonts w:ascii="Arial" w:hAnsi="Arial" w:cs="Arial"/>
          <w:sz w:val="24"/>
        </w:rPr>
        <w:t>La presidenta, Asunción Olaechea</w:t>
      </w:r>
      <w:r>
        <w:rPr>
          <w:rFonts w:ascii="Arial" w:hAnsi="Arial" w:cs="Arial"/>
          <w:sz w:val="24"/>
        </w:rPr>
        <w:t xml:space="preserve"> Estanga</w:t>
      </w:r>
      <w:bookmarkEnd w:id="72"/>
      <w:bookmarkEnd w:id="73"/>
      <w:bookmarkEnd w:id="74"/>
      <w:bookmarkEnd w:id="75"/>
      <w:bookmarkEnd w:id="76"/>
      <w:bookmarkEnd w:id="77"/>
    </w:p>
    <w:sectPr w:rsidR="000D7F75" w:rsidRPr="00227E5A" w:rsidSect="00B30EF4">
      <w:footerReference w:type="default" r:id="rId25"/>
      <w:type w:val="oddPage"/>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87D" w:rsidRPr="00D536A1" w:rsidRDefault="00FD287D" w:rsidP="00D536A1">
      <w:pPr>
        <w:pStyle w:val="Piedepgina"/>
      </w:pPr>
    </w:p>
  </w:endnote>
  <w:endnote w:type="continuationSeparator" w:id="0">
    <w:p w:rsidR="00FD287D" w:rsidRPr="00D536A1" w:rsidRDefault="00FD287D" w:rsidP="00D536A1">
      <w:pPr>
        <w:pStyle w:val="Piedep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raj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87D" w:rsidRDefault="00FD287D"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D287D" w:rsidRDefault="00FD287D"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87D" w:rsidRPr="00F03814" w:rsidRDefault="00FD287D"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4BD76FA2" wp14:editId="22E28959">
          <wp:extent cx="219075" cy="371475"/>
          <wp:effectExtent l="0" t="0" r="9525" b="9525"/>
          <wp:docPr id="22" name="Imagen 2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FD287D" w:rsidRPr="00F74E38" w:rsidRDefault="00FD287D" w:rsidP="00F03814">
    <w:pPr>
      <w:pStyle w:val="Piedepgina"/>
      <w:tabs>
        <w:tab w:val="clear" w:pos="4252"/>
        <w:tab w:val="clear" w:pos="8504"/>
        <w:tab w:val="center" w:pos="4560"/>
      </w:tabs>
      <w:ind w:right="360"/>
      <w:jc w:val="left"/>
      <w:rPr>
        <w:rStyle w:val="Nmerodepgina"/>
      </w:rPr>
    </w:pPr>
  </w:p>
  <w:p w:rsidR="00FD287D" w:rsidRPr="00C13453" w:rsidRDefault="00FD287D"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87D" w:rsidRDefault="00FD287D"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87D" w:rsidRPr="00F03814" w:rsidRDefault="00FD287D" w:rsidP="00124900">
    <w:pPr>
      <w:pStyle w:val="Piedepgina"/>
      <w:tabs>
        <w:tab w:val="clear" w:pos="2835"/>
        <w:tab w:val="clear" w:pos="3969"/>
        <w:tab w:val="clear" w:pos="4252"/>
        <w:tab w:val="clear" w:pos="5103"/>
        <w:tab w:val="clear" w:pos="6237"/>
        <w:tab w:val="clear" w:pos="7371"/>
        <w:tab w:val="clear" w:pos="8504"/>
        <w:tab w:val="center" w:pos="4253"/>
      </w:tabs>
      <w:spacing w:after="0"/>
      <w:ind w:right="29"/>
      <w:jc w:val="left"/>
      <w:rPr>
        <w:rFonts w:ascii="Trajan" w:hAnsi="Trajan"/>
        <w:sz w:val="24"/>
        <w:szCs w:val="24"/>
      </w:rPr>
    </w:pPr>
    <w:r>
      <w:rPr>
        <w:rFonts w:ascii="GillSans" w:hAnsi="GillSans"/>
        <w:noProof/>
        <w:lang w:val="es-ES" w:eastAsia="es-ES"/>
      </w:rPr>
      <w:drawing>
        <wp:inline distT="0" distB="0" distL="0" distR="0" wp14:anchorId="4C2D96DD" wp14:editId="0C018197">
          <wp:extent cx="219075" cy="371475"/>
          <wp:effectExtent l="0" t="0" r="9525" b="9525"/>
          <wp:docPr id="24" name="Imagen 2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445899">
      <w:rPr>
        <w:rStyle w:val="Nmerodepgina"/>
        <w:noProof/>
        <w:szCs w:val="24"/>
      </w:rPr>
      <w:t>36</w:t>
    </w:r>
    <w:r w:rsidRPr="001D4F09">
      <w:rPr>
        <w:rStyle w:val="Nmerodepgina"/>
        <w:szCs w:val="24"/>
      </w:rPr>
      <w:fldChar w:fldCharType="end"/>
    </w:r>
    <w:r w:rsidRPr="001D4F09">
      <w:rPr>
        <w:rStyle w:val="Nmerodepgina"/>
        <w:szCs w:val="24"/>
      </w:rPr>
      <w:t xml:space="preserve"> -</w:t>
    </w:r>
  </w:p>
  <w:p w:rsidR="00FD287D" w:rsidRPr="00C13453" w:rsidRDefault="00FD287D" w:rsidP="00D2472C">
    <w:pPr>
      <w:pStyle w:val="BorradorProvisional"/>
      <w:ind w:left="0"/>
      <w:jc w:val="center"/>
    </w:pPr>
  </w:p>
  <w:p w:rsidR="00FD287D" w:rsidRDefault="00FD287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87D" w:rsidRPr="00F03814" w:rsidRDefault="00FD287D" w:rsidP="00124900">
    <w:pPr>
      <w:pStyle w:val="Piedepgina"/>
      <w:tabs>
        <w:tab w:val="clear" w:pos="2835"/>
        <w:tab w:val="clear" w:pos="3969"/>
        <w:tab w:val="clear" w:pos="4252"/>
        <w:tab w:val="clear" w:pos="5103"/>
        <w:tab w:val="clear" w:pos="6237"/>
        <w:tab w:val="clear" w:pos="7371"/>
        <w:tab w:val="clear" w:pos="8504"/>
        <w:tab w:val="center" w:pos="6521"/>
      </w:tabs>
      <w:spacing w:after="0"/>
      <w:ind w:right="29"/>
      <w:jc w:val="left"/>
      <w:rPr>
        <w:rFonts w:ascii="Trajan" w:hAnsi="Trajan"/>
        <w:sz w:val="24"/>
        <w:szCs w:val="24"/>
      </w:rPr>
    </w:pPr>
    <w:r>
      <w:rPr>
        <w:rFonts w:ascii="GillSans" w:hAnsi="GillSans"/>
        <w:noProof/>
        <w:lang w:val="es-ES" w:eastAsia="es-ES"/>
      </w:rPr>
      <w:drawing>
        <wp:inline distT="0" distB="0" distL="0" distR="0" wp14:anchorId="30D54783" wp14:editId="01253546">
          <wp:extent cx="219075" cy="371475"/>
          <wp:effectExtent l="0" t="0" r="9525" b="9525"/>
          <wp:docPr id="38" name="Imagen 38"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445899">
      <w:rPr>
        <w:rStyle w:val="Nmerodepgina"/>
        <w:noProof/>
        <w:szCs w:val="24"/>
      </w:rPr>
      <w:t>37</w:t>
    </w:r>
    <w:r w:rsidRPr="001D4F09">
      <w:rPr>
        <w:rStyle w:val="Nmerodepgina"/>
        <w:szCs w:val="24"/>
      </w:rPr>
      <w:fldChar w:fldCharType="end"/>
    </w:r>
    <w:r w:rsidRPr="001D4F09">
      <w:rPr>
        <w:rStyle w:val="Nmerodepgina"/>
        <w:szCs w:val="24"/>
      </w:rPr>
      <w:t xml:space="preserve"> -</w:t>
    </w:r>
  </w:p>
  <w:p w:rsidR="00FD287D" w:rsidRPr="00C13453" w:rsidRDefault="00FD287D" w:rsidP="00D2472C">
    <w:pPr>
      <w:pStyle w:val="BorradorProvisional"/>
      <w:ind w:left="0"/>
      <w:jc w:val="center"/>
    </w:pPr>
  </w:p>
  <w:p w:rsidR="00FD287D" w:rsidRDefault="00FD287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87D" w:rsidRPr="00F03814" w:rsidRDefault="00FD287D" w:rsidP="007A4D38">
    <w:pPr>
      <w:pStyle w:val="Piedepgina"/>
      <w:tabs>
        <w:tab w:val="clear" w:pos="2835"/>
        <w:tab w:val="clear" w:pos="3969"/>
        <w:tab w:val="clear" w:pos="4252"/>
        <w:tab w:val="clear" w:pos="5103"/>
        <w:tab w:val="clear" w:pos="6237"/>
        <w:tab w:val="clear" w:pos="7371"/>
        <w:tab w:val="clear" w:pos="8504"/>
        <w:tab w:val="center" w:pos="4253"/>
      </w:tabs>
      <w:spacing w:after="0"/>
      <w:ind w:right="29"/>
      <w:jc w:val="left"/>
      <w:rPr>
        <w:rFonts w:ascii="Trajan" w:hAnsi="Trajan"/>
        <w:sz w:val="24"/>
        <w:szCs w:val="24"/>
      </w:rPr>
    </w:pPr>
    <w:r>
      <w:rPr>
        <w:rFonts w:ascii="GillSans" w:hAnsi="GillSans"/>
        <w:noProof/>
        <w:lang w:val="es-ES" w:eastAsia="es-ES"/>
      </w:rPr>
      <w:drawing>
        <wp:inline distT="0" distB="0" distL="0" distR="0" wp14:anchorId="0B797940" wp14:editId="4E2D5648">
          <wp:extent cx="219075" cy="371475"/>
          <wp:effectExtent l="0" t="0" r="9525" b="9525"/>
          <wp:docPr id="39" name="Imagen 39"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445899">
      <w:rPr>
        <w:rStyle w:val="Nmerodepgina"/>
        <w:noProof/>
        <w:szCs w:val="24"/>
      </w:rPr>
      <w:t>39</w:t>
    </w:r>
    <w:r w:rsidRPr="001D4F09">
      <w:rPr>
        <w:rStyle w:val="Nmerodepgina"/>
        <w:szCs w:val="24"/>
      </w:rPr>
      <w:fldChar w:fldCharType="end"/>
    </w:r>
    <w:r w:rsidRPr="001D4F09">
      <w:rPr>
        <w:rStyle w:val="Nmerodepgina"/>
        <w:szCs w:val="24"/>
      </w:rPr>
      <w:t xml:space="preserve"> -</w:t>
    </w:r>
  </w:p>
  <w:p w:rsidR="00FD287D" w:rsidRPr="00C13453" w:rsidRDefault="00FD287D" w:rsidP="00D2472C">
    <w:pPr>
      <w:pStyle w:val="BorradorProvisional"/>
      <w:ind w:left="0"/>
      <w:jc w:val="center"/>
    </w:pPr>
  </w:p>
  <w:p w:rsidR="00FD287D" w:rsidRDefault="00FD287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87D" w:rsidRPr="00F03814" w:rsidRDefault="00FD287D" w:rsidP="00124900">
    <w:pPr>
      <w:pStyle w:val="Piedepgina"/>
      <w:tabs>
        <w:tab w:val="clear" w:pos="2835"/>
        <w:tab w:val="clear" w:pos="3969"/>
        <w:tab w:val="clear" w:pos="4252"/>
        <w:tab w:val="clear" w:pos="5103"/>
        <w:tab w:val="clear" w:pos="6237"/>
        <w:tab w:val="clear" w:pos="7371"/>
        <w:tab w:val="clear" w:pos="8504"/>
        <w:tab w:val="center" w:pos="6521"/>
      </w:tabs>
      <w:spacing w:after="0"/>
      <w:ind w:right="29"/>
      <w:jc w:val="left"/>
      <w:rPr>
        <w:rFonts w:ascii="Trajan" w:hAnsi="Trajan"/>
        <w:sz w:val="24"/>
        <w:szCs w:val="24"/>
      </w:rPr>
    </w:pPr>
    <w:r>
      <w:rPr>
        <w:rFonts w:ascii="GillSans" w:hAnsi="GillSans"/>
        <w:noProof/>
        <w:lang w:val="es-ES" w:eastAsia="es-ES"/>
      </w:rPr>
      <w:drawing>
        <wp:inline distT="0" distB="0" distL="0" distR="0" wp14:anchorId="3C53D8D1" wp14:editId="77B1A52F">
          <wp:extent cx="219075" cy="371475"/>
          <wp:effectExtent l="0" t="0" r="9525" b="9525"/>
          <wp:docPr id="2" name="Imagen 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445899">
      <w:rPr>
        <w:rStyle w:val="Nmerodepgina"/>
        <w:noProof/>
        <w:szCs w:val="24"/>
      </w:rPr>
      <w:t>40</w:t>
    </w:r>
    <w:r w:rsidRPr="001D4F09">
      <w:rPr>
        <w:rStyle w:val="Nmerodepgina"/>
        <w:szCs w:val="24"/>
      </w:rPr>
      <w:fldChar w:fldCharType="end"/>
    </w:r>
    <w:r w:rsidRPr="001D4F09">
      <w:rPr>
        <w:rStyle w:val="Nmerodepgina"/>
        <w:szCs w:val="24"/>
      </w:rPr>
      <w:t xml:space="preserve"> -</w:t>
    </w:r>
  </w:p>
  <w:p w:rsidR="00FD287D" w:rsidRPr="00C13453" w:rsidRDefault="00FD287D" w:rsidP="00D2472C">
    <w:pPr>
      <w:pStyle w:val="BorradorProvisional"/>
      <w:ind w:left="0"/>
      <w:jc w:val="center"/>
    </w:pPr>
  </w:p>
  <w:p w:rsidR="00FD287D" w:rsidRDefault="00FD287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87D" w:rsidRPr="00F03814" w:rsidRDefault="00FD287D" w:rsidP="00124900">
    <w:pPr>
      <w:pStyle w:val="Piedepgina"/>
      <w:tabs>
        <w:tab w:val="clear" w:pos="2835"/>
        <w:tab w:val="clear" w:pos="3969"/>
        <w:tab w:val="clear" w:pos="4252"/>
        <w:tab w:val="clear" w:pos="5103"/>
        <w:tab w:val="clear" w:pos="6237"/>
        <w:tab w:val="clear" w:pos="7371"/>
        <w:tab w:val="clear" w:pos="8504"/>
        <w:tab w:val="center" w:pos="4253"/>
      </w:tabs>
      <w:spacing w:after="0"/>
      <w:ind w:right="29"/>
      <w:jc w:val="left"/>
      <w:rPr>
        <w:rFonts w:ascii="Trajan" w:hAnsi="Trajan"/>
        <w:sz w:val="24"/>
        <w:szCs w:val="24"/>
      </w:rPr>
    </w:pPr>
    <w:r>
      <w:rPr>
        <w:rFonts w:ascii="GillSans" w:hAnsi="GillSans"/>
        <w:noProof/>
        <w:lang w:val="es-ES" w:eastAsia="es-ES"/>
      </w:rPr>
      <w:drawing>
        <wp:inline distT="0" distB="0" distL="0" distR="0" wp14:anchorId="751B056A" wp14:editId="28ABB1C4">
          <wp:extent cx="219075" cy="371475"/>
          <wp:effectExtent l="0" t="0" r="9525" b="9525"/>
          <wp:docPr id="41" name="Imagen 41"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445899">
      <w:rPr>
        <w:rStyle w:val="Nmerodepgina"/>
        <w:noProof/>
        <w:szCs w:val="24"/>
      </w:rPr>
      <w:t>46</w:t>
    </w:r>
    <w:r w:rsidRPr="001D4F09">
      <w:rPr>
        <w:rStyle w:val="Nmerodepgina"/>
        <w:szCs w:val="24"/>
      </w:rPr>
      <w:fldChar w:fldCharType="end"/>
    </w:r>
    <w:r w:rsidRPr="001D4F09">
      <w:rPr>
        <w:rStyle w:val="Nmerodepgina"/>
        <w:szCs w:val="24"/>
      </w:rPr>
      <w:t xml:space="preserve"> -</w:t>
    </w:r>
  </w:p>
  <w:p w:rsidR="00FD287D" w:rsidRPr="00C13453" w:rsidRDefault="00FD287D" w:rsidP="00D2472C">
    <w:pPr>
      <w:pStyle w:val="BorradorProvisional"/>
      <w:ind w:left="0"/>
      <w:jc w:val="center"/>
    </w:pPr>
  </w:p>
  <w:p w:rsidR="00FD287D" w:rsidRDefault="00FD287D"/>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87D" w:rsidRPr="00F03814" w:rsidRDefault="00FD287D" w:rsidP="00124900">
    <w:pPr>
      <w:pStyle w:val="Piedepgina"/>
      <w:tabs>
        <w:tab w:val="clear" w:pos="2835"/>
        <w:tab w:val="clear" w:pos="3969"/>
        <w:tab w:val="clear" w:pos="4252"/>
        <w:tab w:val="clear" w:pos="5103"/>
        <w:tab w:val="clear" w:pos="6237"/>
        <w:tab w:val="clear" w:pos="7371"/>
        <w:tab w:val="clear" w:pos="8504"/>
        <w:tab w:val="center" w:pos="4253"/>
      </w:tabs>
      <w:spacing w:after="0"/>
      <w:ind w:right="29"/>
      <w:jc w:val="left"/>
      <w:rPr>
        <w:rFonts w:ascii="Trajan" w:hAnsi="Trajan"/>
        <w:sz w:val="24"/>
        <w:szCs w:val="24"/>
      </w:rPr>
    </w:pPr>
    <w:r>
      <w:rPr>
        <w:rFonts w:ascii="GillSans" w:hAnsi="GillSans"/>
        <w:noProof/>
        <w:lang w:val="es-ES" w:eastAsia="es-ES"/>
      </w:rPr>
      <w:drawing>
        <wp:inline distT="0" distB="0" distL="0" distR="0" wp14:anchorId="20943525" wp14:editId="70C784EF">
          <wp:extent cx="219075" cy="371475"/>
          <wp:effectExtent l="0" t="0" r="9525" b="9525"/>
          <wp:docPr id="42" name="Imagen 4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FD287D" w:rsidRPr="00C13453" w:rsidRDefault="00FD287D" w:rsidP="00D2472C">
    <w:pPr>
      <w:pStyle w:val="BorradorProvisional"/>
      <w:ind w:left="0"/>
      <w:jc w:val="center"/>
    </w:pPr>
  </w:p>
  <w:p w:rsidR="00FD287D" w:rsidRDefault="00FD28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87D" w:rsidRDefault="00FD287D">
      <w:r>
        <w:separator/>
      </w:r>
    </w:p>
  </w:footnote>
  <w:footnote w:type="continuationSeparator" w:id="0">
    <w:p w:rsidR="00FD287D" w:rsidRDefault="00FD287D">
      <w:r>
        <w:continuationSeparator/>
      </w:r>
    </w:p>
    <w:p w:rsidR="00FD287D" w:rsidRDefault="00FD287D"/>
    <w:p w:rsidR="00FD287D" w:rsidRDefault="00FD287D"/>
    <w:p w:rsidR="00FD287D" w:rsidRDefault="00FD287D"/>
  </w:footnote>
  <w:footnote w:id="1">
    <w:p w:rsidR="00FD287D" w:rsidRPr="00380077" w:rsidRDefault="00FD287D" w:rsidP="00C9781F">
      <w:pPr>
        <w:pStyle w:val="Textonotapie"/>
        <w:ind w:firstLine="0"/>
        <w:rPr>
          <w:sz w:val="18"/>
          <w:szCs w:val="18"/>
        </w:rPr>
      </w:pPr>
      <w:r w:rsidRPr="00380077">
        <w:rPr>
          <w:rStyle w:val="Refdenotaalpie"/>
          <w:sz w:val="18"/>
          <w:szCs w:val="18"/>
        </w:rPr>
        <w:footnoteRef/>
      </w:r>
      <w:r w:rsidRPr="00380077">
        <w:rPr>
          <w:sz w:val="18"/>
          <w:szCs w:val="18"/>
        </w:rPr>
        <w:t xml:space="preserve"> </w:t>
      </w:r>
      <w:r w:rsidRPr="009063D3">
        <w:t>A la fecha de redacción de este informe, la liquidación presupuestaria de 2018 de la Administración de la Comunidad Foral de Navarra no está aprobada, por lo que no hemos incluido el gasto de este año</w:t>
      </w:r>
      <w:r w:rsidRPr="00380077">
        <w:rPr>
          <w:sz w:val="18"/>
          <w:szCs w:val="18"/>
        </w:rPr>
        <w:t>.</w:t>
      </w:r>
    </w:p>
  </w:footnote>
  <w:footnote w:id="2">
    <w:p w:rsidR="00FD287D" w:rsidRDefault="00FD287D" w:rsidP="00C9781F">
      <w:pPr>
        <w:pStyle w:val="Textonotapie"/>
        <w:ind w:firstLine="0"/>
      </w:pPr>
      <w:r>
        <w:rPr>
          <w:rStyle w:val="Refdenotaalpie"/>
        </w:rPr>
        <w:footnoteRef/>
      </w:r>
      <w:r>
        <w:t xml:space="preserve"> La Resolución 1261/2007 contempla esta posibilidad si la persona está capacitada para el ejercicio prof</w:t>
      </w:r>
      <w:r>
        <w:t>e</w:t>
      </w:r>
      <w:r>
        <w:t>sional. para lo cual deberá presentar anualmente al Servicio de Gestión de la Prestación Farmacéutica un ce</w:t>
      </w:r>
      <w:r>
        <w:t>r</w:t>
      </w:r>
      <w:r>
        <w:t>tificado de capacitación expedido por el Colegio Oficial de Médicos.</w:t>
      </w:r>
    </w:p>
  </w:footnote>
  <w:footnote w:id="3">
    <w:p w:rsidR="00FD287D" w:rsidRDefault="00FD287D" w:rsidP="00B53A0A">
      <w:pPr>
        <w:pStyle w:val="Textonotapie"/>
        <w:ind w:firstLine="0"/>
      </w:pPr>
      <w:r>
        <w:rPr>
          <w:rStyle w:val="Refdenotaalpie"/>
        </w:rPr>
        <w:footnoteRef/>
      </w:r>
      <w:r>
        <w:t xml:space="preserve"> Existen farmacias que tienen “Viabilidad Económica Comprometida” al no llegar a un determinado importe de facturación establecido. En Navarra, debido a la especial ordenación farmacéutica, existen 70 farmacias de este tipo, siendo una cantidad proporcionalmente muy superior a la del resto del Estado.</w:t>
      </w:r>
    </w:p>
  </w:footnote>
  <w:footnote w:id="4">
    <w:p w:rsidR="00FD287D" w:rsidRDefault="00FD287D" w:rsidP="00C9781F">
      <w:pPr>
        <w:pStyle w:val="Textonotapie"/>
        <w:ind w:firstLine="0"/>
      </w:pPr>
      <w:r>
        <w:rPr>
          <w:rStyle w:val="Refdenotaalpie"/>
        </w:rPr>
        <w:footnoteRef/>
      </w:r>
      <w:r>
        <w:t xml:space="preserve"> Almacén de la información relacionada con la prestación farmacéutica.</w:t>
      </w:r>
    </w:p>
  </w:footnote>
  <w:footnote w:id="5">
    <w:p w:rsidR="00FD287D" w:rsidRPr="00CA1E79" w:rsidRDefault="00FD287D" w:rsidP="00C9781F">
      <w:pPr>
        <w:pStyle w:val="Textonotapie"/>
        <w:ind w:firstLine="0"/>
        <w:rPr>
          <w:lang w:val="es-ES"/>
        </w:rPr>
      </w:pPr>
      <w:r w:rsidRPr="00CA1E79">
        <w:rPr>
          <w:rStyle w:val="Refdenotaalpie"/>
        </w:rPr>
        <w:footnoteRef/>
      </w:r>
      <w:r w:rsidRPr="00CA1E79">
        <w:t xml:space="preserve"> </w:t>
      </w:r>
      <w:r w:rsidRPr="00CA1E79">
        <w:rPr>
          <w:lang w:val="es-ES"/>
        </w:rPr>
        <w:t xml:space="preserve">Se entiende por log a la </w:t>
      </w:r>
      <w:r w:rsidRPr="00CA1E79">
        <w:t xml:space="preserve">grabación secuencial en un </w:t>
      </w:r>
      <w:hyperlink r:id="rId1" w:tooltip="Archivo (informática)" w:history="1">
        <w:r w:rsidRPr="00CA1E79">
          <w:rPr>
            <w:rStyle w:val="Hipervnculo"/>
            <w:color w:val="auto"/>
            <w:u w:val="none"/>
          </w:rPr>
          <w:t>archivo</w:t>
        </w:r>
      </w:hyperlink>
      <w:r w:rsidRPr="00CA1E79">
        <w:t xml:space="preserve"> o </w:t>
      </w:r>
      <w:hyperlink r:id="rId2" w:tooltip="Base de datos" w:history="1">
        <w:r w:rsidRPr="00CA1E79">
          <w:rPr>
            <w:rStyle w:val="Hipervnculo"/>
            <w:color w:val="auto"/>
            <w:u w:val="none"/>
          </w:rPr>
          <w:t>base de datos</w:t>
        </w:r>
      </w:hyperlink>
      <w:r w:rsidRPr="00CA1E79">
        <w:t xml:space="preserve"> de todos los acontecimientos (eventos o acciones) que afectan a un proceso particular (aplicación, actividad de una </w:t>
      </w:r>
      <w:hyperlink r:id="rId3" w:tooltip="Red informática" w:history="1">
        <w:r w:rsidRPr="00CA1E79">
          <w:rPr>
            <w:rStyle w:val="Hipervnculo"/>
            <w:color w:val="auto"/>
            <w:u w:val="none"/>
          </w:rPr>
          <w:t>red informática</w:t>
        </w:r>
      </w:hyperlink>
      <w:r w:rsidRPr="00CA1E79">
        <w:t>, etc.). De esta forma constituye una evidencia del comportamiento del sistema.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87D" w:rsidRDefault="00FD287D"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12C55EC4" wp14:editId="38D12DD1">
          <wp:extent cx="771525" cy="762000"/>
          <wp:effectExtent l="0" t="0" r="9525" b="0"/>
          <wp:docPr id="21" name="Imagen 2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FD287D" w:rsidRPr="0059650E" w:rsidRDefault="00FD287D" w:rsidP="00C9781F">
    <w:pPr>
      <w:pStyle w:val="Encabezado"/>
      <w:pBdr>
        <w:bottom w:val="single" w:sz="4" w:space="1" w:color="auto"/>
      </w:pBdr>
      <w:ind w:firstLine="0"/>
      <w:rPr>
        <w:lang w:val="es-ES"/>
      </w:rPr>
    </w:pPr>
    <w:r>
      <w:rPr>
        <w:lang w:val="es-ES"/>
      </w:rPr>
      <w:t>informe de fiscalización Sobre LA GESTIÓN LA PRESTACIÓN FARMACÉUTICA EN EL SNS-O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87D" w:rsidRDefault="00FD287D" w:rsidP="006A2D41">
    <w:pPr>
      <w:pStyle w:val="Encabezado"/>
      <w:ind w:firstLine="0"/>
      <w:jc w:val="left"/>
    </w:pPr>
    <w:r>
      <w:rPr>
        <w:noProof/>
        <w:lang w:val="es-ES" w:eastAsia="es-ES"/>
      </w:rPr>
      <w:drawing>
        <wp:inline distT="0" distB="0" distL="0" distR="0" wp14:anchorId="67BBD998" wp14:editId="2C979A40">
          <wp:extent cx="771525" cy="762000"/>
          <wp:effectExtent l="0" t="0" r="9525" b="0"/>
          <wp:docPr id="23" name="Imagen 2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2A42"/>
    <w:multiLevelType w:val="hybridMultilevel"/>
    <w:tmpl w:val="DB6E83E6"/>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
    <w:nsid w:val="0C7220B2"/>
    <w:multiLevelType w:val="hybridMultilevel"/>
    <w:tmpl w:val="BDB4544C"/>
    <w:lvl w:ilvl="0" w:tplc="3C0CE7F8">
      <w:start w:val="1"/>
      <w:numFmt w:val="bullet"/>
      <w:lvlText w:val=""/>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nsid w:val="0CC106DA"/>
    <w:multiLevelType w:val="hybridMultilevel"/>
    <w:tmpl w:val="77E87FF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4">
    <w:nsid w:val="15854E15"/>
    <w:multiLevelType w:val="hybridMultilevel"/>
    <w:tmpl w:val="6AAA802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16A57C9B"/>
    <w:multiLevelType w:val="hybridMultilevel"/>
    <w:tmpl w:val="D3CCEB70"/>
    <w:lvl w:ilvl="0" w:tplc="9F3C4BD0">
      <w:start w:val="1"/>
      <w:numFmt w:val="decimal"/>
      <w:lvlText w:val="%1)"/>
      <w:lvlJc w:val="left"/>
      <w:pPr>
        <w:ind w:left="696" w:hanging="360"/>
      </w:pPr>
      <w:rPr>
        <w:rFonts w:hint="default"/>
      </w:rPr>
    </w:lvl>
    <w:lvl w:ilvl="1" w:tplc="0C0A0019" w:tentative="1">
      <w:start w:val="1"/>
      <w:numFmt w:val="lowerLetter"/>
      <w:lvlText w:val="%2."/>
      <w:lvlJc w:val="left"/>
      <w:pPr>
        <w:ind w:left="1416" w:hanging="360"/>
      </w:pPr>
    </w:lvl>
    <w:lvl w:ilvl="2" w:tplc="0C0A001B" w:tentative="1">
      <w:start w:val="1"/>
      <w:numFmt w:val="lowerRoman"/>
      <w:lvlText w:val="%3."/>
      <w:lvlJc w:val="right"/>
      <w:pPr>
        <w:ind w:left="2136" w:hanging="180"/>
      </w:pPr>
    </w:lvl>
    <w:lvl w:ilvl="3" w:tplc="0C0A000F" w:tentative="1">
      <w:start w:val="1"/>
      <w:numFmt w:val="decimal"/>
      <w:lvlText w:val="%4."/>
      <w:lvlJc w:val="left"/>
      <w:pPr>
        <w:ind w:left="2856" w:hanging="360"/>
      </w:pPr>
    </w:lvl>
    <w:lvl w:ilvl="4" w:tplc="0C0A0019" w:tentative="1">
      <w:start w:val="1"/>
      <w:numFmt w:val="lowerLetter"/>
      <w:lvlText w:val="%5."/>
      <w:lvlJc w:val="left"/>
      <w:pPr>
        <w:ind w:left="3576" w:hanging="360"/>
      </w:pPr>
    </w:lvl>
    <w:lvl w:ilvl="5" w:tplc="0C0A001B" w:tentative="1">
      <w:start w:val="1"/>
      <w:numFmt w:val="lowerRoman"/>
      <w:lvlText w:val="%6."/>
      <w:lvlJc w:val="right"/>
      <w:pPr>
        <w:ind w:left="4296" w:hanging="180"/>
      </w:pPr>
    </w:lvl>
    <w:lvl w:ilvl="6" w:tplc="0C0A000F" w:tentative="1">
      <w:start w:val="1"/>
      <w:numFmt w:val="decimal"/>
      <w:lvlText w:val="%7."/>
      <w:lvlJc w:val="left"/>
      <w:pPr>
        <w:ind w:left="5016" w:hanging="360"/>
      </w:pPr>
    </w:lvl>
    <w:lvl w:ilvl="7" w:tplc="0C0A0019" w:tentative="1">
      <w:start w:val="1"/>
      <w:numFmt w:val="lowerLetter"/>
      <w:lvlText w:val="%8."/>
      <w:lvlJc w:val="left"/>
      <w:pPr>
        <w:ind w:left="5736" w:hanging="360"/>
      </w:pPr>
    </w:lvl>
    <w:lvl w:ilvl="8" w:tplc="0C0A001B" w:tentative="1">
      <w:start w:val="1"/>
      <w:numFmt w:val="lowerRoman"/>
      <w:lvlText w:val="%9."/>
      <w:lvlJc w:val="right"/>
      <w:pPr>
        <w:ind w:left="6456" w:hanging="180"/>
      </w:pPr>
    </w:lvl>
  </w:abstractNum>
  <w:abstractNum w:abstractNumId="6">
    <w:nsid w:val="24F51054"/>
    <w:multiLevelType w:val="hybridMultilevel"/>
    <w:tmpl w:val="1DBC0B7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nsid w:val="46014965"/>
    <w:multiLevelType w:val="hybridMultilevel"/>
    <w:tmpl w:val="D3CCEB70"/>
    <w:lvl w:ilvl="0" w:tplc="9F3C4BD0">
      <w:start w:val="1"/>
      <w:numFmt w:val="decimal"/>
      <w:lvlText w:val="%1)"/>
      <w:lvlJc w:val="left"/>
      <w:pPr>
        <w:ind w:left="696" w:hanging="360"/>
      </w:pPr>
      <w:rPr>
        <w:rFonts w:hint="default"/>
      </w:rPr>
    </w:lvl>
    <w:lvl w:ilvl="1" w:tplc="0C0A0019" w:tentative="1">
      <w:start w:val="1"/>
      <w:numFmt w:val="lowerLetter"/>
      <w:lvlText w:val="%2."/>
      <w:lvlJc w:val="left"/>
      <w:pPr>
        <w:ind w:left="1416" w:hanging="360"/>
      </w:pPr>
    </w:lvl>
    <w:lvl w:ilvl="2" w:tplc="0C0A001B" w:tentative="1">
      <w:start w:val="1"/>
      <w:numFmt w:val="lowerRoman"/>
      <w:lvlText w:val="%3."/>
      <w:lvlJc w:val="right"/>
      <w:pPr>
        <w:ind w:left="2136" w:hanging="180"/>
      </w:pPr>
    </w:lvl>
    <w:lvl w:ilvl="3" w:tplc="0C0A000F" w:tentative="1">
      <w:start w:val="1"/>
      <w:numFmt w:val="decimal"/>
      <w:lvlText w:val="%4."/>
      <w:lvlJc w:val="left"/>
      <w:pPr>
        <w:ind w:left="2856" w:hanging="360"/>
      </w:pPr>
    </w:lvl>
    <w:lvl w:ilvl="4" w:tplc="0C0A0019" w:tentative="1">
      <w:start w:val="1"/>
      <w:numFmt w:val="lowerLetter"/>
      <w:lvlText w:val="%5."/>
      <w:lvlJc w:val="left"/>
      <w:pPr>
        <w:ind w:left="3576" w:hanging="360"/>
      </w:pPr>
    </w:lvl>
    <w:lvl w:ilvl="5" w:tplc="0C0A001B" w:tentative="1">
      <w:start w:val="1"/>
      <w:numFmt w:val="lowerRoman"/>
      <w:lvlText w:val="%6."/>
      <w:lvlJc w:val="right"/>
      <w:pPr>
        <w:ind w:left="4296" w:hanging="180"/>
      </w:pPr>
    </w:lvl>
    <w:lvl w:ilvl="6" w:tplc="0C0A000F" w:tentative="1">
      <w:start w:val="1"/>
      <w:numFmt w:val="decimal"/>
      <w:lvlText w:val="%7."/>
      <w:lvlJc w:val="left"/>
      <w:pPr>
        <w:ind w:left="5016" w:hanging="360"/>
      </w:pPr>
    </w:lvl>
    <w:lvl w:ilvl="7" w:tplc="0C0A0019" w:tentative="1">
      <w:start w:val="1"/>
      <w:numFmt w:val="lowerLetter"/>
      <w:lvlText w:val="%8."/>
      <w:lvlJc w:val="left"/>
      <w:pPr>
        <w:ind w:left="5736" w:hanging="360"/>
      </w:pPr>
    </w:lvl>
    <w:lvl w:ilvl="8" w:tplc="0C0A001B" w:tentative="1">
      <w:start w:val="1"/>
      <w:numFmt w:val="lowerRoman"/>
      <w:lvlText w:val="%9."/>
      <w:lvlJc w:val="right"/>
      <w:pPr>
        <w:ind w:left="6456" w:hanging="180"/>
      </w:pPr>
    </w:lvl>
  </w:abstractNum>
  <w:abstractNum w:abstractNumId="8">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9">
    <w:nsid w:val="667C70F0"/>
    <w:multiLevelType w:val="hybridMultilevel"/>
    <w:tmpl w:val="DB2230A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74B4FF5"/>
    <w:multiLevelType w:val="hybridMultilevel"/>
    <w:tmpl w:val="14A21326"/>
    <w:lvl w:ilvl="0" w:tplc="F52656AC">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0"/>
  </w:num>
  <w:num w:numId="4">
    <w:abstractNumId w:val="2"/>
  </w:num>
  <w:num w:numId="5">
    <w:abstractNumId w:val="0"/>
  </w:num>
  <w:num w:numId="6">
    <w:abstractNumId w:val="4"/>
  </w:num>
  <w:num w:numId="7">
    <w:abstractNumId w:val="6"/>
  </w:num>
  <w:num w:numId="8">
    <w:abstractNumId w:val="1"/>
  </w:num>
  <w:num w:numId="9">
    <w:abstractNumId w:val="5"/>
  </w:num>
  <w:num w:numId="10">
    <w:abstractNumId w:val="9"/>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81F"/>
    <w:rsid w:val="000019D8"/>
    <w:rsid w:val="00006736"/>
    <w:rsid w:val="00006A97"/>
    <w:rsid w:val="0001123B"/>
    <w:rsid w:val="00012A7F"/>
    <w:rsid w:val="00017A3A"/>
    <w:rsid w:val="00036E42"/>
    <w:rsid w:val="0004218B"/>
    <w:rsid w:val="0004373B"/>
    <w:rsid w:val="000448FA"/>
    <w:rsid w:val="00053A42"/>
    <w:rsid w:val="0005517D"/>
    <w:rsid w:val="0006133D"/>
    <w:rsid w:val="00063585"/>
    <w:rsid w:val="00071CD0"/>
    <w:rsid w:val="00075692"/>
    <w:rsid w:val="00087B8D"/>
    <w:rsid w:val="00093D67"/>
    <w:rsid w:val="00093E60"/>
    <w:rsid w:val="000A18B7"/>
    <w:rsid w:val="000A2C1E"/>
    <w:rsid w:val="000A4697"/>
    <w:rsid w:val="000B2728"/>
    <w:rsid w:val="000B3943"/>
    <w:rsid w:val="000B4477"/>
    <w:rsid w:val="000C0704"/>
    <w:rsid w:val="000C2B07"/>
    <w:rsid w:val="000C39CC"/>
    <w:rsid w:val="000C7566"/>
    <w:rsid w:val="000D188E"/>
    <w:rsid w:val="000D5335"/>
    <w:rsid w:val="000D7F75"/>
    <w:rsid w:val="000E7B86"/>
    <w:rsid w:val="000F2B66"/>
    <w:rsid w:val="000F3D83"/>
    <w:rsid w:val="00100F12"/>
    <w:rsid w:val="00103589"/>
    <w:rsid w:val="001045C9"/>
    <w:rsid w:val="00107CC1"/>
    <w:rsid w:val="00111A92"/>
    <w:rsid w:val="001145C3"/>
    <w:rsid w:val="001161D2"/>
    <w:rsid w:val="00124900"/>
    <w:rsid w:val="00131DF1"/>
    <w:rsid w:val="00132C38"/>
    <w:rsid w:val="00133984"/>
    <w:rsid w:val="001365C4"/>
    <w:rsid w:val="0014147D"/>
    <w:rsid w:val="00141D29"/>
    <w:rsid w:val="0014506A"/>
    <w:rsid w:val="0014728F"/>
    <w:rsid w:val="001521A2"/>
    <w:rsid w:val="00152358"/>
    <w:rsid w:val="001544CC"/>
    <w:rsid w:val="00155BFF"/>
    <w:rsid w:val="00160F66"/>
    <w:rsid w:val="00161253"/>
    <w:rsid w:val="001633AF"/>
    <w:rsid w:val="00166A6C"/>
    <w:rsid w:val="00173EDD"/>
    <w:rsid w:val="0017402B"/>
    <w:rsid w:val="00181D37"/>
    <w:rsid w:val="001835B7"/>
    <w:rsid w:val="0018426B"/>
    <w:rsid w:val="00185A37"/>
    <w:rsid w:val="00194309"/>
    <w:rsid w:val="0019660E"/>
    <w:rsid w:val="001A1B96"/>
    <w:rsid w:val="001B184D"/>
    <w:rsid w:val="001B39E2"/>
    <w:rsid w:val="001C2B26"/>
    <w:rsid w:val="001C3A32"/>
    <w:rsid w:val="001D4F09"/>
    <w:rsid w:val="001F1482"/>
    <w:rsid w:val="001F20D7"/>
    <w:rsid w:val="001F7744"/>
    <w:rsid w:val="002014EB"/>
    <w:rsid w:val="00202B1A"/>
    <w:rsid w:val="00203B7B"/>
    <w:rsid w:val="00204979"/>
    <w:rsid w:val="00211D69"/>
    <w:rsid w:val="002179DB"/>
    <w:rsid w:val="00227E48"/>
    <w:rsid w:val="00227E5A"/>
    <w:rsid w:val="002303D6"/>
    <w:rsid w:val="00230577"/>
    <w:rsid w:val="0023209D"/>
    <w:rsid w:val="002333F8"/>
    <w:rsid w:val="00233D79"/>
    <w:rsid w:val="00237657"/>
    <w:rsid w:val="00242BA7"/>
    <w:rsid w:val="002437B5"/>
    <w:rsid w:val="00244EF1"/>
    <w:rsid w:val="00245EA5"/>
    <w:rsid w:val="00246F21"/>
    <w:rsid w:val="00253E78"/>
    <w:rsid w:val="00262C3C"/>
    <w:rsid w:val="00264C88"/>
    <w:rsid w:val="0026532C"/>
    <w:rsid w:val="0026575D"/>
    <w:rsid w:val="002705B0"/>
    <w:rsid w:val="002717A6"/>
    <w:rsid w:val="00272015"/>
    <w:rsid w:val="00273C10"/>
    <w:rsid w:val="00274B4C"/>
    <w:rsid w:val="00276264"/>
    <w:rsid w:val="00281DCA"/>
    <w:rsid w:val="00297B04"/>
    <w:rsid w:val="002A056C"/>
    <w:rsid w:val="002A1AE8"/>
    <w:rsid w:val="002A66A5"/>
    <w:rsid w:val="002A6EBB"/>
    <w:rsid w:val="002B21E9"/>
    <w:rsid w:val="002B2B87"/>
    <w:rsid w:val="002B4E0F"/>
    <w:rsid w:val="002B5754"/>
    <w:rsid w:val="002C15B7"/>
    <w:rsid w:val="002C7026"/>
    <w:rsid w:val="002C7E08"/>
    <w:rsid w:val="002D089F"/>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3506"/>
    <w:rsid w:val="00307057"/>
    <w:rsid w:val="00312819"/>
    <w:rsid w:val="00312E9C"/>
    <w:rsid w:val="00313875"/>
    <w:rsid w:val="003203BF"/>
    <w:rsid w:val="00321369"/>
    <w:rsid w:val="00330787"/>
    <w:rsid w:val="00337493"/>
    <w:rsid w:val="0034285F"/>
    <w:rsid w:val="003464A4"/>
    <w:rsid w:val="00351684"/>
    <w:rsid w:val="00354458"/>
    <w:rsid w:val="00363653"/>
    <w:rsid w:val="0036509D"/>
    <w:rsid w:val="0036517C"/>
    <w:rsid w:val="0037228C"/>
    <w:rsid w:val="00372318"/>
    <w:rsid w:val="003738FD"/>
    <w:rsid w:val="003810BE"/>
    <w:rsid w:val="003838FC"/>
    <w:rsid w:val="00386F6C"/>
    <w:rsid w:val="00387709"/>
    <w:rsid w:val="00387794"/>
    <w:rsid w:val="00391F00"/>
    <w:rsid w:val="00392D6C"/>
    <w:rsid w:val="00397162"/>
    <w:rsid w:val="003A335E"/>
    <w:rsid w:val="003A3DD2"/>
    <w:rsid w:val="003B3573"/>
    <w:rsid w:val="003B5813"/>
    <w:rsid w:val="003C03EA"/>
    <w:rsid w:val="003C196B"/>
    <w:rsid w:val="003C6E1D"/>
    <w:rsid w:val="003D058C"/>
    <w:rsid w:val="003D76B1"/>
    <w:rsid w:val="003E17A6"/>
    <w:rsid w:val="003E4AA5"/>
    <w:rsid w:val="003F1CEC"/>
    <w:rsid w:val="003F43BF"/>
    <w:rsid w:val="003F62F0"/>
    <w:rsid w:val="003F6BE4"/>
    <w:rsid w:val="00403CF8"/>
    <w:rsid w:val="00407459"/>
    <w:rsid w:val="00414D01"/>
    <w:rsid w:val="004170FE"/>
    <w:rsid w:val="004209E6"/>
    <w:rsid w:val="0042324B"/>
    <w:rsid w:val="004234E8"/>
    <w:rsid w:val="00426805"/>
    <w:rsid w:val="00430150"/>
    <w:rsid w:val="004302F9"/>
    <w:rsid w:val="0043229B"/>
    <w:rsid w:val="00435287"/>
    <w:rsid w:val="00440A22"/>
    <w:rsid w:val="00445899"/>
    <w:rsid w:val="00447C39"/>
    <w:rsid w:val="0045550E"/>
    <w:rsid w:val="00456456"/>
    <w:rsid w:val="00462367"/>
    <w:rsid w:val="0046490C"/>
    <w:rsid w:val="00470287"/>
    <w:rsid w:val="00470733"/>
    <w:rsid w:val="00477C53"/>
    <w:rsid w:val="00485380"/>
    <w:rsid w:val="00493D87"/>
    <w:rsid w:val="004950D4"/>
    <w:rsid w:val="004A0506"/>
    <w:rsid w:val="004A2342"/>
    <w:rsid w:val="004A2F62"/>
    <w:rsid w:val="004B1DB8"/>
    <w:rsid w:val="004B2F01"/>
    <w:rsid w:val="004B4182"/>
    <w:rsid w:val="004B4538"/>
    <w:rsid w:val="004B6FB6"/>
    <w:rsid w:val="004C3423"/>
    <w:rsid w:val="004C571D"/>
    <w:rsid w:val="004D35A2"/>
    <w:rsid w:val="004D5FD1"/>
    <w:rsid w:val="004E14B2"/>
    <w:rsid w:val="004F7C93"/>
    <w:rsid w:val="00506105"/>
    <w:rsid w:val="00513162"/>
    <w:rsid w:val="00525809"/>
    <w:rsid w:val="00535130"/>
    <w:rsid w:val="00537302"/>
    <w:rsid w:val="00542484"/>
    <w:rsid w:val="00555509"/>
    <w:rsid w:val="00561C5B"/>
    <w:rsid w:val="00564F2D"/>
    <w:rsid w:val="00566CDA"/>
    <w:rsid w:val="0056727E"/>
    <w:rsid w:val="00567BA6"/>
    <w:rsid w:val="00570033"/>
    <w:rsid w:val="00570147"/>
    <w:rsid w:val="0057307E"/>
    <w:rsid w:val="00573A4C"/>
    <w:rsid w:val="00574B79"/>
    <w:rsid w:val="00574D12"/>
    <w:rsid w:val="005800B4"/>
    <w:rsid w:val="0058070B"/>
    <w:rsid w:val="0058296F"/>
    <w:rsid w:val="00595E80"/>
    <w:rsid w:val="0059650E"/>
    <w:rsid w:val="00596953"/>
    <w:rsid w:val="005A4A23"/>
    <w:rsid w:val="005A6030"/>
    <w:rsid w:val="005B57AD"/>
    <w:rsid w:val="005B722E"/>
    <w:rsid w:val="005C02FE"/>
    <w:rsid w:val="005C50AC"/>
    <w:rsid w:val="005C6406"/>
    <w:rsid w:val="005D69D1"/>
    <w:rsid w:val="005E210D"/>
    <w:rsid w:val="005F2425"/>
    <w:rsid w:val="005F5EC7"/>
    <w:rsid w:val="005F7207"/>
    <w:rsid w:val="005F7FCF"/>
    <w:rsid w:val="00607691"/>
    <w:rsid w:val="0061062C"/>
    <w:rsid w:val="00613183"/>
    <w:rsid w:val="006133F0"/>
    <w:rsid w:val="00616888"/>
    <w:rsid w:val="006176BE"/>
    <w:rsid w:val="006212CB"/>
    <w:rsid w:val="006279F9"/>
    <w:rsid w:val="0063352A"/>
    <w:rsid w:val="006369EE"/>
    <w:rsid w:val="0064700E"/>
    <w:rsid w:val="00650183"/>
    <w:rsid w:val="00650677"/>
    <w:rsid w:val="006736A9"/>
    <w:rsid w:val="00673BC7"/>
    <w:rsid w:val="00674975"/>
    <w:rsid w:val="00675D39"/>
    <w:rsid w:val="0068560B"/>
    <w:rsid w:val="006A1277"/>
    <w:rsid w:val="006A1A6D"/>
    <w:rsid w:val="006A2602"/>
    <w:rsid w:val="006A2D41"/>
    <w:rsid w:val="006A67E1"/>
    <w:rsid w:val="006C36FB"/>
    <w:rsid w:val="006C7D62"/>
    <w:rsid w:val="006D0B23"/>
    <w:rsid w:val="006D2ED6"/>
    <w:rsid w:val="006D5685"/>
    <w:rsid w:val="006E1987"/>
    <w:rsid w:val="006E23B2"/>
    <w:rsid w:val="006E5207"/>
    <w:rsid w:val="006F5C70"/>
    <w:rsid w:val="006F6A20"/>
    <w:rsid w:val="007047B2"/>
    <w:rsid w:val="00704DE7"/>
    <w:rsid w:val="00706868"/>
    <w:rsid w:val="007078B8"/>
    <w:rsid w:val="00715E32"/>
    <w:rsid w:val="007162D1"/>
    <w:rsid w:val="00716463"/>
    <w:rsid w:val="0071706E"/>
    <w:rsid w:val="00727292"/>
    <w:rsid w:val="00742F6A"/>
    <w:rsid w:val="007446E8"/>
    <w:rsid w:val="00751553"/>
    <w:rsid w:val="0075165E"/>
    <w:rsid w:val="00754E10"/>
    <w:rsid w:val="00762A29"/>
    <w:rsid w:val="0076327D"/>
    <w:rsid w:val="00767745"/>
    <w:rsid w:val="007707FC"/>
    <w:rsid w:val="00770BE3"/>
    <w:rsid w:val="0077177A"/>
    <w:rsid w:val="007728A8"/>
    <w:rsid w:val="00785A76"/>
    <w:rsid w:val="00787852"/>
    <w:rsid w:val="007915BC"/>
    <w:rsid w:val="007967FA"/>
    <w:rsid w:val="00797E7A"/>
    <w:rsid w:val="007A0EA6"/>
    <w:rsid w:val="007A2D9E"/>
    <w:rsid w:val="007A4D38"/>
    <w:rsid w:val="007B0381"/>
    <w:rsid w:val="007B0F3D"/>
    <w:rsid w:val="007B148D"/>
    <w:rsid w:val="007B18C8"/>
    <w:rsid w:val="007B28DE"/>
    <w:rsid w:val="007B7A5F"/>
    <w:rsid w:val="007C36BE"/>
    <w:rsid w:val="007D53ED"/>
    <w:rsid w:val="007D6001"/>
    <w:rsid w:val="007D7F94"/>
    <w:rsid w:val="007E1B76"/>
    <w:rsid w:val="007E219A"/>
    <w:rsid w:val="007E37BF"/>
    <w:rsid w:val="007E6593"/>
    <w:rsid w:val="007F1101"/>
    <w:rsid w:val="007F2CB1"/>
    <w:rsid w:val="00803D20"/>
    <w:rsid w:val="008112A0"/>
    <w:rsid w:val="00813166"/>
    <w:rsid w:val="0081696D"/>
    <w:rsid w:val="00816E01"/>
    <w:rsid w:val="008173D0"/>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382"/>
    <w:rsid w:val="00850DCF"/>
    <w:rsid w:val="00850F57"/>
    <w:rsid w:val="008536C2"/>
    <w:rsid w:val="008600C7"/>
    <w:rsid w:val="008617D0"/>
    <w:rsid w:val="00861A60"/>
    <w:rsid w:val="00862357"/>
    <w:rsid w:val="00862D02"/>
    <w:rsid w:val="008637B9"/>
    <w:rsid w:val="00864194"/>
    <w:rsid w:val="00870399"/>
    <w:rsid w:val="008711EC"/>
    <w:rsid w:val="008718FE"/>
    <w:rsid w:val="00872946"/>
    <w:rsid w:val="00883928"/>
    <w:rsid w:val="00883DDE"/>
    <w:rsid w:val="00891D73"/>
    <w:rsid w:val="00892A44"/>
    <w:rsid w:val="008A2DE8"/>
    <w:rsid w:val="008A312D"/>
    <w:rsid w:val="008A3E09"/>
    <w:rsid w:val="008A3E57"/>
    <w:rsid w:val="008A77A7"/>
    <w:rsid w:val="008B3F34"/>
    <w:rsid w:val="008B4A9C"/>
    <w:rsid w:val="008C56B9"/>
    <w:rsid w:val="008D05E0"/>
    <w:rsid w:val="008D2600"/>
    <w:rsid w:val="008E0AC0"/>
    <w:rsid w:val="008E221A"/>
    <w:rsid w:val="008E3FFE"/>
    <w:rsid w:val="008E60BE"/>
    <w:rsid w:val="008E6B74"/>
    <w:rsid w:val="008F0FAF"/>
    <w:rsid w:val="008F46CD"/>
    <w:rsid w:val="008F6480"/>
    <w:rsid w:val="008F7740"/>
    <w:rsid w:val="00900CA2"/>
    <w:rsid w:val="00903653"/>
    <w:rsid w:val="00907C4A"/>
    <w:rsid w:val="00910A52"/>
    <w:rsid w:val="00911479"/>
    <w:rsid w:val="0091484D"/>
    <w:rsid w:val="00925E71"/>
    <w:rsid w:val="0093329F"/>
    <w:rsid w:val="00937043"/>
    <w:rsid w:val="009445D3"/>
    <w:rsid w:val="00955A8A"/>
    <w:rsid w:val="009636D2"/>
    <w:rsid w:val="0096400D"/>
    <w:rsid w:val="00966600"/>
    <w:rsid w:val="009671D9"/>
    <w:rsid w:val="00971352"/>
    <w:rsid w:val="00975E5B"/>
    <w:rsid w:val="00977C8F"/>
    <w:rsid w:val="00977F94"/>
    <w:rsid w:val="009863E9"/>
    <w:rsid w:val="009869A1"/>
    <w:rsid w:val="00992E20"/>
    <w:rsid w:val="009936FC"/>
    <w:rsid w:val="00993925"/>
    <w:rsid w:val="00993977"/>
    <w:rsid w:val="009A05D1"/>
    <w:rsid w:val="009A28AC"/>
    <w:rsid w:val="009A3A5B"/>
    <w:rsid w:val="009A3F2A"/>
    <w:rsid w:val="009B2AAC"/>
    <w:rsid w:val="009B3521"/>
    <w:rsid w:val="009B541C"/>
    <w:rsid w:val="009C4460"/>
    <w:rsid w:val="009C6F99"/>
    <w:rsid w:val="009D7192"/>
    <w:rsid w:val="009E0E38"/>
    <w:rsid w:val="009E1A35"/>
    <w:rsid w:val="009E3A97"/>
    <w:rsid w:val="009F09AA"/>
    <w:rsid w:val="009F2C16"/>
    <w:rsid w:val="009F2C1B"/>
    <w:rsid w:val="009F335C"/>
    <w:rsid w:val="00A002B5"/>
    <w:rsid w:val="00A0260C"/>
    <w:rsid w:val="00A041B5"/>
    <w:rsid w:val="00A04F8C"/>
    <w:rsid w:val="00A05158"/>
    <w:rsid w:val="00A079D3"/>
    <w:rsid w:val="00A13BF5"/>
    <w:rsid w:val="00A14837"/>
    <w:rsid w:val="00A217FD"/>
    <w:rsid w:val="00A225E3"/>
    <w:rsid w:val="00A23A26"/>
    <w:rsid w:val="00A24A8F"/>
    <w:rsid w:val="00A25708"/>
    <w:rsid w:val="00A25BF0"/>
    <w:rsid w:val="00A3026E"/>
    <w:rsid w:val="00A4576A"/>
    <w:rsid w:val="00A45AD0"/>
    <w:rsid w:val="00A45EE9"/>
    <w:rsid w:val="00A53C14"/>
    <w:rsid w:val="00A61410"/>
    <w:rsid w:val="00A6198A"/>
    <w:rsid w:val="00A65108"/>
    <w:rsid w:val="00A70353"/>
    <w:rsid w:val="00A7067F"/>
    <w:rsid w:val="00A707A7"/>
    <w:rsid w:val="00A718FD"/>
    <w:rsid w:val="00A72341"/>
    <w:rsid w:val="00A776ED"/>
    <w:rsid w:val="00A80E50"/>
    <w:rsid w:val="00A8137F"/>
    <w:rsid w:val="00A83663"/>
    <w:rsid w:val="00A83B0F"/>
    <w:rsid w:val="00A84216"/>
    <w:rsid w:val="00A90BFA"/>
    <w:rsid w:val="00A92BF3"/>
    <w:rsid w:val="00A943C8"/>
    <w:rsid w:val="00A950A4"/>
    <w:rsid w:val="00A9520D"/>
    <w:rsid w:val="00A9747D"/>
    <w:rsid w:val="00AA00A6"/>
    <w:rsid w:val="00AA6BA8"/>
    <w:rsid w:val="00AA7F5A"/>
    <w:rsid w:val="00AB2340"/>
    <w:rsid w:val="00AB5FE4"/>
    <w:rsid w:val="00AB659D"/>
    <w:rsid w:val="00AC229F"/>
    <w:rsid w:val="00AD7671"/>
    <w:rsid w:val="00AE53E8"/>
    <w:rsid w:val="00AE6FE4"/>
    <w:rsid w:val="00AF2059"/>
    <w:rsid w:val="00AF3D84"/>
    <w:rsid w:val="00AF4161"/>
    <w:rsid w:val="00AF580B"/>
    <w:rsid w:val="00B007C8"/>
    <w:rsid w:val="00B02F6E"/>
    <w:rsid w:val="00B14410"/>
    <w:rsid w:val="00B15E61"/>
    <w:rsid w:val="00B24F35"/>
    <w:rsid w:val="00B30EF4"/>
    <w:rsid w:val="00B32C88"/>
    <w:rsid w:val="00B34747"/>
    <w:rsid w:val="00B42E49"/>
    <w:rsid w:val="00B50903"/>
    <w:rsid w:val="00B53A0A"/>
    <w:rsid w:val="00B62FFE"/>
    <w:rsid w:val="00B65013"/>
    <w:rsid w:val="00B7123A"/>
    <w:rsid w:val="00B7435C"/>
    <w:rsid w:val="00B76F38"/>
    <w:rsid w:val="00B8085D"/>
    <w:rsid w:val="00B81EFF"/>
    <w:rsid w:val="00B836BB"/>
    <w:rsid w:val="00B84122"/>
    <w:rsid w:val="00B862B0"/>
    <w:rsid w:val="00B87D8A"/>
    <w:rsid w:val="00B9048C"/>
    <w:rsid w:val="00BA2B7C"/>
    <w:rsid w:val="00BB142A"/>
    <w:rsid w:val="00BB34B9"/>
    <w:rsid w:val="00BB35C2"/>
    <w:rsid w:val="00BB553B"/>
    <w:rsid w:val="00BC28D7"/>
    <w:rsid w:val="00BC376C"/>
    <w:rsid w:val="00BC6321"/>
    <w:rsid w:val="00BC7817"/>
    <w:rsid w:val="00BD3819"/>
    <w:rsid w:val="00BD642D"/>
    <w:rsid w:val="00BD6988"/>
    <w:rsid w:val="00BE1A77"/>
    <w:rsid w:val="00BE4742"/>
    <w:rsid w:val="00BE7383"/>
    <w:rsid w:val="00BE754D"/>
    <w:rsid w:val="00BF1DB9"/>
    <w:rsid w:val="00BF55A6"/>
    <w:rsid w:val="00BF6D10"/>
    <w:rsid w:val="00BF6E79"/>
    <w:rsid w:val="00C03F6C"/>
    <w:rsid w:val="00C12108"/>
    <w:rsid w:val="00C121D9"/>
    <w:rsid w:val="00C13453"/>
    <w:rsid w:val="00C20C81"/>
    <w:rsid w:val="00C220F9"/>
    <w:rsid w:val="00C2541C"/>
    <w:rsid w:val="00C2669B"/>
    <w:rsid w:val="00C26862"/>
    <w:rsid w:val="00C30458"/>
    <w:rsid w:val="00C31DA6"/>
    <w:rsid w:val="00C33260"/>
    <w:rsid w:val="00C4598F"/>
    <w:rsid w:val="00C50360"/>
    <w:rsid w:val="00C54E12"/>
    <w:rsid w:val="00C55468"/>
    <w:rsid w:val="00C622C3"/>
    <w:rsid w:val="00C63BD5"/>
    <w:rsid w:val="00C74906"/>
    <w:rsid w:val="00C81B40"/>
    <w:rsid w:val="00C81FEA"/>
    <w:rsid w:val="00C83969"/>
    <w:rsid w:val="00C86C95"/>
    <w:rsid w:val="00C9781F"/>
    <w:rsid w:val="00CA05EB"/>
    <w:rsid w:val="00CA3515"/>
    <w:rsid w:val="00CA3A05"/>
    <w:rsid w:val="00CB14E9"/>
    <w:rsid w:val="00CB6D90"/>
    <w:rsid w:val="00CB72C3"/>
    <w:rsid w:val="00CC45E4"/>
    <w:rsid w:val="00CD019F"/>
    <w:rsid w:val="00CD27C5"/>
    <w:rsid w:val="00CE4169"/>
    <w:rsid w:val="00CE7894"/>
    <w:rsid w:val="00CF06A1"/>
    <w:rsid w:val="00CF1467"/>
    <w:rsid w:val="00CF48D6"/>
    <w:rsid w:val="00CF57D6"/>
    <w:rsid w:val="00CF6C1B"/>
    <w:rsid w:val="00D019D5"/>
    <w:rsid w:val="00D040FE"/>
    <w:rsid w:val="00D12458"/>
    <w:rsid w:val="00D168FD"/>
    <w:rsid w:val="00D16F64"/>
    <w:rsid w:val="00D2472C"/>
    <w:rsid w:val="00D279BA"/>
    <w:rsid w:val="00D33A2C"/>
    <w:rsid w:val="00D404B5"/>
    <w:rsid w:val="00D447CB"/>
    <w:rsid w:val="00D471A6"/>
    <w:rsid w:val="00D47D16"/>
    <w:rsid w:val="00D505F4"/>
    <w:rsid w:val="00D51CE1"/>
    <w:rsid w:val="00D536A1"/>
    <w:rsid w:val="00D562F2"/>
    <w:rsid w:val="00D61B93"/>
    <w:rsid w:val="00D67E4A"/>
    <w:rsid w:val="00D763FD"/>
    <w:rsid w:val="00D90AD1"/>
    <w:rsid w:val="00D9134C"/>
    <w:rsid w:val="00D941F7"/>
    <w:rsid w:val="00DA4DDF"/>
    <w:rsid w:val="00DB0804"/>
    <w:rsid w:val="00DB2FC4"/>
    <w:rsid w:val="00DC382A"/>
    <w:rsid w:val="00DD5CE9"/>
    <w:rsid w:val="00DE1923"/>
    <w:rsid w:val="00DE2B33"/>
    <w:rsid w:val="00DE638B"/>
    <w:rsid w:val="00DE72EE"/>
    <w:rsid w:val="00DF37E5"/>
    <w:rsid w:val="00DF6874"/>
    <w:rsid w:val="00E034FE"/>
    <w:rsid w:val="00E041E5"/>
    <w:rsid w:val="00E04888"/>
    <w:rsid w:val="00E0763B"/>
    <w:rsid w:val="00E10302"/>
    <w:rsid w:val="00E110B2"/>
    <w:rsid w:val="00E17EC5"/>
    <w:rsid w:val="00E26BFD"/>
    <w:rsid w:val="00E27E90"/>
    <w:rsid w:val="00E33BEA"/>
    <w:rsid w:val="00E33D02"/>
    <w:rsid w:val="00E34F2C"/>
    <w:rsid w:val="00E35D79"/>
    <w:rsid w:val="00E4641E"/>
    <w:rsid w:val="00E519AE"/>
    <w:rsid w:val="00E57AF7"/>
    <w:rsid w:val="00E6241B"/>
    <w:rsid w:val="00E64FCC"/>
    <w:rsid w:val="00E703B6"/>
    <w:rsid w:val="00E70E3E"/>
    <w:rsid w:val="00E72200"/>
    <w:rsid w:val="00E72B1B"/>
    <w:rsid w:val="00E75D47"/>
    <w:rsid w:val="00E766F5"/>
    <w:rsid w:val="00E82948"/>
    <w:rsid w:val="00E83B0A"/>
    <w:rsid w:val="00E90218"/>
    <w:rsid w:val="00E913BB"/>
    <w:rsid w:val="00E95F2E"/>
    <w:rsid w:val="00EA1508"/>
    <w:rsid w:val="00EA1541"/>
    <w:rsid w:val="00EA32E4"/>
    <w:rsid w:val="00EA459E"/>
    <w:rsid w:val="00EA7E36"/>
    <w:rsid w:val="00EB0898"/>
    <w:rsid w:val="00EB627B"/>
    <w:rsid w:val="00EB6D94"/>
    <w:rsid w:val="00EC4183"/>
    <w:rsid w:val="00EC6468"/>
    <w:rsid w:val="00EC6708"/>
    <w:rsid w:val="00ED207C"/>
    <w:rsid w:val="00ED325A"/>
    <w:rsid w:val="00ED3F41"/>
    <w:rsid w:val="00ED5615"/>
    <w:rsid w:val="00ED692E"/>
    <w:rsid w:val="00ED69AF"/>
    <w:rsid w:val="00EE1847"/>
    <w:rsid w:val="00EE240E"/>
    <w:rsid w:val="00EE688E"/>
    <w:rsid w:val="00EE6A6D"/>
    <w:rsid w:val="00EF03E2"/>
    <w:rsid w:val="00EF7F8B"/>
    <w:rsid w:val="00F03814"/>
    <w:rsid w:val="00F07A09"/>
    <w:rsid w:val="00F1390C"/>
    <w:rsid w:val="00F14D98"/>
    <w:rsid w:val="00F151A6"/>
    <w:rsid w:val="00F20C5E"/>
    <w:rsid w:val="00F36A1D"/>
    <w:rsid w:val="00F44278"/>
    <w:rsid w:val="00F51843"/>
    <w:rsid w:val="00F51B65"/>
    <w:rsid w:val="00F52109"/>
    <w:rsid w:val="00F52AAB"/>
    <w:rsid w:val="00F52EB6"/>
    <w:rsid w:val="00F55260"/>
    <w:rsid w:val="00F6316B"/>
    <w:rsid w:val="00F65AE0"/>
    <w:rsid w:val="00F74E38"/>
    <w:rsid w:val="00F76D6F"/>
    <w:rsid w:val="00F778B0"/>
    <w:rsid w:val="00F83BC2"/>
    <w:rsid w:val="00F92EC1"/>
    <w:rsid w:val="00F94C47"/>
    <w:rsid w:val="00FA0421"/>
    <w:rsid w:val="00FA3295"/>
    <w:rsid w:val="00FA3389"/>
    <w:rsid w:val="00FA3476"/>
    <w:rsid w:val="00FA495F"/>
    <w:rsid w:val="00FB0C10"/>
    <w:rsid w:val="00FB0E27"/>
    <w:rsid w:val="00FB3C36"/>
    <w:rsid w:val="00FB4280"/>
    <w:rsid w:val="00FB7CCE"/>
    <w:rsid w:val="00FC01C8"/>
    <w:rsid w:val="00FC5027"/>
    <w:rsid w:val="00FC50C7"/>
    <w:rsid w:val="00FC511D"/>
    <w:rsid w:val="00FC68BC"/>
    <w:rsid w:val="00FD11D4"/>
    <w:rsid w:val="00FD225D"/>
    <w:rsid w:val="00FD2384"/>
    <w:rsid w:val="00FD287D"/>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C9781F"/>
    <w:pPr>
      <w:keepNext/>
      <w:tabs>
        <w:tab w:val="num" w:pos="864"/>
      </w:tabs>
      <w:spacing w:before="240" w:after="60"/>
      <w:ind w:left="864" w:hanging="864"/>
      <w:jc w:val="left"/>
      <w:outlineLvl w:val="3"/>
    </w:pPr>
    <w:rPr>
      <w:b/>
      <w:bCs/>
      <w:sz w:val="28"/>
      <w:szCs w:val="28"/>
      <w:lang w:val="es-ES" w:eastAsia="es-ES"/>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paragraph" w:styleId="Ttulo6">
    <w:name w:val="heading 6"/>
    <w:basedOn w:val="Normal"/>
    <w:next w:val="Normal"/>
    <w:link w:val="Ttulo6Car"/>
    <w:qFormat/>
    <w:rsid w:val="00C9781F"/>
    <w:pPr>
      <w:tabs>
        <w:tab w:val="num" w:pos="1152"/>
      </w:tabs>
      <w:spacing w:before="240" w:after="60"/>
      <w:ind w:left="1152" w:hanging="1152"/>
      <w:jc w:val="left"/>
      <w:outlineLvl w:val="5"/>
    </w:pPr>
    <w:rPr>
      <w:b/>
      <w:bCs/>
      <w:sz w:val="22"/>
      <w:szCs w:val="22"/>
      <w:lang w:val="es-ES" w:eastAsia="es-ES"/>
    </w:rPr>
  </w:style>
  <w:style w:type="paragraph" w:styleId="Ttulo7">
    <w:name w:val="heading 7"/>
    <w:basedOn w:val="Normal"/>
    <w:next w:val="Normal"/>
    <w:link w:val="Ttulo7Car"/>
    <w:qFormat/>
    <w:rsid w:val="00C9781F"/>
    <w:pPr>
      <w:keepNext/>
      <w:spacing w:after="0"/>
      <w:ind w:firstLine="0"/>
      <w:jc w:val="center"/>
      <w:outlineLvl w:val="6"/>
    </w:pPr>
    <w:rPr>
      <w:sz w:val="52"/>
      <w:lang w:val="es-ES" w:eastAsia="es-ES"/>
    </w:rPr>
  </w:style>
  <w:style w:type="paragraph" w:styleId="Ttulo8">
    <w:name w:val="heading 8"/>
    <w:basedOn w:val="Normal"/>
    <w:next w:val="Normal"/>
    <w:link w:val="Ttulo8Car"/>
    <w:qFormat/>
    <w:rsid w:val="00C9781F"/>
    <w:pPr>
      <w:tabs>
        <w:tab w:val="num" w:pos="1440"/>
      </w:tabs>
      <w:spacing w:before="240" w:after="60"/>
      <w:ind w:left="1440" w:hanging="1440"/>
      <w:jc w:val="left"/>
      <w:outlineLvl w:val="7"/>
    </w:pPr>
    <w:rPr>
      <w:i/>
      <w:iCs/>
      <w:sz w:val="24"/>
      <w:szCs w:val="24"/>
      <w:lang w:val="es-ES" w:eastAsia="es-ES"/>
    </w:rPr>
  </w:style>
  <w:style w:type="paragraph" w:styleId="Ttulo9">
    <w:name w:val="heading 9"/>
    <w:basedOn w:val="Normal"/>
    <w:next w:val="Normal"/>
    <w:link w:val="Ttulo9Car"/>
    <w:qFormat/>
    <w:rsid w:val="00C9781F"/>
    <w:pPr>
      <w:tabs>
        <w:tab w:val="num" w:pos="1584"/>
      </w:tabs>
      <w:spacing w:before="240" w:after="60"/>
      <w:ind w:left="1584" w:hanging="1584"/>
      <w:jc w:val="left"/>
      <w:outlineLvl w:val="8"/>
    </w:pPr>
    <w:rPr>
      <w:rFonts w:ascii="Arial" w:hAnsi="Arial" w:cs="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rsid w:val="00C9781F"/>
    <w:rPr>
      <w:b/>
      <w:bCs/>
      <w:sz w:val="28"/>
      <w:szCs w:val="28"/>
    </w:rPr>
  </w:style>
  <w:style w:type="character" w:customStyle="1" w:styleId="Ttulo6Car">
    <w:name w:val="Título 6 Car"/>
    <w:basedOn w:val="Fuentedeprrafopredeter"/>
    <w:link w:val="Ttulo6"/>
    <w:rsid w:val="00C9781F"/>
    <w:rPr>
      <w:b/>
      <w:bCs/>
      <w:sz w:val="22"/>
      <w:szCs w:val="22"/>
    </w:rPr>
  </w:style>
  <w:style w:type="character" w:customStyle="1" w:styleId="Ttulo7Car">
    <w:name w:val="Título 7 Car"/>
    <w:basedOn w:val="Fuentedeprrafopredeter"/>
    <w:link w:val="Ttulo7"/>
    <w:rsid w:val="00C9781F"/>
    <w:rPr>
      <w:sz w:val="52"/>
    </w:rPr>
  </w:style>
  <w:style w:type="character" w:customStyle="1" w:styleId="Ttulo8Car">
    <w:name w:val="Título 8 Car"/>
    <w:basedOn w:val="Fuentedeprrafopredeter"/>
    <w:link w:val="Ttulo8"/>
    <w:rsid w:val="00C9781F"/>
    <w:rPr>
      <w:i/>
      <w:iCs/>
      <w:sz w:val="24"/>
      <w:szCs w:val="24"/>
    </w:rPr>
  </w:style>
  <w:style w:type="character" w:customStyle="1" w:styleId="Ttulo9Car">
    <w:name w:val="Título 9 Car"/>
    <w:basedOn w:val="Fuentedeprrafopredeter"/>
    <w:link w:val="Ttulo9"/>
    <w:rsid w:val="00C9781F"/>
    <w:rPr>
      <w:rFonts w:ascii="Arial" w:hAnsi="Arial" w:cs="Arial"/>
      <w:sz w:val="22"/>
      <w:szCs w:val="22"/>
    </w:rPr>
  </w:style>
  <w:style w:type="character" w:customStyle="1" w:styleId="atitulo1Car">
    <w:name w:val="atitulo1 Car"/>
    <w:basedOn w:val="Fuentedeprrafopredeter"/>
    <w:link w:val="atitulo1"/>
    <w:locked/>
    <w:rsid w:val="00C9781F"/>
    <w:rPr>
      <w:rFonts w:ascii="Arial" w:hAnsi="Arial"/>
      <w:b/>
      <w:color w:val="000000"/>
      <w:kern w:val="28"/>
      <w:sz w:val="25"/>
      <w:szCs w:val="26"/>
      <w:lang w:val="es-ES_tradnl" w:eastAsia="en-US"/>
    </w:rPr>
  </w:style>
  <w:style w:type="paragraph" w:styleId="Textonotapie">
    <w:name w:val="footnote text"/>
    <w:basedOn w:val="Normal"/>
    <w:link w:val="TextonotapieCar"/>
    <w:unhideWhenUsed/>
    <w:rsid w:val="00C9781F"/>
    <w:pPr>
      <w:spacing w:after="0"/>
    </w:pPr>
  </w:style>
  <w:style w:type="character" w:customStyle="1" w:styleId="TextonotapieCar">
    <w:name w:val="Texto nota pie Car"/>
    <w:basedOn w:val="Fuentedeprrafopredeter"/>
    <w:link w:val="Textonotapie"/>
    <w:rsid w:val="00C9781F"/>
    <w:rPr>
      <w:lang w:val="es-ES_tradnl" w:eastAsia="en-US"/>
    </w:rPr>
  </w:style>
  <w:style w:type="character" w:styleId="Refdenotaalpie">
    <w:name w:val="footnote reference"/>
    <w:basedOn w:val="Fuentedeprrafopredeter"/>
    <w:unhideWhenUsed/>
    <w:rsid w:val="00C9781F"/>
    <w:rPr>
      <w:vertAlign w:val="superscript"/>
    </w:rPr>
  </w:style>
  <w:style w:type="paragraph" w:styleId="NormalWeb">
    <w:name w:val="Normal (Web)"/>
    <w:basedOn w:val="Normal"/>
    <w:uiPriority w:val="99"/>
    <w:unhideWhenUsed/>
    <w:rsid w:val="00C9781F"/>
    <w:pPr>
      <w:spacing w:before="100" w:beforeAutospacing="1" w:after="100" w:afterAutospacing="1"/>
      <w:ind w:firstLine="0"/>
      <w:jc w:val="left"/>
    </w:pPr>
    <w:rPr>
      <w:rFonts w:eastAsiaTheme="minorEastAsia"/>
      <w:sz w:val="24"/>
      <w:szCs w:val="24"/>
      <w:lang w:val="es-ES" w:eastAsia="es-ES"/>
    </w:rPr>
  </w:style>
  <w:style w:type="character" w:customStyle="1" w:styleId="atitulo2Car">
    <w:name w:val="atitulo2 Car"/>
    <w:link w:val="atitulo2"/>
    <w:locked/>
    <w:rsid w:val="00C9781F"/>
    <w:rPr>
      <w:rFonts w:ascii="Arial" w:hAnsi="Arial"/>
      <w:bCs/>
      <w:iCs/>
      <w:color w:val="000000"/>
      <w:spacing w:val="10"/>
      <w:kern w:val="28"/>
      <w:sz w:val="25"/>
      <w:szCs w:val="26"/>
      <w:lang w:val="es-ES_tradnl" w:eastAsia="en-US"/>
    </w:rPr>
  </w:style>
  <w:style w:type="paragraph" w:styleId="Prrafodelista">
    <w:name w:val="List Paragraph"/>
    <w:basedOn w:val="Normal"/>
    <w:uiPriority w:val="34"/>
    <w:qFormat/>
    <w:rsid w:val="00C9781F"/>
    <w:pPr>
      <w:ind w:left="720"/>
      <w:contextualSpacing/>
    </w:pPr>
  </w:style>
  <w:style w:type="character" w:customStyle="1" w:styleId="Ttulo1Car">
    <w:name w:val="Título 1 Car"/>
    <w:link w:val="Ttulo1"/>
    <w:locked/>
    <w:rsid w:val="00C9781F"/>
    <w:rPr>
      <w:rFonts w:ascii="Arial" w:hAnsi="Arial" w:cs="Arial"/>
      <w:b/>
      <w:bCs/>
      <w:kern w:val="32"/>
      <w:sz w:val="32"/>
      <w:szCs w:val="32"/>
      <w:lang w:val="es-ES_tradnl" w:eastAsia="en-US"/>
    </w:rPr>
  </w:style>
  <w:style w:type="character" w:customStyle="1" w:styleId="Ttulo2Car">
    <w:name w:val="Título 2 Car"/>
    <w:link w:val="Ttulo2"/>
    <w:locked/>
    <w:rsid w:val="00C9781F"/>
    <w:rPr>
      <w:rFonts w:ascii="Arial" w:hAnsi="Arial" w:cs="Arial"/>
      <w:b/>
      <w:bCs/>
      <w:i/>
      <w:iCs/>
      <w:sz w:val="28"/>
      <w:szCs w:val="28"/>
      <w:lang w:val="es-ES_tradnl" w:eastAsia="en-US"/>
    </w:rPr>
  </w:style>
  <w:style w:type="character" w:customStyle="1" w:styleId="Ttulo3Car">
    <w:name w:val="Título 3 Car"/>
    <w:link w:val="Ttulo3"/>
    <w:locked/>
    <w:rsid w:val="00C9781F"/>
    <w:rPr>
      <w:rFonts w:ascii="Arial" w:hAnsi="Arial" w:cs="Arial"/>
      <w:b/>
      <w:bCs/>
      <w:szCs w:val="26"/>
      <w:lang w:val="es-ES_tradnl" w:eastAsia="en-US"/>
    </w:rPr>
  </w:style>
  <w:style w:type="character" w:customStyle="1" w:styleId="Ttulo5Car">
    <w:name w:val="Título 5 Car"/>
    <w:link w:val="Ttulo5"/>
    <w:locked/>
    <w:rsid w:val="00C9781F"/>
    <w:rPr>
      <w:b/>
      <w:sz w:val="28"/>
      <w:lang w:eastAsia="en-US"/>
    </w:rPr>
  </w:style>
  <w:style w:type="character" w:customStyle="1" w:styleId="TextodegloboCar">
    <w:name w:val="Texto de globo Car"/>
    <w:link w:val="Textodeglobo"/>
    <w:semiHidden/>
    <w:locked/>
    <w:rsid w:val="00C9781F"/>
    <w:rPr>
      <w:rFonts w:ascii="Tahoma" w:hAnsi="Tahoma" w:cs="Tahoma"/>
      <w:sz w:val="16"/>
      <w:szCs w:val="16"/>
      <w:lang w:val="es-ES_tradnl" w:eastAsia="en-US"/>
    </w:rPr>
  </w:style>
  <w:style w:type="character" w:customStyle="1" w:styleId="EncabezadoCar">
    <w:name w:val="Encabezado Car"/>
    <w:link w:val="Encabezado"/>
    <w:locked/>
    <w:rsid w:val="00C9781F"/>
    <w:rPr>
      <w:bCs/>
      <w:caps/>
      <w:sz w:val="14"/>
      <w:szCs w:val="12"/>
      <w:lang w:val="es-ES_tradnl" w:eastAsia="en-US"/>
    </w:rPr>
  </w:style>
  <w:style w:type="character" w:customStyle="1" w:styleId="PiedepginaCar">
    <w:name w:val="Pie de página Car"/>
    <w:link w:val="Piedepgina"/>
    <w:locked/>
    <w:rsid w:val="00C9781F"/>
    <w:rPr>
      <w:spacing w:val="6"/>
      <w:lang w:val="es-ES_tradnl" w:eastAsia="en-US"/>
    </w:rPr>
  </w:style>
  <w:style w:type="paragraph" w:customStyle="1" w:styleId="cuatitul">
    <w:name w:val="cuatitul"/>
    <w:basedOn w:val="Normal"/>
    <w:rsid w:val="00C9781F"/>
    <w:pPr>
      <w:spacing w:after="60"/>
      <w:ind w:firstLine="0"/>
      <w:jc w:val="center"/>
    </w:pPr>
    <w:rPr>
      <w:rFonts w:ascii="GillSans" w:eastAsia="Calibri" w:hAnsi="GillSans"/>
      <w:sz w:val="22"/>
      <w:lang w:eastAsia="es-ES"/>
    </w:rPr>
  </w:style>
  <w:style w:type="paragraph" w:customStyle="1" w:styleId="TablaCC">
    <w:name w:val="TablaCC"/>
    <w:basedOn w:val="Normal"/>
    <w:rsid w:val="00C9781F"/>
    <w:pPr>
      <w:spacing w:before="200" w:after="0"/>
      <w:ind w:firstLine="0"/>
      <w:jc w:val="left"/>
    </w:pPr>
    <w:rPr>
      <w:rFonts w:ascii="Arial" w:eastAsia="Calibri" w:hAnsi="Arial"/>
      <w:b/>
      <w:sz w:val="24"/>
      <w:szCs w:val="24"/>
      <w:lang w:val="es-ES"/>
    </w:rPr>
  </w:style>
  <w:style w:type="paragraph" w:customStyle="1" w:styleId="xl25">
    <w:name w:val="xl25"/>
    <w:basedOn w:val="Normal"/>
    <w:rsid w:val="00C9781F"/>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Textoindependiente">
    <w:name w:val="Body Text"/>
    <w:basedOn w:val="Normal"/>
    <w:link w:val="TextoindependienteCar"/>
    <w:rsid w:val="00C9781F"/>
    <w:pPr>
      <w:spacing w:after="0"/>
      <w:ind w:firstLine="0"/>
    </w:pPr>
    <w:rPr>
      <w:rFonts w:ascii="Arial" w:eastAsia="Calibri" w:hAnsi="Arial"/>
      <w:sz w:val="24"/>
      <w:lang w:eastAsia="es-ES"/>
    </w:rPr>
  </w:style>
  <w:style w:type="character" w:customStyle="1" w:styleId="TextoindependienteCar">
    <w:name w:val="Texto independiente Car"/>
    <w:basedOn w:val="Fuentedeprrafopredeter"/>
    <w:link w:val="Textoindependiente"/>
    <w:rsid w:val="00C9781F"/>
    <w:rPr>
      <w:rFonts w:ascii="Arial" w:eastAsia="Calibri" w:hAnsi="Arial"/>
      <w:sz w:val="24"/>
      <w:lang w:val="es-ES_tradnl"/>
    </w:rPr>
  </w:style>
  <w:style w:type="character" w:customStyle="1" w:styleId="AyuntamientoCar">
    <w:name w:val="Ayuntamiento Car"/>
    <w:link w:val="Ayuntamiento"/>
    <w:locked/>
    <w:rsid w:val="00C9781F"/>
    <w:rPr>
      <w:rFonts w:ascii="Arial" w:hAnsi="Arial"/>
      <w:sz w:val="24"/>
      <w:lang w:val="x-none"/>
    </w:rPr>
  </w:style>
  <w:style w:type="paragraph" w:customStyle="1" w:styleId="Ayuntamiento">
    <w:name w:val="Ayuntamiento"/>
    <w:basedOn w:val="Normal"/>
    <w:link w:val="AyuntamientoCar"/>
    <w:rsid w:val="00C9781F"/>
    <w:pPr>
      <w:spacing w:after="0"/>
      <w:ind w:firstLine="0"/>
    </w:pPr>
    <w:rPr>
      <w:rFonts w:ascii="Arial" w:hAnsi="Arial"/>
      <w:sz w:val="24"/>
      <w:lang w:val="x-none" w:eastAsia="es-ES"/>
    </w:rPr>
  </w:style>
  <w:style w:type="character" w:customStyle="1" w:styleId="JavierCar">
    <w:name w:val="Javier Car"/>
    <w:link w:val="Javier"/>
    <w:locked/>
    <w:rsid w:val="00C9781F"/>
    <w:rPr>
      <w:rFonts w:ascii="Arial" w:hAnsi="Arial"/>
      <w:sz w:val="24"/>
      <w:lang w:val="x-none"/>
    </w:rPr>
  </w:style>
  <w:style w:type="paragraph" w:customStyle="1" w:styleId="Javier">
    <w:name w:val="Javier"/>
    <w:basedOn w:val="Normal"/>
    <w:link w:val="JavierCar"/>
    <w:rsid w:val="00C9781F"/>
    <w:pPr>
      <w:spacing w:after="0"/>
      <w:ind w:firstLine="0"/>
    </w:pPr>
    <w:rPr>
      <w:rFonts w:ascii="Arial" w:hAnsi="Arial"/>
      <w:sz w:val="24"/>
      <w:lang w:val="x-none" w:eastAsia="es-ES"/>
    </w:rPr>
  </w:style>
  <w:style w:type="character" w:styleId="Textoennegrita">
    <w:name w:val="Strong"/>
    <w:qFormat/>
    <w:rsid w:val="00C9781F"/>
    <w:rPr>
      <w:b/>
    </w:rPr>
  </w:style>
  <w:style w:type="paragraph" w:customStyle="1" w:styleId="foral-f-parrafo-c">
    <w:name w:val="foral-f-parrafo-c"/>
    <w:basedOn w:val="Normal"/>
    <w:rsid w:val="00C9781F"/>
    <w:pPr>
      <w:spacing w:after="240"/>
      <w:ind w:firstLine="0"/>
      <w:jc w:val="left"/>
    </w:pPr>
    <w:rPr>
      <w:rFonts w:eastAsia="Calibri"/>
      <w:sz w:val="24"/>
      <w:szCs w:val="24"/>
      <w:lang w:val="es-ES" w:eastAsia="es-ES"/>
    </w:rPr>
  </w:style>
  <w:style w:type="paragraph" w:customStyle="1" w:styleId="Estndar">
    <w:name w:val="Estándar"/>
    <w:rsid w:val="00C9781F"/>
    <w:pPr>
      <w:snapToGrid w:val="0"/>
    </w:pPr>
    <w:rPr>
      <w:rFonts w:ascii="CG Omega" w:hAnsi="CG Omega"/>
      <w:color w:val="000000"/>
      <w:sz w:val="22"/>
    </w:rPr>
  </w:style>
  <w:style w:type="paragraph" w:styleId="Textoindependiente2">
    <w:name w:val="Body Text 2"/>
    <w:basedOn w:val="Normal"/>
    <w:link w:val="Textoindependiente2Car"/>
    <w:rsid w:val="00C9781F"/>
    <w:pPr>
      <w:spacing w:after="120" w:line="480" w:lineRule="auto"/>
    </w:pPr>
    <w:rPr>
      <w:rFonts w:eastAsia="Calibri"/>
    </w:rPr>
  </w:style>
  <w:style w:type="character" w:customStyle="1" w:styleId="Textoindependiente2Car">
    <w:name w:val="Texto independiente 2 Car"/>
    <w:basedOn w:val="Fuentedeprrafopredeter"/>
    <w:link w:val="Textoindependiente2"/>
    <w:rsid w:val="00C9781F"/>
    <w:rPr>
      <w:rFonts w:eastAsia="Calibri"/>
      <w:lang w:val="es-ES_tradnl" w:eastAsia="en-US"/>
    </w:rPr>
  </w:style>
  <w:style w:type="paragraph" w:styleId="Textoindependiente3">
    <w:name w:val="Body Text 3"/>
    <w:basedOn w:val="Normal"/>
    <w:link w:val="Textoindependiente3Car"/>
    <w:rsid w:val="00C9781F"/>
    <w:pPr>
      <w:spacing w:after="0"/>
      <w:ind w:firstLine="0"/>
      <w:jc w:val="center"/>
    </w:pPr>
    <w:rPr>
      <w:rFonts w:ascii="ITCCentury Book" w:hAnsi="ITCCentury Book"/>
      <w:b/>
      <w:sz w:val="96"/>
      <w:lang w:val="es-ES" w:eastAsia="es-ES"/>
    </w:rPr>
  </w:style>
  <w:style w:type="character" w:customStyle="1" w:styleId="Textoindependiente3Car">
    <w:name w:val="Texto independiente 3 Car"/>
    <w:basedOn w:val="Fuentedeprrafopredeter"/>
    <w:link w:val="Textoindependiente3"/>
    <w:rsid w:val="00C9781F"/>
    <w:rPr>
      <w:rFonts w:ascii="ITCCentury Book" w:hAnsi="ITCCentury Book"/>
      <w:b/>
      <w:sz w:val="96"/>
    </w:rPr>
  </w:style>
  <w:style w:type="paragraph" w:customStyle="1" w:styleId="c22">
    <w:name w:val="c22"/>
    <w:basedOn w:val="Normal"/>
    <w:rsid w:val="00C9781F"/>
    <w:pPr>
      <w:spacing w:before="100" w:beforeAutospacing="1" w:after="100" w:afterAutospacing="1"/>
      <w:ind w:firstLine="0"/>
      <w:jc w:val="left"/>
    </w:pPr>
    <w:rPr>
      <w:sz w:val="24"/>
      <w:szCs w:val="24"/>
      <w:lang w:val="es-ES" w:eastAsia="es-ES"/>
    </w:rPr>
  </w:style>
  <w:style w:type="paragraph" w:customStyle="1" w:styleId="np">
    <w:name w:val="np"/>
    <w:basedOn w:val="Normal"/>
    <w:rsid w:val="00C9781F"/>
    <w:pPr>
      <w:spacing w:before="100" w:beforeAutospacing="1" w:after="100" w:afterAutospacing="1"/>
      <w:ind w:firstLine="0"/>
      <w:jc w:val="left"/>
    </w:pPr>
    <w:rPr>
      <w:sz w:val="24"/>
      <w:szCs w:val="24"/>
      <w:lang w:val="es-ES" w:eastAsia="es-ES"/>
    </w:rPr>
  </w:style>
  <w:style w:type="paragraph" w:customStyle="1" w:styleId="Default">
    <w:name w:val="Default"/>
    <w:rsid w:val="00C9781F"/>
    <w:pPr>
      <w:autoSpaceDE w:val="0"/>
      <w:autoSpaceDN w:val="0"/>
      <w:adjustRightInd w:val="0"/>
    </w:pPr>
    <w:rPr>
      <w:rFonts w:ascii="TimesNewRoman" w:hAnsi="TimesNewRoman" w:cs="TimesNewRoman"/>
    </w:rPr>
  </w:style>
  <w:style w:type="paragraph" w:customStyle="1" w:styleId="Subepgrafe">
    <w:name w:val="Subepígrafe"/>
    <w:basedOn w:val="Normal"/>
    <w:next w:val="Normal"/>
    <w:rsid w:val="00C9781F"/>
    <w:pPr>
      <w:overflowPunct w:val="0"/>
      <w:adjustRightInd w:val="0"/>
      <w:spacing w:before="240" w:after="0"/>
      <w:ind w:firstLine="0"/>
    </w:pPr>
    <w:rPr>
      <w:sz w:val="22"/>
      <w:lang w:eastAsia="es-ES"/>
    </w:rPr>
  </w:style>
  <w:style w:type="paragraph" w:customStyle="1" w:styleId="xa1">
    <w:name w:val="xa1"/>
    <w:basedOn w:val="Normal"/>
    <w:uiPriority w:val="99"/>
    <w:rsid w:val="00C9781F"/>
    <w:pPr>
      <w:spacing w:before="100" w:beforeAutospacing="1" w:after="100" w:afterAutospacing="1"/>
      <w:ind w:firstLine="0"/>
      <w:jc w:val="left"/>
    </w:pPr>
    <w:rPr>
      <w:rFonts w:eastAsia="Calibri"/>
      <w:sz w:val="24"/>
      <w:szCs w:val="24"/>
      <w:lang w:val="es-ES" w:eastAsia="es-ES"/>
    </w:rPr>
  </w:style>
  <w:style w:type="paragraph" w:customStyle="1" w:styleId="xl2">
    <w:name w:val="xl2"/>
    <w:basedOn w:val="Normal"/>
    <w:rsid w:val="00C9781F"/>
    <w:pPr>
      <w:spacing w:before="100" w:beforeAutospacing="1" w:after="100" w:afterAutospacing="1"/>
      <w:ind w:firstLine="0"/>
      <w:jc w:val="left"/>
    </w:pPr>
    <w:rPr>
      <w:sz w:val="24"/>
      <w:szCs w:val="24"/>
      <w:lang w:val="es-ES" w:eastAsia="es-ES"/>
    </w:rPr>
  </w:style>
  <w:style w:type="character" w:customStyle="1" w:styleId="apple-converted-space">
    <w:name w:val="apple-converted-space"/>
    <w:rsid w:val="00C9781F"/>
  </w:style>
  <w:style w:type="paragraph" w:customStyle="1" w:styleId="pie">
    <w:name w:val="pie"/>
    <w:basedOn w:val="Normal"/>
    <w:rsid w:val="00C9781F"/>
    <w:pPr>
      <w:spacing w:before="100" w:beforeAutospacing="1" w:after="100" w:afterAutospacing="1"/>
      <w:ind w:firstLine="0"/>
      <w:jc w:val="left"/>
    </w:pPr>
    <w:rPr>
      <w:sz w:val="24"/>
      <w:szCs w:val="24"/>
      <w:lang w:val="es-ES" w:eastAsia="es-ES"/>
    </w:rPr>
  </w:style>
  <w:style w:type="character" w:customStyle="1" w:styleId="hvr">
    <w:name w:val="hvr"/>
    <w:basedOn w:val="Fuentedeprrafopredeter"/>
    <w:rsid w:val="00C9781F"/>
  </w:style>
  <w:style w:type="character" w:customStyle="1" w:styleId="spelle">
    <w:name w:val="spelle"/>
    <w:rsid w:val="00C9781F"/>
  </w:style>
  <w:style w:type="character" w:customStyle="1" w:styleId="grame">
    <w:name w:val="grame"/>
    <w:rsid w:val="00C9781F"/>
  </w:style>
  <w:style w:type="paragraph" w:customStyle="1" w:styleId="Informal2">
    <w:name w:val="Informal2"/>
    <w:basedOn w:val="Normal"/>
    <w:rsid w:val="00C9781F"/>
    <w:pPr>
      <w:spacing w:before="60" w:after="60"/>
      <w:ind w:firstLine="0"/>
      <w:jc w:val="left"/>
    </w:pPr>
    <w:rPr>
      <w:rFonts w:ascii="Arial" w:hAnsi="Arial"/>
      <w:b/>
      <w:lang w:eastAsia="es-ES"/>
    </w:rPr>
  </w:style>
  <w:style w:type="paragraph" w:customStyle="1" w:styleId="xdef">
    <w:name w:val="xdef"/>
    <w:basedOn w:val="Normal"/>
    <w:rsid w:val="00C9781F"/>
    <w:pPr>
      <w:spacing w:before="100" w:beforeAutospacing="1" w:after="100" w:afterAutospacing="1"/>
      <w:ind w:firstLine="0"/>
      <w:jc w:val="left"/>
    </w:pPr>
    <w:rPr>
      <w:sz w:val="24"/>
      <w:szCs w:val="24"/>
      <w:lang w:val="es-ES" w:eastAsia="es-ES"/>
    </w:rPr>
  </w:style>
  <w:style w:type="table" w:customStyle="1" w:styleId="Tablaconcuadrcula1">
    <w:name w:val="Tabla con cuadrícula1"/>
    <w:basedOn w:val="Tablanormal"/>
    <w:next w:val="Tablaconcuadrcula"/>
    <w:rsid w:val="00C9781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
    <w:name w:val="xl1"/>
    <w:basedOn w:val="Normal"/>
    <w:rsid w:val="00C9781F"/>
    <w:pPr>
      <w:spacing w:before="100" w:beforeAutospacing="1" w:after="100" w:afterAutospacing="1"/>
      <w:ind w:firstLine="0"/>
      <w:jc w:val="left"/>
    </w:pPr>
    <w:rPr>
      <w:sz w:val="24"/>
      <w:szCs w:val="24"/>
      <w:lang w:val="es-ES" w:eastAsia="es-ES"/>
    </w:rPr>
  </w:style>
  <w:style w:type="paragraph" w:styleId="Textonotaalfinal">
    <w:name w:val="endnote text"/>
    <w:basedOn w:val="Normal"/>
    <w:link w:val="TextonotaalfinalCar"/>
    <w:rsid w:val="00B53A0A"/>
    <w:pPr>
      <w:spacing w:after="0"/>
    </w:pPr>
  </w:style>
  <w:style w:type="character" w:customStyle="1" w:styleId="TextonotaalfinalCar">
    <w:name w:val="Texto nota al final Car"/>
    <w:basedOn w:val="Fuentedeprrafopredeter"/>
    <w:link w:val="Textonotaalfinal"/>
    <w:rsid w:val="00B53A0A"/>
    <w:rPr>
      <w:lang w:val="es-ES_tradnl" w:eastAsia="en-US"/>
    </w:rPr>
  </w:style>
  <w:style w:type="character" w:styleId="Refdenotaalfinal">
    <w:name w:val="endnote reference"/>
    <w:basedOn w:val="Fuentedeprrafopredeter"/>
    <w:rsid w:val="00B53A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C9781F"/>
    <w:pPr>
      <w:keepNext/>
      <w:tabs>
        <w:tab w:val="num" w:pos="864"/>
      </w:tabs>
      <w:spacing w:before="240" w:after="60"/>
      <w:ind w:left="864" w:hanging="864"/>
      <w:jc w:val="left"/>
      <w:outlineLvl w:val="3"/>
    </w:pPr>
    <w:rPr>
      <w:b/>
      <w:bCs/>
      <w:sz w:val="28"/>
      <w:szCs w:val="28"/>
      <w:lang w:val="es-ES" w:eastAsia="es-ES"/>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paragraph" w:styleId="Ttulo6">
    <w:name w:val="heading 6"/>
    <w:basedOn w:val="Normal"/>
    <w:next w:val="Normal"/>
    <w:link w:val="Ttulo6Car"/>
    <w:qFormat/>
    <w:rsid w:val="00C9781F"/>
    <w:pPr>
      <w:tabs>
        <w:tab w:val="num" w:pos="1152"/>
      </w:tabs>
      <w:spacing w:before="240" w:after="60"/>
      <w:ind w:left="1152" w:hanging="1152"/>
      <w:jc w:val="left"/>
      <w:outlineLvl w:val="5"/>
    </w:pPr>
    <w:rPr>
      <w:b/>
      <w:bCs/>
      <w:sz w:val="22"/>
      <w:szCs w:val="22"/>
      <w:lang w:val="es-ES" w:eastAsia="es-ES"/>
    </w:rPr>
  </w:style>
  <w:style w:type="paragraph" w:styleId="Ttulo7">
    <w:name w:val="heading 7"/>
    <w:basedOn w:val="Normal"/>
    <w:next w:val="Normal"/>
    <w:link w:val="Ttulo7Car"/>
    <w:qFormat/>
    <w:rsid w:val="00C9781F"/>
    <w:pPr>
      <w:keepNext/>
      <w:spacing w:after="0"/>
      <w:ind w:firstLine="0"/>
      <w:jc w:val="center"/>
      <w:outlineLvl w:val="6"/>
    </w:pPr>
    <w:rPr>
      <w:sz w:val="52"/>
      <w:lang w:val="es-ES" w:eastAsia="es-ES"/>
    </w:rPr>
  </w:style>
  <w:style w:type="paragraph" w:styleId="Ttulo8">
    <w:name w:val="heading 8"/>
    <w:basedOn w:val="Normal"/>
    <w:next w:val="Normal"/>
    <w:link w:val="Ttulo8Car"/>
    <w:qFormat/>
    <w:rsid w:val="00C9781F"/>
    <w:pPr>
      <w:tabs>
        <w:tab w:val="num" w:pos="1440"/>
      </w:tabs>
      <w:spacing w:before="240" w:after="60"/>
      <w:ind w:left="1440" w:hanging="1440"/>
      <w:jc w:val="left"/>
      <w:outlineLvl w:val="7"/>
    </w:pPr>
    <w:rPr>
      <w:i/>
      <w:iCs/>
      <w:sz w:val="24"/>
      <w:szCs w:val="24"/>
      <w:lang w:val="es-ES" w:eastAsia="es-ES"/>
    </w:rPr>
  </w:style>
  <w:style w:type="paragraph" w:styleId="Ttulo9">
    <w:name w:val="heading 9"/>
    <w:basedOn w:val="Normal"/>
    <w:next w:val="Normal"/>
    <w:link w:val="Ttulo9Car"/>
    <w:qFormat/>
    <w:rsid w:val="00C9781F"/>
    <w:pPr>
      <w:tabs>
        <w:tab w:val="num" w:pos="1584"/>
      </w:tabs>
      <w:spacing w:before="240" w:after="60"/>
      <w:ind w:left="1584" w:hanging="1584"/>
      <w:jc w:val="left"/>
      <w:outlineLvl w:val="8"/>
    </w:pPr>
    <w:rPr>
      <w:rFonts w:ascii="Arial" w:hAnsi="Arial" w:cs="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rsid w:val="00C9781F"/>
    <w:rPr>
      <w:b/>
      <w:bCs/>
      <w:sz w:val="28"/>
      <w:szCs w:val="28"/>
    </w:rPr>
  </w:style>
  <w:style w:type="character" w:customStyle="1" w:styleId="Ttulo6Car">
    <w:name w:val="Título 6 Car"/>
    <w:basedOn w:val="Fuentedeprrafopredeter"/>
    <w:link w:val="Ttulo6"/>
    <w:rsid w:val="00C9781F"/>
    <w:rPr>
      <w:b/>
      <w:bCs/>
      <w:sz w:val="22"/>
      <w:szCs w:val="22"/>
    </w:rPr>
  </w:style>
  <w:style w:type="character" w:customStyle="1" w:styleId="Ttulo7Car">
    <w:name w:val="Título 7 Car"/>
    <w:basedOn w:val="Fuentedeprrafopredeter"/>
    <w:link w:val="Ttulo7"/>
    <w:rsid w:val="00C9781F"/>
    <w:rPr>
      <w:sz w:val="52"/>
    </w:rPr>
  </w:style>
  <w:style w:type="character" w:customStyle="1" w:styleId="Ttulo8Car">
    <w:name w:val="Título 8 Car"/>
    <w:basedOn w:val="Fuentedeprrafopredeter"/>
    <w:link w:val="Ttulo8"/>
    <w:rsid w:val="00C9781F"/>
    <w:rPr>
      <w:i/>
      <w:iCs/>
      <w:sz w:val="24"/>
      <w:szCs w:val="24"/>
    </w:rPr>
  </w:style>
  <w:style w:type="character" w:customStyle="1" w:styleId="Ttulo9Car">
    <w:name w:val="Título 9 Car"/>
    <w:basedOn w:val="Fuentedeprrafopredeter"/>
    <w:link w:val="Ttulo9"/>
    <w:rsid w:val="00C9781F"/>
    <w:rPr>
      <w:rFonts w:ascii="Arial" w:hAnsi="Arial" w:cs="Arial"/>
      <w:sz w:val="22"/>
      <w:szCs w:val="22"/>
    </w:rPr>
  </w:style>
  <w:style w:type="character" w:customStyle="1" w:styleId="atitulo1Car">
    <w:name w:val="atitulo1 Car"/>
    <w:basedOn w:val="Fuentedeprrafopredeter"/>
    <w:link w:val="atitulo1"/>
    <w:locked/>
    <w:rsid w:val="00C9781F"/>
    <w:rPr>
      <w:rFonts w:ascii="Arial" w:hAnsi="Arial"/>
      <w:b/>
      <w:color w:val="000000"/>
      <w:kern w:val="28"/>
      <w:sz w:val="25"/>
      <w:szCs w:val="26"/>
      <w:lang w:val="es-ES_tradnl" w:eastAsia="en-US"/>
    </w:rPr>
  </w:style>
  <w:style w:type="paragraph" w:styleId="Textonotapie">
    <w:name w:val="footnote text"/>
    <w:basedOn w:val="Normal"/>
    <w:link w:val="TextonotapieCar"/>
    <w:unhideWhenUsed/>
    <w:rsid w:val="00C9781F"/>
    <w:pPr>
      <w:spacing w:after="0"/>
    </w:pPr>
  </w:style>
  <w:style w:type="character" w:customStyle="1" w:styleId="TextonotapieCar">
    <w:name w:val="Texto nota pie Car"/>
    <w:basedOn w:val="Fuentedeprrafopredeter"/>
    <w:link w:val="Textonotapie"/>
    <w:rsid w:val="00C9781F"/>
    <w:rPr>
      <w:lang w:val="es-ES_tradnl" w:eastAsia="en-US"/>
    </w:rPr>
  </w:style>
  <w:style w:type="character" w:styleId="Refdenotaalpie">
    <w:name w:val="footnote reference"/>
    <w:basedOn w:val="Fuentedeprrafopredeter"/>
    <w:unhideWhenUsed/>
    <w:rsid w:val="00C9781F"/>
    <w:rPr>
      <w:vertAlign w:val="superscript"/>
    </w:rPr>
  </w:style>
  <w:style w:type="paragraph" w:styleId="NormalWeb">
    <w:name w:val="Normal (Web)"/>
    <w:basedOn w:val="Normal"/>
    <w:uiPriority w:val="99"/>
    <w:unhideWhenUsed/>
    <w:rsid w:val="00C9781F"/>
    <w:pPr>
      <w:spacing w:before="100" w:beforeAutospacing="1" w:after="100" w:afterAutospacing="1"/>
      <w:ind w:firstLine="0"/>
      <w:jc w:val="left"/>
    </w:pPr>
    <w:rPr>
      <w:rFonts w:eastAsiaTheme="minorEastAsia"/>
      <w:sz w:val="24"/>
      <w:szCs w:val="24"/>
      <w:lang w:val="es-ES" w:eastAsia="es-ES"/>
    </w:rPr>
  </w:style>
  <w:style w:type="character" w:customStyle="1" w:styleId="atitulo2Car">
    <w:name w:val="atitulo2 Car"/>
    <w:link w:val="atitulo2"/>
    <w:locked/>
    <w:rsid w:val="00C9781F"/>
    <w:rPr>
      <w:rFonts w:ascii="Arial" w:hAnsi="Arial"/>
      <w:bCs/>
      <w:iCs/>
      <w:color w:val="000000"/>
      <w:spacing w:val="10"/>
      <w:kern w:val="28"/>
      <w:sz w:val="25"/>
      <w:szCs w:val="26"/>
      <w:lang w:val="es-ES_tradnl" w:eastAsia="en-US"/>
    </w:rPr>
  </w:style>
  <w:style w:type="paragraph" w:styleId="Prrafodelista">
    <w:name w:val="List Paragraph"/>
    <w:basedOn w:val="Normal"/>
    <w:uiPriority w:val="34"/>
    <w:qFormat/>
    <w:rsid w:val="00C9781F"/>
    <w:pPr>
      <w:ind w:left="720"/>
      <w:contextualSpacing/>
    </w:pPr>
  </w:style>
  <w:style w:type="character" w:customStyle="1" w:styleId="Ttulo1Car">
    <w:name w:val="Título 1 Car"/>
    <w:link w:val="Ttulo1"/>
    <w:locked/>
    <w:rsid w:val="00C9781F"/>
    <w:rPr>
      <w:rFonts w:ascii="Arial" w:hAnsi="Arial" w:cs="Arial"/>
      <w:b/>
      <w:bCs/>
      <w:kern w:val="32"/>
      <w:sz w:val="32"/>
      <w:szCs w:val="32"/>
      <w:lang w:val="es-ES_tradnl" w:eastAsia="en-US"/>
    </w:rPr>
  </w:style>
  <w:style w:type="character" w:customStyle="1" w:styleId="Ttulo2Car">
    <w:name w:val="Título 2 Car"/>
    <w:link w:val="Ttulo2"/>
    <w:locked/>
    <w:rsid w:val="00C9781F"/>
    <w:rPr>
      <w:rFonts w:ascii="Arial" w:hAnsi="Arial" w:cs="Arial"/>
      <w:b/>
      <w:bCs/>
      <w:i/>
      <w:iCs/>
      <w:sz w:val="28"/>
      <w:szCs w:val="28"/>
      <w:lang w:val="es-ES_tradnl" w:eastAsia="en-US"/>
    </w:rPr>
  </w:style>
  <w:style w:type="character" w:customStyle="1" w:styleId="Ttulo3Car">
    <w:name w:val="Título 3 Car"/>
    <w:link w:val="Ttulo3"/>
    <w:locked/>
    <w:rsid w:val="00C9781F"/>
    <w:rPr>
      <w:rFonts w:ascii="Arial" w:hAnsi="Arial" w:cs="Arial"/>
      <w:b/>
      <w:bCs/>
      <w:szCs w:val="26"/>
      <w:lang w:val="es-ES_tradnl" w:eastAsia="en-US"/>
    </w:rPr>
  </w:style>
  <w:style w:type="character" w:customStyle="1" w:styleId="Ttulo5Car">
    <w:name w:val="Título 5 Car"/>
    <w:link w:val="Ttulo5"/>
    <w:locked/>
    <w:rsid w:val="00C9781F"/>
    <w:rPr>
      <w:b/>
      <w:sz w:val="28"/>
      <w:lang w:eastAsia="en-US"/>
    </w:rPr>
  </w:style>
  <w:style w:type="character" w:customStyle="1" w:styleId="TextodegloboCar">
    <w:name w:val="Texto de globo Car"/>
    <w:link w:val="Textodeglobo"/>
    <w:semiHidden/>
    <w:locked/>
    <w:rsid w:val="00C9781F"/>
    <w:rPr>
      <w:rFonts w:ascii="Tahoma" w:hAnsi="Tahoma" w:cs="Tahoma"/>
      <w:sz w:val="16"/>
      <w:szCs w:val="16"/>
      <w:lang w:val="es-ES_tradnl" w:eastAsia="en-US"/>
    </w:rPr>
  </w:style>
  <w:style w:type="character" w:customStyle="1" w:styleId="EncabezadoCar">
    <w:name w:val="Encabezado Car"/>
    <w:link w:val="Encabezado"/>
    <w:locked/>
    <w:rsid w:val="00C9781F"/>
    <w:rPr>
      <w:bCs/>
      <w:caps/>
      <w:sz w:val="14"/>
      <w:szCs w:val="12"/>
      <w:lang w:val="es-ES_tradnl" w:eastAsia="en-US"/>
    </w:rPr>
  </w:style>
  <w:style w:type="character" w:customStyle="1" w:styleId="PiedepginaCar">
    <w:name w:val="Pie de página Car"/>
    <w:link w:val="Piedepgina"/>
    <w:locked/>
    <w:rsid w:val="00C9781F"/>
    <w:rPr>
      <w:spacing w:val="6"/>
      <w:lang w:val="es-ES_tradnl" w:eastAsia="en-US"/>
    </w:rPr>
  </w:style>
  <w:style w:type="paragraph" w:customStyle="1" w:styleId="cuatitul">
    <w:name w:val="cuatitul"/>
    <w:basedOn w:val="Normal"/>
    <w:rsid w:val="00C9781F"/>
    <w:pPr>
      <w:spacing w:after="60"/>
      <w:ind w:firstLine="0"/>
      <w:jc w:val="center"/>
    </w:pPr>
    <w:rPr>
      <w:rFonts w:ascii="GillSans" w:eastAsia="Calibri" w:hAnsi="GillSans"/>
      <w:sz w:val="22"/>
      <w:lang w:eastAsia="es-ES"/>
    </w:rPr>
  </w:style>
  <w:style w:type="paragraph" w:customStyle="1" w:styleId="TablaCC">
    <w:name w:val="TablaCC"/>
    <w:basedOn w:val="Normal"/>
    <w:rsid w:val="00C9781F"/>
    <w:pPr>
      <w:spacing w:before="200" w:after="0"/>
      <w:ind w:firstLine="0"/>
      <w:jc w:val="left"/>
    </w:pPr>
    <w:rPr>
      <w:rFonts w:ascii="Arial" w:eastAsia="Calibri" w:hAnsi="Arial"/>
      <w:b/>
      <w:sz w:val="24"/>
      <w:szCs w:val="24"/>
      <w:lang w:val="es-ES"/>
    </w:rPr>
  </w:style>
  <w:style w:type="paragraph" w:customStyle="1" w:styleId="xl25">
    <w:name w:val="xl25"/>
    <w:basedOn w:val="Normal"/>
    <w:rsid w:val="00C9781F"/>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Textoindependiente">
    <w:name w:val="Body Text"/>
    <w:basedOn w:val="Normal"/>
    <w:link w:val="TextoindependienteCar"/>
    <w:rsid w:val="00C9781F"/>
    <w:pPr>
      <w:spacing w:after="0"/>
      <w:ind w:firstLine="0"/>
    </w:pPr>
    <w:rPr>
      <w:rFonts w:ascii="Arial" w:eastAsia="Calibri" w:hAnsi="Arial"/>
      <w:sz w:val="24"/>
      <w:lang w:eastAsia="es-ES"/>
    </w:rPr>
  </w:style>
  <w:style w:type="character" w:customStyle="1" w:styleId="TextoindependienteCar">
    <w:name w:val="Texto independiente Car"/>
    <w:basedOn w:val="Fuentedeprrafopredeter"/>
    <w:link w:val="Textoindependiente"/>
    <w:rsid w:val="00C9781F"/>
    <w:rPr>
      <w:rFonts w:ascii="Arial" w:eastAsia="Calibri" w:hAnsi="Arial"/>
      <w:sz w:val="24"/>
      <w:lang w:val="es-ES_tradnl"/>
    </w:rPr>
  </w:style>
  <w:style w:type="character" w:customStyle="1" w:styleId="AyuntamientoCar">
    <w:name w:val="Ayuntamiento Car"/>
    <w:link w:val="Ayuntamiento"/>
    <w:locked/>
    <w:rsid w:val="00C9781F"/>
    <w:rPr>
      <w:rFonts w:ascii="Arial" w:hAnsi="Arial"/>
      <w:sz w:val="24"/>
      <w:lang w:val="x-none"/>
    </w:rPr>
  </w:style>
  <w:style w:type="paragraph" w:customStyle="1" w:styleId="Ayuntamiento">
    <w:name w:val="Ayuntamiento"/>
    <w:basedOn w:val="Normal"/>
    <w:link w:val="AyuntamientoCar"/>
    <w:rsid w:val="00C9781F"/>
    <w:pPr>
      <w:spacing w:after="0"/>
      <w:ind w:firstLine="0"/>
    </w:pPr>
    <w:rPr>
      <w:rFonts w:ascii="Arial" w:hAnsi="Arial"/>
      <w:sz w:val="24"/>
      <w:lang w:val="x-none" w:eastAsia="es-ES"/>
    </w:rPr>
  </w:style>
  <w:style w:type="character" w:customStyle="1" w:styleId="JavierCar">
    <w:name w:val="Javier Car"/>
    <w:link w:val="Javier"/>
    <w:locked/>
    <w:rsid w:val="00C9781F"/>
    <w:rPr>
      <w:rFonts w:ascii="Arial" w:hAnsi="Arial"/>
      <w:sz w:val="24"/>
      <w:lang w:val="x-none"/>
    </w:rPr>
  </w:style>
  <w:style w:type="paragraph" w:customStyle="1" w:styleId="Javier">
    <w:name w:val="Javier"/>
    <w:basedOn w:val="Normal"/>
    <w:link w:val="JavierCar"/>
    <w:rsid w:val="00C9781F"/>
    <w:pPr>
      <w:spacing w:after="0"/>
      <w:ind w:firstLine="0"/>
    </w:pPr>
    <w:rPr>
      <w:rFonts w:ascii="Arial" w:hAnsi="Arial"/>
      <w:sz w:val="24"/>
      <w:lang w:val="x-none" w:eastAsia="es-ES"/>
    </w:rPr>
  </w:style>
  <w:style w:type="character" w:styleId="Textoennegrita">
    <w:name w:val="Strong"/>
    <w:qFormat/>
    <w:rsid w:val="00C9781F"/>
    <w:rPr>
      <w:b/>
    </w:rPr>
  </w:style>
  <w:style w:type="paragraph" w:customStyle="1" w:styleId="foral-f-parrafo-c">
    <w:name w:val="foral-f-parrafo-c"/>
    <w:basedOn w:val="Normal"/>
    <w:rsid w:val="00C9781F"/>
    <w:pPr>
      <w:spacing w:after="240"/>
      <w:ind w:firstLine="0"/>
      <w:jc w:val="left"/>
    </w:pPr>
    <w:rPr>
      <w:rFonts w:eastAsia="Calibri"/>
      <w:sz w:val="24"/>
      <w:szCs w:val="24"/>
      <w:lang w:val="es-ES" w:eastAsia="es-ES"/>
    </w:rPr>
  </w:style>
  <w:style w:type="paragraph" w:customStyle="1" w:styleId="Estndar">
    <w:name w:val="Estándar"/>
    <w:rsid w:val="00C9781F"/>
    <w:pPr>
      <w:snapToGrid w:val="0"/>
    </w:pPr>
    <w:rPr>
      <w:rFonts w:ascii="CG Omega" w:hAnsi="CG Omega"/>
      <w:color w:val="000000"/>
      <w:sz w:val="22"/>
    </w:rPr>
  </w:style>
  <w:style w:type="paragraph" w:styleId="Textoindependiente2">
    <w:name w:val="Body Text 2"/>
    <w:basedOn w:val="Normal"/>
    <w:link w:val="Textoindependiente2Car"/>
    <w:rsid w:val="00C9781F"/>
    <w:pPr>
      <w:spacing w:after="120" w:line="480" w:lineRule="auto"/>
    </w:pPr>
    <w:rPr>
      <w:rFonts w:eastAsia="Calibri"/>
    </w:rPr>
  </w:style>
  <w:style w:type="character" w:customStyle="1" w:styleId="Textoindependiente2Car">
    <w:name w:val="Texto independiente 2 Car"/>
    <w:basedOn w:val="Fuentedeprrafopredeter"/>
    <w:link w:val="Textoindependiente2"/>
    <w:rsid w:val="00C9781F"/>
    <w:rPr>
      <w:rFonts w:eastAsia="Calibri"/>
      <w:lang w:val="es-ES_tradnl" w:eastAsia="en-US"/>
    </w:rPr>
  </w:style>
  <w:style w:type="paragraph" w:styleId="Textoindependiente3">
    <w:name w:val="Body Text 3"/>
    <w:basedOn w:val="Normal"/>
    <w:link w:val="Textoindependiente3Car"/>
    <w:rsid w:val="00C9781F"/>
    <w:pPr>
      <w:spacing w:after="0"/>
      <w:ind w:firstLine="0"/>
      <w:jc w:val="center"/>
    </w:pPr>
    <w:rPr>
      <w:rFonts w:ascii="ITCCentury Book" w:hAnsi="ITCCentury Book"/>
      <w:b/>
      <w:sz w:val="96"/>
      <w:lang w:val="es-ES" w:eastAsia="es-ES"/>
    </w:rPr>
  </w:style>
  <w:style w:type="character" w:customStyle="1" w:styleId="Textoindependiente3Car">
    <w:name w:val="Texto independiente 3 Car"/>
    <w:basedOn w:val="Fuentedeprrafopredeter"/>
    <w:link w:val="Textoindependiente3"/>
    <w:rsid w:val="00C9781F"/>
    <w:rPr>
      <w:rFonts w:ascii="ITCCentury Book" w:hAnsi="ITCCentury Book"/>
      <w:b/>
      <w:sz w:val="96"/>
    </w:rPr>
  </w:style>
  <w:style w:type="paragraph" w:customStyle="1" w:styleId="c22">
    <w:name w:val="c22"/>
    <w:basedOn w:val="Normal"/>
    <w:rsid w:val="00C9781F"/>
    <w:pPr>
      <w:spacing w:before="100" w:beforeAutospacing="1" w:after="100" w:afterAutospacing="1"/>
      <w:ind w:firstLine="0"/>
      <w:jc w:val="left"/>
    </w:pPr>
    <w:rPr>
      <w:sz w:val="24"/>
      <w:szCs w:val="24"/>
      <w:lang w:val="es-ES" w:eastAsia="es-ES"/>
    </w:rPr>
  </w:style>
  <w:style w:type="paragraph" w:customStyle="1" w:styleId="np">
    <w:name w:val="np"/>
    <w:basedOn w:val="Normal"/>
    <w:rsid w:val="00C9781F"/>
    <w:pPr>
      <w:spacing w:before="100" w:beforeAutospacing="1" w:after="100" w:afterAutospacing="1"/>
      <w:ind w:firstLine="0"/>
      <w:jc w:val="left"/>
    </w:pPr>
    <w:rPr>
      <w:sz w:val="24"/>
      <w:szCs w:val="24"/>
      <w:lang w:val="es-ES" w:eastAsia="es-ES"/>
    </w:rPr>
  </w:style>
  <w:style w:type="paragraph" w:customStyle="1" w:styleId="Default">
    <w:name w:val="Default"/>
    <w:rsid w:val="00C9781F"/>
    <w:pPr>
      <w:autoSpaceDE w:val="0"/>
      <w:autoSpaceDN w:val="0"/>
      <w:adjustRightInd w:val="0"/>
    </w:pPr>
    <w:rPr>
      <w:rFonts w:ascii="TimesNewRoman" w:hAnsi="TimesNewRoman" w:cs="TimesNewRoman"/>
    </w:rPr>
  </w:style>
  <w:style w:type="paragraph" w:customStyle="1" w:styleId="Subepgrafe">
    <w:name w:val="Subepígrafe"/>
    <w:basedOn w:val="Normal"/>
    <w:next w:val="Normal"/>
    <w:rsid w:val="00C9781F"/>
    <w:pPr>
      <w:overflowPunct w:val="0"/>
      <w:adjustRightInd w:val="0"/>
      <w:spacing w:before="240" w:after="0"/>
      <w:ind w:firstLine="0"/>
    </w:pPr>
    <w:rPr>
      <w:sz w:val="22"/>
      <w:lang w:eastAsia="es-ES"/>
    </w:rPr>
  </w:style>
  <w:style w:type="paragraph" w:customStyle="1" w:styleId="xa1">
    <w:name w:val="xa1"/>
    <w:basedOn w:val="Normal"/>
    <w:uiPriority w:val="99"/>
    <w:rsid w:val="00C9781F"/>
    <w:pPr>
      <w:spacing w:before="100" w:beforeAutospacing="1" w:after="100" w:afterAutospacing="1"/>
      <w:ind w:firstLine="0"/>
      <w:jc w:val="left"/>
    </w:pPr>
    <w:rPr>
      <w:rFonts w:eastAsia="Calibri"/>
      <w:sz w:val="24"/>
      <w:szCs w:val="24"/>
      <w:lang w:val="es-ES" w:eastAsia="es-ES"/>
    </w:rPr>
  </w:style>
  <w:style w:type="paragraph" w:customStyle="1" w:styleId="xl2">
    <w:name w:val="xl2"/>
    <w:basedOn w:val="Normal"/>
    <w:rsid w:val="00C9781F"/>
    <w:pPr>
      <w:spacing w:before="100" w:beforeAutospacing="1" w:after="100" w:afterAutospacing="1"/>
      <w:ind w:firstLine="0"/>
      <w:jc w:val="left"/>
    </w:pPr>
    <w:rPr>
      <w:sz w:val="24"/>
      <w:szCs w:val="24"/>
      <w:lang w:val="es-ES" w:eastAsia="es-ES"/>
    </w:rPr>
  </w:style>
  <w:style w:type="character" w:customStyle="1" w:styleId="apple-converted-space">
    <w:name w:val="apple-converted-space"/>
    <w:rsid w:val="00C9781F"/>
  </w:style>
  <w:style w:type="paragraph" w:customStyle="1" w:styleId="pie">
    <w:name w:val="pie"/>
    <w:basedOn w:val="Normal"/>
    <w:rsid w:val="00C9781F"/>
    <w:pPr>
      <w:spacing w:before="100" w:beforeAutospacing="1" w:after="100" w:afterAutospacing="1"/>
      <w:ind w:firstLine="0"/>
      <w:jc w:val="left"/>
    </w:pPr>
    <w:rPr>
      <w:sz w:val="24"/>
      <w:szCs w:val="24"/>
      <w:lang w:val="es-ES" w:eastAsia="es-ES"/>
    </w:rPr>
  </w:style>
  <w:style w:type="character" w:customStyle="1" w:styleId="hvr">
    <w:name w:val="hvr"/>
    <w:basedOn w:val="Fuentedeprrafopredeter"/>
    <w:rsid w:val="00C9781F"/>
  </w:style>
  <w:style w:type="character" w:customStyle="1" w:styleId="spelle">
    <w:name w:val="spelle"/>
    <w:rsid w:val="00C9781F"/>
  </w:style>
  <w:style w:type="character" w:customStyle="1" w:styleId="grame">
    <w:name w:val="grame"/>
    <w:rsid w:val="00C9781F"/>
  </w:style>
  <w:style w:type="paragraph" w:customStyle="1" w:styleId="Informal2">
    <w:name w:val="Informal2"/>
    <w:basedOn w:val="Normal"/>
    <w:rsid w:val="00C9781F"/>
    <w:pPr>
      <w:spacing w:before="60" w:after="60"/>
      <w:ind w:firstLine="0"/>
      <w:jc w:val="left"/>
    </w:pPr>
    <w:rPr>
      <w:rFonts w:ascii="Arial" w:hAnsi="Arial"/>
      <w:b/>
      <w:lang w:eastAsia="es-ES"/>
    </w:rPr>
  </w:style>
  <w:style w:type="paragraph" w:customStyle="1" w:styleId="xdef">
    <w:name w:val="xdef"/>
    <w:basedOn w:val="Normal"/>
    <w:rsid w:val="00C9781F"/>
    <w:pPr>
      <w:spacing w:before="100" w:beforeAutospacing="1" w:after="100" w:afterAutospacing="1"/>
      <w:ind w:firstLine="0"/>
      <w:jc w:val="left"/>
    </w:pPr>
    <w:rPr>
      <w:sz w:val="24"/>
      <w:szCs w:val="24"/>
      <w:lang w:val="es-ES" w:eastAsia="es-ES"/>
    </w:rPr>
  </w:style>
  <w:style w:type="table" w:customStyle="1" w:styleId="Tablaconcuadrcula1">
    <w:name w:val="Tabla con cuadrícula1"/>
    <w:basedOn w:val="Tablanormal"/>
    <w:next w:val="Tablaconcuadrcula"/>
    <w:rsid w:val="00C9781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
    <w:name w:val="xl1"/>
    <w:basedOn w:val="Normal"/>
    <w:rsid w:val="00C9781F"/>
    <w:pPr>
      <w:spacing w:before="100" w:beforeAutospacing="1" w:after="100" w:afterAutospacing="1"/>
      <w:ind w:firstLine="0"/>
      <w:jc w:val="left"/>
    </w:pPr>
    <w:rPr>
      <w:sz w:val="24"/>
      <w:szCs w:val="24"/>
      <w:lang w:val="es-ES" w:eastAsia="es-ES"/>
    </w:rPr>
  </w:style>
  <w:style w:type="paragraph" w:styleId="Textonotaalfinal">
    <w:name w:val="endnote text"/>
    <w:basedOn w:val="Normal"/>
    <w:link w:val="TextonotaalfinalCar"/>
    <w:rsid w:val="00B53A0A"/>
    <w:pPr>
      <w:spacing w:after="0"/>
    </w:pPr>
  </w:style>
  <w:style w:type="character" w:customStyle="1" w:styleId="TextonotaalfinalCar">
    <w:name w:val="Texto nota al final Car"/>
    <w:basedOn w:val="Fuentedeprrafopredeter"/>
    <w:link w:val="Textonotaalfinal"/>
    <w:rsid w:val="00B53A0A"/>
    <w:rPr>
      <w:lang w:val="es-ES_tradnl" w:eastAsia="en-US"/>
    </w:rPr>
  </w:style>
  <w:style w:type="character" w:styleId="Refdenotaalfinal">
    <w:name w:val="endnote reference"/>
    <w:basedOn w:val="Fuentedeprrafopredeter"/>
    <w:rsid w:val="00B53A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image" Target="cid:image001.png@01D4DFBF.51C8359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image" Target="media/image4.png"/><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es.wikipedia.org/wiki/Red_inform%C3%A1tica" TargetMode="External"/><Relationship Id="rId2" Type="http://schemas.openxmlformats.org/officeDocument/2006/relationships/hyperlink" Target="https://es.wikipedia.org/wiki/Base_de_datos" TargetMode="External"/><Relationship Id="rId1" Type="http://schemas.openxmlformats.org/officeDocument/2006/relationships/hyperlink" Target="https://es.wikipedia.org/wiki/Archivo_(inform%C3%A1t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sz="1300"/>
              <a:t>Evolución del porcentaje</a:t>
            </a:r>
            <a:r>
              <a:rPr lang="es-ES" sz="1300" baseline="0"/>
              <a:t> del nº recetas sobre el total</a:t>
            </a:r>
            <a:endParaRPr lang="es-ES" sz="13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Hoja1!$A$19</c:f>
              <c:strCache>
                <c:ptCount val="1"/>
                <c:pt idx="0">
                  <c:v>Receta electrónica</c:v>
                </c:pt>
              </c:strCache>
            </c:strRef>
          </c:tx>
          <c:invertIfNegative val="0"/>
          <c:dLbls>
            <c:dLbl>
              <c:idx val="4"/>
              <c:layout>
                <c:manualLayout>
                  <c:x val="6.8446269678302529E-2"/>
                  <c:y val="4.698971375432704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Hoja1!$B$18:$F$18</c:f>
              <c:numCache>
                <c:formatCode>General</c:formatCode>
                <c:ptCount val="5"/>
                <c:pt idx="0">
                  <c:v>2013</c:v>
                </c:pt>
                <c:pt idx="1">
                  <c:v>2014</c:v>
                </c:pt>
                <c:pt idx="2">
                  <c:v>2015</c:v>
                </c:pt>
                <c:pt idx="3">
                  <c:v>2016</c:v>
                </c:pt>
                <c:pt idx="4">
                  <c:v>2017</c:v>
                </c:pt>
              </c:numCache>
            </c:numRef>
          </c:cat>
          <c:val>
            <c:numRef>
              <c:f>Hoja1!$B$19:$F$19</c:f>
              <c:numCache>
                <c:formatCode>0%</c:formatCode>
                <c:ptCount val="5"/>
                <c:pt idx="0">
                  <c:v>0.61</c:v>
                </c:pt>
                <c:pt idx="1">
                  <c:v>0.88</c:v>
                </c:pt>
                <c:pt idx="2">
                  <c:v>0.9</c:v>
                </c:pt>
                <c:pt idx="3">
                  <c:v>0.93</c:v>
                </c:pt>
                <c:pt idx="4">
                  <c:v>0.97</c:v>
                </c:pt>
              </c:numCache>
            </c:numRef>
          </c:val>
        </c:ser>
        <c:ser>
          <c:idx val="1"/>
          <c:order val="1"/>
          <c:tx>
            <c:strRef>
              <c:f>Hoja1!$A$20</c:f>
              <c:strCache>
                <c:ptCount val="1"/>
                <c:pt idx="0">
                  <c:v>Receta en papel</c:v>
                </c:pt>
              </c:strCache>
            </c:strRef>
          </c:tx>
          <c:invertIfNegative val="0"/>
          <c:dLbls>
            <c:dLbl>
              <c:idx val="0"/>
              <c:layout>
                <c:manualLayout>
                  <c:x val="2.5000000000000001E-2"/>
                  <c:y val="0"/>
                </c:manualLayout>
              </c:layout>
              <c:showLegendKey val="0"/>
              <c:showVal val="1"/>
              <c:showCatName val="0"/>
              <c:showSerName val="0"/>
              <c:showPercent val="0"/>
              <c:showBubbleSize val="0"/>
            </c:dLbl>
            <c:dLbl>
              <c:idx val="1"/>
              <c:layout>
                <c:manualLayout>
                  <c:x val="2.7777777777777776E-2"/>
                  <c:y val="-8.4875562720133283E-17"/>
                </c:manualLayout>
              </c:layout>
              <c:showLegendKey val="0"/>
              <c:showVal val="1"/>
              <c:showCatName val="0"/>
              <c:showSerName val="0"/>
              <c:showPercent val="0"/>
              <c:showBubbleSize val="0"/>
            </c:dLbl>
            <c:dLbl>
              <c:idx val="2"/>
              <c:layout>
                <c:manualLayout>
                  <c:x val="3.3333333333333381E-2"/>
                  <c:y val="8.4875562720133283E-17"/>
                </c:manualLayout>
              </c:layout>
              <c:showLegendKey val="0"/>
              <c:showVal val="1"/>
              <c:showCatName val="0"/>
              <c:showSerName val="0"/>
              <c:showPercent val="0"/>
              <c:showBubbleSize val="0"/>
            </c:dLbl>
            <c:dLbl>
              <c:idx val="3"/>
              <c:layout>
                <c:manualLayout>
                  <c:x val="1.9444444444444445E-2"/>
                  <c:y val="-4.6296296296296294E-3"/>
                </c:manualLayout>
              </c:layout>
              <c:showLegendKey val="0"/>
              <c:showVal val="1"/>
              <c:showCatName val="0"/>
              <c:showSerName val="0"/>
              <c:showPercent val="0"/>
              <c:showBubbleSize val="0"/>
            </c:dLbl>
            <c:dLbl>
              <c:idx val="4"/>
              <c:layout>
                <c:manualLayout>
                  <c:x val="3.3333333333333333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Hoja1!$B$18:$F$18</c:f>
              <c:numCache>
                <c:formatCode>General</c:formatCode>
                <c:ptCount val="5"/>
                <c:pt idx="0">
                  <c:v>2013</c:v>
                </c:pt>
                <c:pt idx="1">
                  <c:v>2014</c:v>
                </c:pt>
                <c:pt idx="2">
                  <c:v>2015</c:v>
                </c:pt>
                <c:pt idx="3">
                  <c:v>2016</c:v>
                </c:pt>
                <c:pt idx="4">
                  <c:v>2017</c:v>
                </c:pt>
              </c:numCache>
            </c:numRef>
          </c:cat>
          <c:val>
            <c:numRef>
              <c:f>Hoja1!$B$20:$F$20</c:f>
              <c:numCache>
                <c:formatCode>0%</c:formatCode>
                <c:ptCount val="5"/>
                <c:pt idx="0">
                  <c:v>0.39</c:v>
                </c:pt>
                <c:pt idx="1">
                  <c:v>0.12</c:v>
                </c:pt>
                <c:pt idx="2">
                  <c:v>0.1</c:v>
                </c:pt>
                <c:pt idx="3">
                  <c:v>7.0000000000000007E-2</c:v>
                </c:pt>
                <c:pt idx="4">
                  <c:v>0.03</c:v>
                </c:pt>
              </c:numCache>
            </c:numRef>
          </c:val>
        </c:ser>
        <c:dLbls>
          <c:showLegendKey val="0"/>
          <c:showVal val="0"/>
          <c:showCatName val="0"/>
          <c:showSerName val="0"/>
          <c:showPercent val="0"/>
          <c:showBubbleSize val="0"/>
        </c:dLbls>
        <c:gapWidth val="150"/>
        <c:shape val="box"/>
        <c:axId val="114479104"/>
        <c:axId val="114480640"/>
        <c:axId val="0"/>
      </c:bar3DChart>
      <c:catAx>
        <c:axId val="114479104"/>
        <c:scaling>
          <c:orientation val="minMax"/>
        </c:scaling>
        <c:delete val="0"/>
        <c:axPos val="b"/>
        <c:numFmt formatCode="General" sourceLinked="1"/>
        <c:majorTickMark val="out"/>
        <c:minorTickMark val="none"/>
        <c:tickLblPos val="nextTo"/>
        <c:crossAx val="114480640"/>
        <c:crosses val="autoZero"/>
        <c:auto val="1"/>
        <c:lblAlgn val="ctr"/>
        <c:lblOffset val="100"/>
        <c:noMultiLvlLbl val="0"/>
      </c:catAx>
      <c:valAx>
        <c:axId val="114480640"/>
        <c:scaling>
          <c:orientation val="minMax"/>
        </c:scaling>
        <c:delete val="0"/>
        <c:axPos val="l"/>
        <c:majorGridlines>
          <c:spPr>
            <a:ln>
              <a:noFill/>
            </a:ln>
          </c:spPr>
        </c:majorGridlines>
        <c:numFmt formatCode="0%" sourceLinked="1"/>
        <c:majorTickMark val="out"/>
        <c:minorTickMark val="none"/>
        <c:tickLblPos val="nextTo"/>
        <c:crossAx val="11447910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s-ES" sz="1300"/>
              <a:t>Evolución del porcentaje del nº envases</a:t>
            </a:r>
            <a:r>
              <a:rPr lang="es-ES" sz="1300" baseline="0"/>
              <a:t> sobre el total</a:t>
            </a:r>
            <a:endParaRPr lang="es-ES" sz="1300"/>
          </a:p>
        </c:rich>
      </c:tx>
      <c:overlay val="0"/>
    </c:title>
    <c:autoTitleDeleted val="0"/>
    <c:plotArea>
      <c:layout/>
      <c:barChart>
        <c:barDir val="bar"/>
        <c:grouping val="clustered"/>
        <c:varyColors val="0"/>
        <c:ser>
          <c:idx val="0"/>
          <c:order val="0"/>
          <c:tx>
            <c:strRef>
              <c:f>Hoja1!$A$22</c:f>
              <c:strCache>
                <c:ptCount val="1"/>
                <c:pt idx="0">
                  <c:v>Receta electrónica</c:v>
                </c:pt>
              </c:strCache>
            </c:strRef>
          </c:tx>
          <c:invertIfNegative val="0"/>
          <c:dLbls>
            <c:showLegendKey val="0"/>
            <c:showVal val="1"/>
            <c:showCatName val="0"/>
            <c:showSerName val="0"/>
            <c:showPercent val="0"/>
            <c:showBubbleSize val="0"/>
            <c:showLeaderLines val="0"/>
          </c:dLbls>
          <c:cat>
            <c:numRef>
              <c:f>Hoja1!$B$21:$F$21</c:f>
              <c:numCache>
                <c:formatCode>General</c:formatCode>
                <c:ptCount val="5"/>
                <c:pt idx="0">
                  <c:v>2013</c:v>
                </c:pt>
                <c:pt idx="1">
                  <c:v>2014</c:v>
                </c:pt>
                <c:pt idx="2">
                  <c:v>2015</c:v>
                </c:pt>
                <c:pt idx="3">
                  <c:v>2016</c:v>
                </c:pt>
                <c:pt idx="4">
                  <c:v>2017</c:v>
                </c:pt>
              </c:numCache>
            </c:numRef>
          </c:cat>
          <c:val>
            <c:numRef>
              <c:f>Hoja1!$B$22:$F$22</c:f>
              <c:numCache>
                <c:formatCode>0%</c:formatCode>
                <c:ptCount val="5"/>
                <c:pt idx="0">
                  <c:v>0.64</c:v>
                </c:pt>
                <c:pt idx="1">
                  <c:v>0.89</c:v>
                </c:pt>
                <c:pt idx="2">
                  <c:v>0.91</c:v>
                </c:pt>
                <c:pt idx="3">
                  <c:v>0.94</c:v>
                </c:pt>
                <c:pt idx="4">
                  <c:v>0.97</c:v>
                </c:pt>
              </c:numCache>
            </c:numRef>
          </c:val>
        </c:ser>
        <c:ser>
          <c:idx val="1"/>
          <c:order val="1"/>
          <c:tx>
            <c:strRef>
              <c:f>Hoja1!$A$23</c:f>
              <c:strCache>
                <c:ptCount val="1"/>
                <c:pt idx="0">
                  <c:v>Receta en papel</c:v>
                </c:pt>
              </c:strCache>
            </c:strRef>
          </c:tx>
          <c:invertIfNegative val="0"/>
          <c:dLbls>
            <c:showLegendKey val="0"/>
            <c:showVal val="1"/>
            <c:showCatName val="0"/>
            <c:showSerName val="0"/>
            <c:showPercent val="0"/>
            <c:showBubbleSize val="0"/>
            <c:showLeaderLines val="0"/>
          </c:dLbls>
          <c:cat>
            <c:numRef>
              <c:f>Hoja1!$B$21:$F$21</c:f>
              <c:numCache>
                <c:formatCode>General</c:formatCode>
                <c:ptCount val="5"/>
                <c:pt idx="0">
                  <c:v>2013</c:v>
                </c:pt>
                <c:pt idx="1">
                  <c:v>2014</c:v>
                </c:pt>
                <c:pt idx="2">
                  <c:v>2015</c:v>
                </c:pt>
                <c:pt idx="3">
                  <c:v>2016</c:v>
                </c:pt>
                <c:pt idx="4">
                  <c:v>2017</c:v>
                </c:pt>
              </c:numCache>
            </c:numRef>
          </c:cat>
          <c:val>
            <c:numRef>
              <c:f>Hoja1!$B$23:$F$23</c:f>
              <c:numCache>
                <c:formatCode>0%</c:formatCode>
                <c:ptCount val="5"/>
                <c:pt idx="0">
                  <c:v>0.36</c:v>
                </c:pt>
                <c:pt idx="1">
                  <c:v>0.11</c:v>
                </c:pt>
                <c:pt idx="2">
                  <c:v>0.09</c:v>
                </c:pt>
                <c:pt idx="3">
                  <c:v>0.06</c:v>
                </c:pt>
                <c:pt idx="4">
                  <c:v>0.03</c:v>
                </c:pt>
              </c:numCache>
            </c:numRef>
          </c:val>
        </c:ser>
        <c:dLbls>
          <c:showLegendKey val="0"/>
          <c:showVal val="0"/>
          <c:showCatName val="0"/>
          <c:showSerName val="0"/>
          <c:showPercent val="0"/>
          <c:showBubbleSize val="0"/>
        </c:dLbls>
        <c:gapWidth val="150"/>
        <c:axId val="115162112"/>
        <c:axId val="115192576"/>
      </c:barChart>
      <c:catAx>
        <c:axId val="115162112"/>
        <c:scaling>
          <c:orientation val="minMax"/>
        </c:scaling>
        <c:delete val="0"/>
        <c:axPos val="l"/>
        <c:numFmt formatCode="General" sourceLinked="1"/>
        <c:majorTickMark val="out"/>
        <c:minorTickMark val="none"/>
        <c:tickLblPos val="nextTo"/>
        <c:crossAx val="115192576"/>
        <c:crosses val="autoZero"/>
        <c:auto val="1"/>
        <c:lblAlgn val="ctr"/>
        <c:lblOffset val="100"/>
        <c:noMultiLvlLbl val="0"/>
      </c:catAx>
      <c:valAx>
        <c:axId val="115192576"/>
        <c:scaling>
          <c:orientation val="minMax"/>
        </c:scaling>
        <c:delete val="0"/>
        <c:axPos val="b"/>
        <c:majorGridlines>
          <c:spPr>
            <a:ln>
              <a:noFill/>
            </a:ln>
          </c:spPr>
        </c:majorGridlines>
        <c:numFmt formatCode="0%" sourceLinked="1"/>
        <c:majorTickMark val="out"/>
        <c:minorTickMark val="none"/>
        <c:tickLblPos val="nextTo"/>
        <c:crossAx val="11516211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Evolución del porcentaje del gasto sobre el total</a:t>
            </a:r>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Hoja1!$A$25</c:f>
              <c:strCache>
                <c:ptCount val="1"/>
                <c:pt idx="0">
                  <c:v>Receta electrónica</c:v>
                </c:pt>
              </c:strCache>
            </c:strRef>
          </c:tx>
          <c:invertIfNegative val="0"/>
          <c:dLbls>
            <c:showLegendKey val="0"/>
            <c:showVal val="1"/>
            <c:showCatName val="0"/>
            <c:showSerName val="0"/>
            <c:showPercent val="0"/>
            <c:showBubbleSize val="0"/>
            <c:showLeaderLines val="0"/>
          </c:dLbls>
          <c:cat>
            <c:numRef>
              <c:f>Hoja1!$B$24:$F$24</c:f>
              <c:numCache>
                <c:formatCode>General</c:formatCode>
                <c:ptCount val="5"/>
                <c:pt idx="0">
                  <c:v>2013</c:v>
                </c:pt>
                <c:pt idx="1">
                  <c:v>2014</c:v>
                </c:pt>
                <c:pt idx="2">
                  <c:v>2015</c:v>
                </c:pt>
                <c:pt idx="3">
                  <c:v>2016</c:v>
                </c:pt>
                <c:pt idx="4">
                  <c:v>2017</c:v>
                </c:pt>
              </c:numCache>
            </c:numRef>
          </c:cat>
          <c:val>
            <c:numRef>
              <c:f>Hoja1!$B$25:$F$25</c:f>
              <c:numCache>
                <c:formatCode>0%</c:formatCode>
                <c:ptCount val="5"/>
                <c:pt idx="0">
                  <c:v>0.62</c:v>
                </c:pt>
                <c:pt idx="1">
                  <c:v>0.86</c:v>
                </c:pt>
                <c:pt idx="2">
                  <c:v>0.89</c:v>
                </c:pt>
                <c:pt idx="3">
                  <c:v>0.92</c:v>
                </c:pt>
                <c:pt idx="4">
                  <c:v>0.97</c:v>
                </c:pt>
              </c:numCache>
            </c:numRef>
          </c:val>
        </c:ser>
        <c:ser>
          <c:idx val="1"/>
          <c:order val="1"/>
          <c:tx>
            <c:strRef>
              <c:f>Hoja1!$A$26</c:f>
              <c:strCache>
                <c:ptCount val="1"/>
                <c:pt idx="0">
                  <c:v>Receta en papel</c:v>
                </c:pt>
              </c:strCache>
            </c:strRef>
          </c:tx>
          <c:invertIfNegative val="0"/>
          <c:dLbls>
            <c:dLbl>
              <c:idx val="0"/>
              <c:layout>
                <c:manualLayout>
                  <c:x val="3.0555555555555555E-2"/>
                  <c:y val="0"/>
                </c:manualLayout>
              </c:layout>
              <c:showLegendKey val="0"/>
              <c:showVal val="1"/>
              <c:showCatName val="0"/>
              <c:showSerName val="0"/>
              <c:showPercent val="0"/>
              <c:showBubbleSize val="0"/>
            </c:dLbl>
            <c:dLbl>
              <c:idx val="1"/>
              <c:layout>
                <c:manualLayout>
                  <c:x val="2.5000000000000001E-2"/>
                  <c:y val="8.4875562720133283E-17"/>
                </c:manualLayout>
              </c:layout>
              <c:showLegendKey val="0"/>
              <c:showVal val="1"/>
              <c:showCatName val="0"/>
              <c:showSerName val="0"/>
              <c:showPercent val="0"/>
              <c:showBubbleSize val="0"/>
            </c:dLbl>
            <c:dLbl>
              <c:idx val="2"/>
              <c:layout>
                <c:manualLayout>
                  <c:x val="3.0555555555555555E-2"/>
                  <c:y val="0"/>
                </c:manualLayout>
              </c:layout>
              <c:showLegendKey val="0"/>
              <c:showVal val="1"/>
              <c:showCatName val="0"/>
              <c:showSerName val="0"/>
              <c:showPercent val="0"/>
              <c:showBubbleSize val="0"/>
            </c:dLbl>
            <c:dLbl>
              <c:idx val="3"/>
              <c:layout>
                <c:manualLayout>
                  <c:x val="3.6111111111111108E-2"/>
                  <c:y val="-8.4875562720133283E-17"/>
                </c:manualLayout>
              </c:layout>
              <c:showLegendKey val="0"/>
              <c:showVal val="1"/>
              <c:showCatName val="0"/>
              <c:showSerName val="0"/>
              <c:showPercent val="0"/>
              <c:showBubbleSize val="0"/>
            </c:dLbl>
            <c:dLbl>
              <c:idx val="4"/>
              <c:layout>
                <c:manualLayout>
                  <c:x val="3.3333333333333229E-2"/>
                  <c:y val="8.4875562720133283E-17"/>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Hoja1!$B$24:$F$24</c:f>
              <c:numCache>
                <c:formatCode>General</c:formatCode>
                <c:ptCount val="5"/>
                <c:pt idx="0">
                  <c:v>2013</c:v>
                </c:pt>
                <c:pt idx="1">
                  <c:v>2014</c:v>
                </c:pt>
                <c:pt idx="2">
                  <c:v>2015</c:v>
                </c:pt>
                <c:pt idx="3">
                  <c:v>2016</c:v>
                </c:pt>
                <c:pt idx="4">
                  <c:v>2017</c:v>
                </c:pt>
              </c:numCache>
            </c:numRef>
          </c:cat>
          <c:val>
            <c:numRef>
              <c:f>Hoja1!$B$26:$F$26</c:f>
              <c:numCache>
                <c:formatCode>0%</c:formatCode>
                <c:ptCount val="5"/>
                <c:pt idx="0">
                  <c:v>0.38</c:v>
                </c:pt>
                <c:pt idx="1">
                  <c:v>0.14000000000000001</c:v>
                </c:pt>
                <c:pt idx="2">
                  <c:v>0.11</c:v>
                </c:pt>
                <c:pt idx="3">
                  <c:v>0.08</c:v>
                </c:pt>
                <c:pt idx="4">
                  <c:v>0.03</c:v>
                </c:pt>
              </c:numCache>
            </c:numRef>
          </c:val>
        </c:ser>
        <c:dLbls>
          <c:showLegendKey val="0"/>
          <c:showVal val="0"/>
          <c:showCatName val="0"/>
          <c:showSerName val="0"/>
          <c:showPercent val="0"/>
          <c:showBubbleSize val="0"/>
        </c:dLbls>
        <c:gapWidth val="150"/>
        <c:shape val="cone"/>
        <c:axId val="115391104"/>
        <c:axId val="116277632"/>
        <c:axId val="0"/>
      </c:bar3DChart>
      <c:catAx>
        <c:axId val="115391104"/>
        <c:scaling>
          <c:orientation val="minMax"/>
        </c:scaling>
        <c:delete val="0"/>
        <c:axPos val="b"/>
        <c:numFmt formatCode="General" sourceLinked="1"/>
        <c:majorTickMark val="out"/>
        <c:minorTickMark val="none"/>
        <c:tickLblPos val="nextTo"/>
        <c:crossAx val="116277632"/>
        <c:crosses val="autoZero"/>
        <c:auto val="1"/>
        <c:lblAlgn val="ctr"/>
        <c:lblOffset val="100"/>
        <c:noMultiLvlLbl val="0"/>
      </c:catAx>
      <c:valAx>
        <c:axId val="116277632"/>
        <c:scaling>
          <c:orientation val="minMax"/>
        </c:scaling>
        <c:delete val="0"/>
        <c:axPos val="l"/>
        <c:majorGridlines>
          <c:spPr>
            <a:ln>
              <a:noFill/>
            </a:ln>
          </c:spPr>
        </c:majorGridlines>
        <c:numFmt formatCode="0%" sourceLinked="1"/>
        <c:majorTickMark val="out"/>
        <c:minorTickMark val="none"/>
        <c:tickLblPos val="nextTo"/>
        <c:crossAx val="115391104"/>
        <c:crosses val="autoZero"/>
        <c:crossBetween val="between"/>
      </c:valAx>
    </c:plotArea>
    <c:legend>
      <c:legendPos val="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B0455-6D85-4E14-A77F-735668509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48</Pages>
  <Words>15736</Words>
  <Characters>86016</Characters>
  <Application>Microsoft Office Word</Application>
  <DocSecurity>0</DocSecurity>
  <Lines>716</Lines>
  <Paragraphs>203</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101549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Elizalde Elizalde, Julia (Cámara de Comptos)</dc:creator>
  <cp:lastModifiedBy>Aranaz, Carlota</cp:lastModifiedBy>
  <cp:revision>20</cp:revision>
  <cp:lastPrinted>2019-03-28T13:26:00Z</cp:lastPrinted>
  <dcterms:created xsi:type="dcterms:W3CDTF">2019-03-28T07:22:00Z</dcterms:created>
  <dcterms:modified xsi:type="dcterms:W3CDTF">2019-05-23T10:37:00Z</dcterms:modified>
</cp:coreProperties>
</file>