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Marta Álvarez Alonso andreak aurkeztutako galdera, Nafarroako Gobernuaren egitura berriak Nafarroaren funtsei eragindako gainkostuari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Marta Álvarez Alonso andreak, Legebiltzarreko Erregelamenduko 188. artikuluan eta hurrengoetan ezarritakoaren babesean, galdera hau aurkezten du, idatziz erantzun dakion:</w:t>
      </w:r>
    </w:p>
    <w:p>
      <w:pPr>
        <w:pStyle w:val="0"/>
        <w:suppressAutoHyphens w:val="false"/>
        <w:rPr>
          <w:rStyle w:val="1"/>
        </w:rPr>
      </w:pPr>
      <w:r>
        <w:rPr>
          <w:rStyle w:val="1"/>
        </w:rPr>
        <w:t xml:space="preserve">Lehen lehendakariorde eta Lehendakaritzako, Berdintasuneko, Funtzio Publikoko eta Barneko kontseilariaren arabera, Gobernuaren egitura berriak 6,6 milioi euroko gainkostua ekarriko die Nafarroaren funtsei (1,65 milioi euro urtean). Halere, zenbateko horretan soilik sartu da zuzendari nagusiei, kontseilariei, goi-kargudunei eta kabineteko langileei dagokien gainkostua, baina ez egiturazko gainkostua, hori egiturari buruzko dekretuak taxutzen direnean zehaztuko dela adierazi baitu.</w:t>
      </w:r>
    </w:p>
    <w:p>
      <w:pPr>
        <w:pStyle w:val="0"/>
        <w:suppressAutoHyphens w:val="false"/>
        <w:rPr>
          <w:rStyle w:val="1"/>
        </w:rPr>
      </w:pPr>
      <w:r>
        <w:rPr>
          <w:rStyle w:val="1"/>
        </w:rPr>
        <w:t xml:space="preserve">Hori dela-eta, dekretu horiek onesten direnean legegintzaldi guztirako gainkostua urtez urte zein izanen den igortzea eskatzen dut, honako hauek zehatuta:</w:t>
      </w:r>
    </w:p>
    <w:p>
      <w:pPr>
        <w:pStyle w:val="0"/>
        <w:suppressAutoHyphens w:val="false"/>
        <w:rPr>
          <w:rStyle w:val="1"/>
        </w:rPr>
      </w:pPr>
      <w:r>
        <w:rPr>
          <w:rStyle w:val="1"/>
        </w:rPr>
        <w:t xml:space="preserve">Zenbat kontseilari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zuzendari nagusi, zuzendari kudeatzaile eta bestelako goi-kargudun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kabineteburu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kabineteko idazkari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kabineteko laguntzaile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idazkari orokor tekniko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zerbitzuburu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Zenbat burutza gehiago egonen den egitura berriaren ondorioz:</w:t>
      </w:r>
    </w:p>
    <w:p>
      <w:pPr>
        <w:pStyle w:val="0"/>
        <w:suppressAutoHyphens w:val="false"/>
        <w:rPr>
          <w:rStyle w:val="1"/>
        </w:rPr>
      </w:pPr>
      <w:r>
        <w:rPr>
          <w:rStyle w:val="1"/>
        </w:rPr>
        <w:t xml:space="preserve">Gainkostua urtez urte:</w:t>
      </w:r>
    </w:p>
    <w:p>
      <w:pPr>
        <w:pStyle w:val="0"/>
        <w:suppressAutoHyphens w:val="false"/>
        <w:rPr>
          <w:rStyle w:val="1"/>
        </w:rPr>
      </w:pPr>
      <w:r>
        <w:rPr>
          <w:rStyle w:val="1"/>
        </w:rPr>
        <w:t xml:space="preserve">Gainkostua legegintzaldi osoan:</w:t>
      </w:r>
    </w:p>
    <w:p>
      <w:pPr>
        <w:pStyle w:val="0"/>
        <w:suppressAutoHyphens w:val="false"/>
        <w:rPr>
          <w:rStyle w:val="1"/>
        </w:rPr>
      </w:pPr>
      <w:r>
        <w:rPr>
          <w:rStyle w:val="1"/>
        </w:rPr>
        <w:t xml:space="preserve">Iruñean, 2019ko irailaren 4an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