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588" w:rsidRPr="00B01B0F" w:rsidRDefault="00B01B0F">
      <w:pPr>
        <w:rPr>
          <w:rStyle w:val="Normal1"/>
          <w:lang w:val="eu-ES"/>
        </w:rPr>
      </w:pPr>
      <w:r w:rsidRPr="00B01B0F">
        <w:rPr>
          <w:rStyle w:val="Normal1"/>
          <w:lang w:val="eu-ES"/>
        </w:rPr>
        <w:t xml:space="preserve">Nafarroako Parlamentuko Mahaiak, 2019ko irailaren 16an egindako bilkuran, honako erabaki hau hartu zuen, besteak </w:t>
      </w:r>
      <w:proofErr w:type="spellStart"/>
      <w:r w:rsidRPr="00B01B0F">
        <w:rPr>
          <w:rStyle w:val="Normal1"/>
          <w:lang w:val="eu-ES"/>
        </w:rPr>
        <w:t>beste</w:t>
      </w:r>
      <w:proofErr w:type="spellEnd"/>
      <w:r w:rsidRPr="00B01B0F">
        <w:rPr>
          <w:rStyle w:val="Normal1"/>
          <w:lang w:val="eu-ES"/>
        </w:rPr>
        <w:t>:</w:t>
      </w:r>
    </w:p>
    <w:p w:rsidR="00F75588" w:rsidRPr="00B01B0F" w:rsidRDefault="00B01B0F">
      <w:pPr>
        <w:rPr>
          <w:rStyle w:val="Normal1"/>
          <w:lang w:val="eu-ES"/>
        </w:rPr>
      </w:pPr>
      <w:r w:rsidRPr="00B01B0F">
        <w:rPr>
          <w:rStyle w:val="Normal1"/>
          <w:lang w:val="eu-ES"/>
        </w:rPr>
        <w:t xml:space="preserve">Nafarroako Foru </w:t>
      </w:r>
      <w:proofErr w:type="spellStart"/>
      <w:r w:rsidRPr="00B01B0F">
        <w:rPr>
          <w:rStyle w:val="Normal1"/>
          <w:lang w:val="eu-ES"/>
        </w:rPr>
        <w:t>Eraentza</w:t>
      </w:r>
      <w:proofErr w:type="spellEnd"/>
      <w:r w:rsidRPr="00B01B0F">
        <w:rPr>
          <w:rStyle w:val="Normal1"/>
          <w:lang w:val="eu-ES"/>
        </w:rPr>
        <w:t xml:space="preserve"> Berrezarri eta Hobetzeari buruzko Lege Organikoaren 19.1.a) artikuluak aitortzen dion legegintza-ekimena erabiliz, Nafarroako Gobernuak, 2019ko irailaren 11n hartutako Erabakiaren bidez, Iruñean Auzialdiko 10. Familia Epaitegi berr</w:t>
      </w:r>
      <w:r w:rsidRPr="00B01B0F">
        <w:rPr>
          <w:rStyle w:val="Normal1"/>
          <w:lang w:val="eu-ES"/>
        </w:rPr>
        <w:t>ia gaitzeko kreditu-gehigarria emateko Foru Lege proiektua igorri dio Nafarroako Parlamentuari.</w:t>
      </w:r>
    </w:p>
    <w:p w:rsidR="00F75588" w:rsidRPr="00B01B0F" w:rsidRDefault="00B01B0F">
      <w:pPr>
        <w:rPr>
          <w:rStyle w:val="Normal1"/>
          <w:lang w:val="eu-ES"/>
        </w:rPr>
      </w:pPr>
      <w:r w:rsidRPr="00B01B0F">
        <w:rPr>
          <w:rStyle w:val="Normal1"/>
          <w:lang w:val="eu-ES"/>
        </w:rPr>
        <w:t>Hori horrela, Legebiltzarreko Erregelamenduko 158. artikuluan ezarritakoarekin bat, Eledunen Batzarrarekin adostu ondoren, hona ERABAKIA:</w:t>
      </w:r>
    </w:p>
    <w:p w:rsidR="00F75588" w:rsidRPr="00B01B0F" w:rsidRDefault="00B01B0F">
      <w:pPr>
        <w:rPr>
          <w:rStyle w:val="Normal1"/>
          <w:lang w:val="eu-ES"/>
        </w:rPr>
      </w:pPr>
      <w:r w:rsidRPr="00B01B0F">
        <w:rPr>
          <w:rStyle w:val="Normal1"/>
          <w:b/>
          <w:lang w:val="eu-ES"/>
        </w:rPr>
        <w:t xml:space="preserve">1. </w:t>
      </w:r>
      <w:r w:rsidRPr="00B01B0F">
        <w:rPr>
          <w:rStyle w:val="Normal1"/>
          <w:lang w:val="eu-ES"/>
        </w:rPr>
        <w:t xml:space="preserve">Iruñean Auzialdiko </w:t>
      </w:r>
      <w:r w:rsidRPr="00B01B0F">
        <w:rPr>
          <w:rStyle w:val="Normal1"/>
          <w:lang w:val="eu-ES"/>
        </w:rPr>
        <w:t>10. Familia Epaitegi berria gaitzeko kreditu-gehigarria emateko Foru Lege proiektuaren izapidetzea zuzenekoa eta irakurketa bakarrekoa izateari buruzko erabakia Osoko Bilkuraren esku jartzea.</w:t>
      </w:r>
    </w:p>
    <w:p w:rsidR="00F75588" w:rsidRPr="00B01B0F" w:rsidRDefault="00B01B0F">
      <w:pPr>
        <w:rPr>
          <w:rStyle w:val="Normal1"/>
          <w:lang w:val="eu-ES"/>
        </w:rPr>
      </w:pPr>
      <w:r w:rsidRPr="00B01B0F">
        <w:rPr>
          <w:rStyle w:val="Normal1"/>
          <w:b/>
          <w:lang w:val="eu-ES"/>
        </w:rPr>
        <w:t xml:space="preserve">2. </w:t>
      </w:r>
      <w:r w:rsidRPr="00B01B0F">
        <w:rPr>
          <w:rStyle w:val="Normal1"/>
          <w:lang w:val="eu-ES"/>
        </w:rPr>
        <w:t xml:space="preserve">Zuzenketak aurkezteko epe bat irekitzea, eztabaidari ekiteko </w:t>
      </w:r>
      <w:r w:rsidRPr="00B01B0F">
        <w:rPr>
          <w:rStyle w:val="Normal1"/>
          <w:lang w:val="eu-ES"/>
        </w:rPr>
        <w:t>Osoko Bilkuraren egunaren aurrekoaren eguerdiko hamabietan bukatuko dena. Zuzenketak Legebiltzarreko Mahaiari aurkeztu beharko zaizkio.</w:t>
      </w:r>
    </w:p>
    <w:p w:rsidR="00F75588" w:rsidRPr="00B01B0F" w:rsidRDefault="00B01B0F">
      <w:pPr>
        <w:rPr>
          <w:rStyle w:val="Normal1"/>
          <w:lang w:val="eu-ES"/>
        </w:rPr>
      </w:pPr>
      <w:r w:rsidRPr="00B01B0F">
        <w:rPr>
          <w:rStyle w:val="Normal1"/>
          <w:b/>
          <w:lang w:val="eu-ES"/>
        </w:rPr>
        <w:t xml:space="preserve">3. </w:t>
      </w:r>
      <w:r w:rsidRPr="00B01B0F">
        <w:rPr>
          <w:rStyle w:val="Normal1"/>
          <w:lang w:val="eu-ES"/>
        </w:rPr>
        <w:t>Nafarroako Parlamentuko Aldizkari Ofizialean argitara dadin agintzea.</w:t>
      </w:r>
    </w:p>
    <w:p w:rsidR="00F75588" w:rsidRPr="00B01B0F" w:rsidRDefault="00B01B0F">
      <w:pPr>
        <w:rPr>
          <w:rStyle w:val="Normal1"/>
          <w:lang w:val="eu-ES"/>
        </w:rPr>
      </w:pPr>
      <w:r w:rsidRPr="00B01B0F">
        <w:rPr>
          <w:rStyle w:val="Normal1"/>
          <w:lang w:val="eu-ES"/>
        </w:rPr>
        <w:t>Iruñean, 2019ko irailaren 16an</w:t>
      </w:r>
    </w:p>
    <w:p w:rsidR="00B01B0F" w:rsidRPr="00B01B0F" w:rsidRDefault="00B01B0F" w:rsidP="00B01B0F">
      <w:pPr>
        <w:rPr>
          <w:rStyle w:val="Normal1"/>
          <w:lang w:val="eu-ES"/>
        </w:rPr>
      </w:pPr>
      <w:r w:rsidRPr="00B01B0F">
        <w:rPr>
          <w:rStyle w:val="Normal1"/>
          <w:lang w:val="eu-ES"/>
        </w:rPr>
        <w:t>Lehendakaria: Un</w:t>
      </w:r>
      <w:r w:rsidRPr="00B01B0F">
        <w:rPr>
          <w:rStyle w:val="Normal1"/>
          <w:lang w:val="eu-ES"/>
        </w:rPr>
        <w:t xml:space="preserve">ai </w:t>
      </w:r>
      <w:proofErr w:type="spellStart"/>
      <w:r w:rsidRPr="00B01B0F">
        <w:rPr>
          <w:rStyle w:val="Normal1"/>
          <w:lang w:val="eu-ES"/>
        </w:rPr>
        <w:t>Hualde</w:t>
      </w:r>
      <w:proofErr w:type="spellEnd"/>
      <w:r w:rsidRPr="00B01B0F">
        <w:rPr>
          <w:rStyle w:val="Normal1"/>
          <w:lang w:val="eu-ES"/>
        </w:rPr>
        <w:t xml:space="preserve"> Iglesias</w:t>
      </w:r>
    </w:p>
    <w:p w:rsidR="00F75588" w:rsidRPr="00B01B0F" w:rsidRDefault="00B01B0F" w:rsidP="00B01B0F">
      <w:pPr>
        <w:jc w:val="center"/>
        <w:rPr>
          <w:rFonts w:ascii="Helvetica LT Std" w:eastAsia="Helvetica LT Std" w:hAnsi="Helvetica LT Std" w:cs="Helvetica LT Std"/>
          <w:b/>
          <w:sz w:val="19"/>
          <w:lang w:val="eu-ES" w:eastAsia="es-ES" w:bidi="es-ES"/>
        </w:rPr>
      </w:pPr>
      <w:r>
        <w:rPr>
          <w:b/>
          <w:lang w:val="eu-ES"/>
        </w:rPr>
        <w:t>Foru Lege proiektua,</w:t>
      </w:r>
      <w:r>
        <w:rPr>
          <w:b/>
          <w:lang w:val="eu-ES"/>
        </w:rPr>
        <w:br/>
      </w:r>
      <w:r w:rsidRPr="00B01B0F">
        <w:rPr>
          <w:b/>
          <w:lang w:val="eu-ES"/>
        </w:rPr>
        <w:t>Iruñean Auzialdiko 10. Familia Epaitegi berria gaitzeko kreditu-gehigarria ematekoa</w:t>
      </w:r>
    </w:p>
    <w:p w:rsidR="00F75588" w:rsidRPr="00B01B0F" w:rsidRDefault="00B01B0F">
      <w:pPr>
        <w:ind w:firstLine="0"/>
        <w:jc w:val="center"/>
        <w:rPr>
          <w:rStyle w:val="Normal1"/>
          <w:caps/>
          <w:lang w:val="eu-ES"/>
        </w:rPr>
      </w:pPr>
      <w:r w:rsidRPr="00B01B0F">
        <w:rPr>
          <w:rStyle w:val="Normal1"/>
          <w:caps/>
          <w:lang w:val="eu-ES"/>
        </w:rPr>
        <w:t>Atarikoa</w:t>
      </w:r>
    </w:p>
    <w:p w:rsidR="00F75588" w:rsidRPr="00B01B0F" w:rsidRDefault="00B01B0F">
      <w:pPr>
        <w:rPr>
          <w:rStyle w:val="Normal1"/>
          <w:lang w:val="eu-ES"/>
        </w:rPr>
      </w:pPr>
      <w:r w:rsidRPr="00B01B0F">
        <w:rPr>
          <w:rStyle w:val="Normal1"/>
          <w:lang w:val="eu-ES"/>
        </w:rPr>
        <w:t>Martxoan, Ministroen Kontseiluak onetsi zuen unitate judizial berriak, epaitegiak, sortzea Estatuko lurralde eremu guztian</w:t>
      </w:r>
      <w:r w:rsidRPr="00B01B0F">
        <w:rPr>
          <w:rStyle w:val="Normal1"/>
          <w:lang w:val="eu-ES"/>
        </w:rPr>
        <w:t>, eta Nafarroari egokitu zitzaion Auzialdiko 10. Epaitegi berria sortzea, familia aferetarako, Nafarroako Justizia Auzitegi Nagusiak Botere Judizialaren Kontseilu Nagusiari egindako eskaerarekin bat etorriz.</w:t>
      </w:r>
    </w:p>
    <w:p w:rsidR="00F75588" w:rsidRPr="00B01B0F" w:rsidRDefault="00B01B0F">
      <w:pPr>
        <w:rPr>
          <w:rStyle w:val="Normal1"/>
          <w:lang w:val="eu-ES"/>
        </w:rPr>
      </w:pPr>
      <w:r w:rsidRPr="00B01B0F">
        <w:rPr>
          <w:rStyle w:val="Normal1"/>
          <w:lang w:val="eu-ES"/>
        </w:rPr>
        <w:t>Uztailaren 11ko Ministro Aginduaren bidez (uztai</w:t>
      </w:r>
      <w:r w:rsidRPr="00B01B0F">
        <w:rPr>
          <w:rStyle w:val="Normal1"/>
          <w:lang w:val="eu-ES"/>
        </w:rPr>
        <w:t>laren 16ko Estatuko Aldizkari Ofizialean argitaratua), epaitegiak indarrean sartzeko egutegia zehaztu zen, eta Nafarroako epaitegi berriarentzat azaroaren 30a ezarri zen datatzat.</w:t>
      </w:r>
    </w:p>
    <w:p w:rsidR="00F75588" w:rsidRPr="00B01B0F" w:rsidRDefault="00B01B0F">
      <w:pPr>
        <w:rPr>
          <w:rStyle w:val="Normal1"/>
          <w:lang w:val="eu-ES"/>
        </w:rPr>
      </w:pPr>
      <w:r w:rsidRPr="00B01B0F">
        <w:rPr>
          <w:rStyle w:val="Normal1"/>
          <w:lang w:val="eu-ES"/>
        </w:rPr>
        <w:t>Ikusi da Lehendakaritzako, Berdintasuneko, Funtzio Publikoko eta Barneko Dep</w:t>
      </w:r>
      <w:r w:rsidRPr="00B01B0F">
        <w:rPr>
          <w:rStyle w:val="Normal1"/>
          <w:lang w:val="eu-ES"/>
        </w:rPr>
        <w:t>artamentuaren aurrekontuko diru kopuruak ez direla aski aurre egin ahal izateko Iruñean Auzialdiko 10. Familia Epaitegi berria gaitzeko egin beharreko obren finantzaketa premiei.</w:t>
      </w:r>
    </w:p>
    <w:p w:rsidR="00F75588" w:rsidRPr="00B01B0F" w:rsidRDefault="00B01B0F">
      <w:pPr>
        <w:rPr>
          <w:rStyle w:val="Normal1"/>
          <w:lang w:val="eu-ES"/>
        </w:rPr>
      </w:pPr>
      <w:r w:rsidRPr="00B01B0F">
        <w:rPr>
          <w:rStyle w:val="Normal1"/>
          <w:lang w:val="eu-ES"/>
        </w:rPr>
        <w:t>Nafarroako Ogasun Publikoari buruzko apirilaren 4ko 13/2007 Foru Legearen 48.</w:t>
      </w:r>
      <w:r w:rsidRPr="00B01B0F">
        <w:rPr>
          <w:rStyle w:val="Normal1"/>
          <w:lang w:val="eu-ES"/>
        </w:rPr>
        <w:t xml:space="preserve"> artikuluaren lehenengo paragrafoak ezartzen du ezen, hurrengo ekitaldira arte berandutu ezin daitekeen gasturen bat aurrekontu indardunaren kargura egin behar bada eta kreditua ez bada aski, Nafarroako Gobernuak, Ekonomia eta Ogasuneko kontseilariak propo</w:t>
      </w:r>
      <w:r w:rsidRPr="00B01B0F">
        <w:rPr>
          <w:rStyle w:val="Normal1"/>
          <w:lang w:val="eu-ES"/>
        </w:rPr>
        <w:t xml:space="preserve">saturik, foru lege proiektu bat bidaliko diola Nafarroako Parlamentuari, kreditu-gehigarri bat ematekoa. Era berean, bigarren paragrafoan xedatzen du kreditu-gehigarria edozein gastu programatako beste kreditu erabilgarri batzuekin finantzatzen ahal dela, </w:t>
      </w:r>
      <w:r w:rsidRPr="00B01B0F">
        <w:rPr>
          <w:rStyle w:val="Normal1"/>
          <w:lang w:val="eu-ES"/>
        </w:rPr>
        <w:t>Parlamentuak zuzenketen ondorioz edo foru lege honen xedapenak direla-eta berariaz onetsitako kredituetatik datozenak barne.</w:t>
      </w:r>
    </w:p>
    <w:p w:rsidR="00F75588" w:rsidRPr="00B01B0F" w:rsidRDefault="00B01B0F">
      <w:pPr>
        <w:rPr>
          <w:rStyle w:val="Normal1"/>
          <w:lang w:val="eu-ES"/>
        </w:rPr>
      </w:pPr>
      <w:r w:rsidRPr="00B01B0F">
        <w:rPr>
          <w:rStyle w:val="Normal1"/>
          <w:b/>
          <w:lang w:val="eu-ES"/>
        </w:rPr>
        <w:t xml:space="preserve">1. artikulua. </w:t>
      </w:r>
      <w:r w:rsidRPr="00B01B0F">
        <w:rPr>
          <w:rStyle w:val="Normal1"/>
          <w:lang w:val="eu-ES"/>
        </w:rPr>
        <w:t>Kreditu-gehigarria ematea.</w:t>
      </w:r>
    </w:p>
    <w:p w:rsidR="00F75588" w:rsidRPr="00B01B0F" w:rsidRDefault="00B01B0F">
      <w:pPr>
        <w:rPr>
          <w:rStyle w:val="Normal1"/>
          <w:lang w:val="eu-ES"/>
        </w:rPr>
      </w:pPr>
      <w:r w:rsidRPr="00B01B0F">
        <w:rPr>
          <w:rStyle w:val="Normal1"/>
          <w:lang w:val="eu-ES"/>
        </w:rPr>
        <w:t xml:space="preserve">Ematen da 110.000 euroko kreditu-gehigarri bat aurre egin ahal izateko Iruñean Auzialdiko </w:t>
      </w:r>
      <w:r w:rsidRPr="00B01B0F">
        <w:rPr>
          <w:rStyle w:val="Normal1"/>
          <w:lang w:val="eu-ES"/>
        </w:rPr>
        <w:t>10. Familia Epaitegi berria gaitzeko egin beharreko obren finantzaketa premiei.</w:t>
      </w:r>
    </w:p>
    <w:p w:rsidR="00B01B0F" w:rsidRDefault="00B01B0F">
      <w:pPr>
        <w:rPr>
          <w:rStyle w:val="Normal1"/>
          <w:lang w:val="eu-ES"/>
        </w:rPr>
      </w:pPr>
      <w:r w:rsidRPr="00B01B0F">
        <w:rPr>
          <w:rStyle w:val="Normal1"/>
          <w:lang w:val="eu-ES"/>
        </w:rPr>
        <w:t>Gehigarri hori aurrekontuko partida hauetan aplikatuko da:</w:t>
      </w:r>
    </w:p>
    <w:tbl>
      <w:tblPr>
        <w:tblW w:w="830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819"/>
        <w:gridCol w:w="1482"/>
      </w:tblGrid>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PARTIDA</w:t>
            </w:r>
          </w:p>
        </w:tc>
        <w:tc>
          <w:tcPr>
            <w:tcW w:w="1482" w:type="dxa"/>
            <w:tcBorders>
              <w:top w:val="outset" w:sz="6" w:space="0" w:color="auto"/>
              <w:left w:val="outset" w:sz="6" w:space="0" w:color="auto"/>
              <w:bottom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ZENBATEKOA</w:t>
            </w:r>
          </w:p>
        </w:tc>
      </w:tr>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ind w:firstLine="284"/>
              <w:rPr>
                <w:rFonts w:asciiTheme="minorHAnsi" w:hAnsiTheme="minorHAnsi" w:cs="Courier New"/>
                <w:sz w:val="18"/>
                <w:szCs w:val="18"/>
                <w:lang w:val="es-ES_tradnl"/>
              </w:rPr>
            </w:pPr>
            <w:r w:rsidRPr="00B01B0F">
              <w:rPr>
                <w:rFonts w:asciiTheme="minorHAnsi" w:hAnsiTheme="minorHAnsi" w:cs="Courier New"/>
                <w:sz w:val="18"/>
                <w:szCs w:val="18"/>
                <w:lang w:val="es-ES_tradnl"/>
              </w:rPr>
              <w:t xml:space="preserve">030001 03000 6020 112100  </w:t>
            </w:r>
            <w:proofErr w:type="spellStart"/>
            <w:r w:rsidRPr="00B01B0F">
              <w:rPr>
                <w:rFonts w:asciiTheme="minorHAnsi" w:hAnsiTheme="minorHAnsi" w:cs="Courier New"/>
                <w:sz w:val="18"/>
                <w:szCs w:val="18"/>
                <w:lang w:val="es-ES_tradnl"/>
              </w:rPr>
              <w:t>Eraikin</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judizialak</w:t>
            </w:r>
            <w:proofErr w:type="spellEnd"/>
          </w:p>
        </w:tc>
        <w:tc>
          <w:tcPr>
            <w:tcW w:w="1482" w:type="dxa"/>
            <w:tcBorders>
              <w:top w:val="outset" w:sz="6" w:space="0" w:color="auto"/>
              <w:left w:val="outset" w:sz="6" w:space="0" w:color="auto"/>
              <w:bottom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48.000,00</w:t>
            </w:r>
          </w:p>
        </w:tc>
      </w:tr>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ind w:firstLine="284"/>
              <w:rPr>
                <w:rFonts w:asciiTheme="minorHAnsi" w:hAnsiTheme="minorHAnsi" w:cs="Courier New"/>
                <w:sz w:val="18"/>
                <w:szCs w:val="18"/>
                <w:lang w:val="es-ES_tradnl"/>
              </w:rPr>
            </w:pPr>
            <w:r w:rsidRPr="00B01B0F">
              <w:rPr>
                <w:rFonts w:asciiTheme="minorHAnsi" w:hAnsiTheme="minorHAnsi" w:cs="Courier New"/>
                <w:sz w:val="18"/>
                <w:szCs w:val="18"/>
                <w:lang w:val="es-ES_tradnl"/>
              </w:rPr>
              <w:t xml:space="preserve">030001 03000 6031 112100  </w:t>
            </w:r>
            <w:proofErr w:type="spellStart"/>
            <w:r w:rsidRPr="00B01B0F">
              <w:rPr>
                <w:rFonts w:asciiTheme="minorHAnsi" w:hAnsiTheme="minorHAnsi" w:cs="Courier New"/>
                <w:sz w:val="18"/>
                <w:szCs w:val="18"/>
                <w:lang w:val="es-ES_tradnl"/>
              </w:rPr>
              <w:t>Instalazioak</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eraikin</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judizialetan</w:t>
            </w:r>
            <w:proofErr w:type="spellEnd"/>
          </w:p>
        </w:tc>
        <w:tc>
          <w:tcPr>
            <w:tcW w:w="1482" w:type="dxa"/>
            <w:tcBorders>
              <w:top w:val="outset" w:sz="6" w:space="0" w:color="auto"/>
              <w:left w:val="outset" w:sz="6" w:space="0" w:color="auto"/>
              <w:bottom w:val="outset" w:sz="6" w:space="0" w:color="auto"/>
            </w:tcBorders>
            <w:vAlign w:val="center"/>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30.000,00</w:t>
            </w:r>
          </w:p>
        </w:tc>
      </w:tr>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ind w:firstLine="284"/>
              <w:rPr>
                <w:rFonts w:asciiTheme="minorHAnsi" w:hAnsiTheme="minorHAnsi" w:cs="Courier New"/>
                <w:sz w:val="18"/>
                <w:szCs w:val="18"/>
                <w:lang w:val="es-ES_tradnl"/>
              </w:rPr>
            </w:pPr>
            <w:r w:rsidRPr="00B01B0F">
              <w:rPr>
                <w:rFonts w:asciiTheme="minorHAnsi" w:hAnsiTheme="minorHAnsi" w:cs="Courier New"/>
                <w:sz w:val="18"/>
                <w:szCs w:val="18"/>
                <w:lang w:val="es-ES_tradnl"/>
              </w:rPr>
              <w:t xml:space="preserve">030001 03000 6050 112100  </w:t>
            </w:r>
            <w:proofErr w:type="spellStart"/>
            <w:r w:rsidRPr="00B01B0F">
              <w:rPr>
                <w:rFonts w:asciiTheme="minorHAnsi" w:hAnsiTheme="minorHAnsi" w:cs="Courier New"/>
                <w:sz w:val="18"/>
                <w:szCs w:val="18"/>
                <w:lang w:val="es-ES_tradnl"/>
              </w:rPr>
              <w:t>Bulegoko</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altzariak</w:t>
            </w:r>
            <w:proofErr w:type="spellEnd"/>
            <w:r w:rsidRPr="00B01B0F">
              <w:rPr>
                <w:rFonts w:asciiTheme="minorHAnsi" w:hAnsiTheme="minorHAnsi" w:cs="Courier New"/>
                <w:sz w:val="18"/>
                <w:szCs w:val="18"/>
                <w:lang w:val="es-ES_tradnl"/>
              </w:rPr>
              <w:t xml:space="preserve"> eta </w:t>
            </w:r>
            <w:proofErr w:type="spellStart"/>
            <w:r w:rsidRPr="00B01B0F">
              <w:rPr>
                <w:rFonts w:asciiTheme="minorHAnsi" w:hAnsiTheme="minorHAnsi" w:cs="Courier New"/>
                <w:sz w:val="18"/>
                <w:szCs w:val="18"/>
                <w:lang w:val="es-ES_tradnl"/>
              </w:rPr>
              <w:t>ekipamenduak</w:t>
            </w:r>
            <w:proofErr w:type="spellEnd"/>
          </w:p>
        </w:tc>
        <w:tc>
          <w:tcPr>
            <w:tcW w:w="1482" w:type="dxa"/>
            <w:tcBorders>
              <w:top w:val="outset" w:sz="6" w:space="0" w:color="auto"/>
              <w:left w:val="outset" w:sz="6" w:space="0" w:color="auto"/>
              <w:bottom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16.000,00</w:t>
            </w:r>
          </w:p>
        </w:tc>
      </w:tr>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ind w:firstLine="284"/>
              <w:rPr>
                <w:rFonts w:asciiTheme="minorHAnsi" w:hAnsiTheme="minorHAnsi" w:cs="Courier New"/>
                <w:sz w:val="18"/>
                <w:szCs w:val="18"/>
                <w:lang w:val="es-ES_tradnl"/>
              </w:rPr>
            </w:pPr>
            <w:r w:rsidRPr="00B01B0F">
              <w:rPr>
                <w:rFonts w:asciiTheme="minorHAnsi" w:hAnsiTheme="minorHAnsi" w:cs="Courier New"/>
                <w:sz w:val="18"/>
                <w:szCs w:val="18"/>
                <w:lang w:val="es-ES_tradnl"/>
              </w:rPr>
              <w:t xml:space="preserve">030001 03000 6060 112100  </w:t>
            </w:r>
            <w:proofErr w:type="spellStart"/>
            <w:r w:rsidRPr="00B01B0F">
              <w:rPr>
                <w:rFonts w:asciiTheme="minorHAnsi" w:hAnsiTheme="minorHAnsi" w:cs="Courier New"/>
                <w:sz w:val="18"/>
                <w:szCs w:val="18"/>
                <w:lang w:val="es-ES_tradnl"/>
              </w:rPr>
              <w:t>Informazio</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prozesuetarako</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ekipamenduak</w:t>
            </w:r>
            <w:proofErr w:type="spellEnd"/>
          </w:p>
        </w:tc>
        <w:tc>
          <w:tcPr>
            <w:tcW w:w="1482" w:type="dxa"/>
            <w:tcBorders>
              <w:top w:val="outset" w:sz="6" w:space="0" w:color="auto"/>
              <w:left w:val="outset" w:sz="6" w:space="0" w:color="auto"/>
              <w:bottom w:val="outset" w:sz="6" w:space="0" w:color="auto"/>
            </w:tcBorders>
            <w:vAlign w:val="center"/>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16.000,00</w:t>
            </w:r>
          </w:p>
        </w:tc>
      </w:tr>
    </w:tbl>
    <w:p w:rsidR="00F75588" w:rsidRPr="00B01B0F" w:rsidRDefault="00F75588">
      <w:pPr>
        <w:rPr>
          <w:lang w:val="eu-ES"/>
        </w:rPr>
      </w:pPr>
    </w:p>
    <w:p w:rsidR="00B01B0F" w:rsidRDefault="00B01B0F">
      <w:pPr>
        <w:rPr>
          <w:rStyle w:val="Normal1"/>
          <w:b/>
          <w:lang w:val="eu-ES"/>
        </w:rPr>
      </w:pPr>
    </w:p>
    <w:p w:rsidR="00F75588" w:rsidRPr="00B01B0F" w:rsidRDefault="00B01B0F">
      <w:pPr>
        <w:rPr>
          <w:rStyle w:val="Normal1"/>
          <w:lang w:val="eu-ES"/>
        </w:rPr>
      </w:pPr>
      <w:r w:rsidRPr="00B01B0F">
        <w:rPr>
          <w:rStyle w:val="Normal1"/>
          <w:b/>
          <w:lang w:val="eu-ES"/>
        </w:rPr>
        <w:t xml:space="preserve">2. artikulua. </w:t>
      </w:r>
      <w:r w:rsidRPr="00B01B0F">
        <w:rPr>
          <w:rStyle w:val="Normal1"/>
          <w:lang w:val="eu-ES"/>
        </w:rPr>
        <w:t>Kreditu-gehigarriaren finantzaketa.</w:t>
      </w:r>
    </w:p>
    <w:p w:rsidR="00B01B0F" w:rsidRDefault="00B01B0F">
      <w:pPr>
        <w:rPr>
          <w:rStyle w:val="Normal1"/>
          <w:lang w:val="eu-ES"/>
        </w:rPr>
      </w:pPr>
      <w:r w:rsidRPr="00B01B0F">
        <w:rPr>
          <w:rStyle w:val="Normal1"/>
          <w:lang w:val="eu-ES"/>
        </w:rPr>
        <w:t>Kreditu-gehigarri hau aurrekontuko partida honen kargura finantzat</w:t>
      </w:r>
      <w:r w:rsidRPr="00B01B0F">
        <w:rPr>
          <w:rStyle w:val="Normal1"/>
          <w:lang w:val="eu-ES"/>
        </w:rPr>
        <w:t>uko da:</w:t>
      </w:r>
    </w:p>
    <w:tbl>
      <w:tblPr>
        <w:tblW w:w="830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819"/>
        <w:gridCol w:w="1482"/>
      </w:tblGrid>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PARTIDA</w:t>
            </w:r>
          </w:p>
        </w:tc>
        <w:tc>
          <w:tcPr>
            <w:tcW w:w="1482" w:type="dxa"/>
            <w:tcBorders>
              <w:top w:val="outset" w:sz="6" w:space="0" w:color="auto"/>
              <w:left w:val="outset" w:sz="6" w:space="0" w:color="auto"/>
              <w:bottom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ZENBATEKOA</w:t>
            </w:r>
          </w:p>
        </w:tc>
      </w:tr>
      <w:tr w:rsidR="00B01B0F" w:rsidRPr="00B01B0F" w:rsidTr="00B01B0F">
        <w:trPr>
          <w:tblCellSpacing w:w="0" w:type="dxa"/>
          <w:jc w:val="center"/>
        </w:trPr>
        <w:tc>
          <w:tcPr>
            <w:tcW w:w="6819" w:type="dxa"/>
            <w:tcBorders>
              <w:top w:val="outset" w:sz="6" w:space="0" w:color="auto"/>
              <w:bottom w:val="outset" w:sz="6" w:space="0" w:color="auto"/>
              <w:right w:val="outset" w:sz="6" w:space="0" w:color="auto"/>
            </w:tcBorders>
            <w:vAlign w:val="bottom"/>
          </w:tcPr>
          <w:p w:rsidR="00B01B0F" w:rsidRPr="00B01B0F" w:rsidRDefault="00B01B0F" w:rsidP="00B01B0F">
            <w:pPr>
              <w:spacing w:after="40"/>
              <w:ind w:left="284" w:firstLine="0"/>
              <w:rPr>
                <w:rFonts w:asciiTheme="minorHAnsi" w:hAnsiTheme="minorHAnsi" w:cs="Courier New"/>
                <w:sz w:val="18"/>
                <w:szCs w:val="18"/>
                <w:lang w:val="es-ES_tradnl"/>
              </w:rPr>
            </w:pPr>
            <w:bookmarkStart w:id="0" w:name="_GoBack" w:colFirst="0" w:colLast="0"/>
            <w:r w:rsidRPr="00B01B0F">
              <w:rPr>
                <w:rFonts w:asciiTheme="minorHAnsi" w:hAnsiTheme="minorHAnsi" w:cs="Courier New"/>
                <w:sz w:val="18"/>
                <w:szCs w:val="18"/>
                <w:lang w:val="es-ES_tradnl"/>
              </w:rPr>
              <w:t xml:space="preserve">010001 01000 4609 921100  (E) </w:t>
            </w:r>
            <w:proofErr w:type="spellStart"/>
            <w:r w:rsidRPr="00B01B0F">
              <w:rPr>
                <w:rFonts w:asciiTheme="minorHAnsi" w:hAnsiTheme="minorHAnsi" w:cs="Courier New"/>
                <w:sz w:val="18"/>
                <w:szCs w:val="18"/>
                <w:lang w:val="es-ES_tradnl"/>
              </w:rPr>
              <w:t>Toki</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entitateentzako</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dirulaguntzak</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irisgarritasun</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planak</w:t>
            </w:r>
            <w:proofErr w:type="spellEnd"/>
            <w:r w:rsidRPr="00B01B0F">
              <w:rPr>
                <w:rFonts w:asciiTheme="minorHAnsi" w:hAnsiTheme="minorHAnsi" w:cs="Courier New"/>
                <w:sz w:val="18"/>
                <w:szCs w:val="18"/>
                <w:lang w:val="es-ES_tradnl"/>
              </w:rPr>
              <w:t xml:space="preserve"> </w:t>
            </w:r>
            <w:proofErr w:type="spellStart"/>
            <w:r w:rsidRPr="00B01B0F">
              <w:rPr>
                <w:rFonts w:asciiTheme="minorHAnsi" w:hAnsiTheme="minorHAnsi" w:cs="Courier New"/>
                <w:sz w:val="18"/>
                <w:szCs w:val="18"/>
                <w:lang w:val="es-ES_tradnl"/>
              </w:rPr>
              <w:t>egiteko</w:t>
            </w:r>
            <w:proofErr w:type="spellEnd"/>
          </w:p>
        </w:tc>
        <w:tc>
          <w:tcPr>
            <w:tcW w:w="1482" w:type="dxa"/>
            <w:tcBorders>
              <w:top w:val="outset" w:sz="6" w:space="0" w:color="auto"/>
              <w:left w:val="outset" w:sz="6" w:space="0" w:color="auto"/>
              <w:bottom w:val="outset" w:sz="6" w:space="0" w:color="auto"/>
            </w:tcBorders>
            <w:vAlign w:val="bottom"/>
          </w:tcPr>
          <w:p w:rsidR="00B01B0F" w:rsidRPr="00B01B0F" w:rsidRDefault="00B01B0F" w:rsidP="00B01B0F">
            <w:pPr>
              <w:spacing w:after="40" w:line="240" w:lineRule="atLeast"/>
              <w:ind w:firstLine="284"/>
              <w:jc w:val="center"/>
              <w:rPr>
                <w:rFonts w:asciiTheme="minorHAnsi" w:hAnsiTheme="minorHAnsi" w:cs="Courier New"/>
                <w:sz w:val="18"/>
                <w:szCs w:val="18"/>
                <w:lang w:val="es-ES_tradnl"/>
              </w:rPr>
            </w:pPr>
            <w:r w:rsidRPr="00B01B0F">
              <w:rPr>
                <w:rFonts w:asciiTheme="minorHAnsi" w:hAnsiTheme="minorHAnsi" w:cs="Courier New"/>
                <w:sz w:val="18"/>
                <w:szCs w:val="18"/>
                <w:lang w:val="es-ES_tradnl"/>
              </w:rPr>
              <w:t>110.000,00</w:t>
            </w:r>
          </w:p>
        </w:tc>
      </w:tr>
      <w:bookmarkEnd w:id="0"/>
    </w:tbl>
    <w:p w:rsidR="00F75588" w:rsidRPr="00B01B0F" w:rsidRDefault="00F75588">
      <w:pPr>
        <w:rPr>
          <w:lang w:val="eu-ES"/>
        </w:rPr>
      </w:pPr>
    </w:p>
    <w:p w:rsidR="00F75588" w:rsidRPr="00B01B0F" w:rsidRDefault="00B01B0F">
      <w:pPr>
        <w:rPr>
          <w:rStyle w:val="Normal1"/>
          <w:lang w:val="eu-ES"/>
        </w:rPr>
      </w:pPr>
      <w:r w:rsidRPr="00B01B0F">
        <w:rPr>
          <w:rStyle w:val="Normal1"/>
          <w:b/>
          <w:lang w:val="eu-ES"/>
        </w:rPr>
        <w:t xml:space="preserve">Azken xedapen bakarra. </w:t>
      </w:r>
      <w:r w:rsidRPr="00B01B0F">
        <w:rPr>
          <w:rStyle w:val="Normal1"/>
          <w:lang w:val="eu-ES"/>
        </w:rPr>
        <w:t>Indarra hartzea.</w:t>
      </w:r>
    </w:p>
    <w:p w:rsidR="00F75588" w:rsidRPr="00B01B0F" w:rsidRDefault="00B01B0F">
      <w:pPr>
        <w:rPr>
          <w:rStyle w:val="Normal1"/>
          <w:lang w:val="eu-ES"/>
        </w:rPr>
      </w:pPr>
      <w:r w:rsidRPr="00B01B0F">
        <w:rPr>
          <w:rStyle w:val="Normal1"/>
          <w:lang w:val="eu-ES"/>
        </w:rPr>
        <w:t>Foru lege honek Nafarroako Aldizkari Ofizialean argitaratu eta biharamunean hartuko du indarra.</w:t>
      </w:r>
    </w:p>
    <w:sectPr w:rsidR="00F75588" w:rsidRPr="00B01B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F75588"/>
    <w:rsid w:val="00B01B0F"/>
    <w:rsid w:val="00F75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3182</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2019-09-16T11:06:00Z</dcterms:created>
  <dcterms:modified xsi:type="dcterms:W3CDTF">2019-09-16T11:14:00Z</dcterms:modified>
</cp:coreProperties>
</file>