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garantías de financiación necesarias para cumplir con los objetivos del acuerdo programático,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oral, a fin de que sea respondida en el próximo Pleno de la Cámara por parte de la presidenta del Gobierno. </w:t>
      </w:r>
    </w:p>
    <w:p>
      <w:pPr>
        <w:pStyle w:val="0"/>
        <w:suppressAutoHyphens w:val="false"/>
        <w:rPr>
          <w:rStyle w:val="1"/>
        </w:rPr>
      </w:pPr>
      <w:r>
        <w:rPr>
          <w:rStyle w:val="1"/>
        </w:rPr>
        <w:t xml:space="preserve">Tras el anuncio de diversas rebajas fiscales por parte del Gobierno de Navarra y las recientes declaraciones en medios de la Ministra Calviño sobre la desaceleración económica en el país, ¿cómo piensa el Gobierno de Navarra garantizar la financiación necesaria para cumplir con los objetivos del acuerdo programático? </w:t>
      </w:r>
    </w:p>
    <w:p>
      <w:pPr>
        <w:pStyle w:val="0"/>
        <w:suppressAutoHyphens w:val="false"/>
        <w:rPr>
          <w:rStyle w:val="1"/>
        </w:rPr>
      </w:pPr>
      <w:r>
        <w:rPr>
          <w:rStyle w:val="1"/>
        </w:rPr>
        <w:t xml:space="preserve">En Pamplona-lruñea, a 7 de octubre de 2019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