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3A32" w:rsidRPr="00204979" w:rsidRDefault="00FA495F" w:rsidP="00AB659D">
      <w:pPr>
        <w:pStyle w:val="EstiloPortada"/>
        <w:ind w:right="-58"/>
      </w:pPr>
      <w:r w:rsidRPr="00A8137F">
        <w:rPr>
          <w:rFonts w:ascii="Arial" w:hAnsi="Arial" w:cs="Arial"/>
          <w:noProof/>
          <w:color w:val="808080"/>
          <w:sz w:val="40"/>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422AD9" w:rsidRPr="003A7956" w:rsidRDefault="00422AD9" w:rsidP="004C3423">
                            <w:pPr>
                              <w:spacing w:after="0"/>
                              <w:ind w:firstLine="0"/>
                              <w:jc w:val="center"/>
                              <w:rPr>
                                <w:sz w:val="18"/>
                                <w:szCs w:val="18"/>
                                <w:lang w:val="es-ES"/>
                              </w:rPr>
                            </w:pPr>
                            <w:r w:rsidRPr="003A7956">
                              <w:rPr>
                                <w:sz w:val="18"/>
                                <w:szCs w:val="18"/>
                                <w:lang w:val="es-ES"/>
                              </w:rPr>
                              <w:t>CAMARA DE</w:t>
                            </w:r>
                          </w:p>
                          <w:p w:rsidR="00422AD9" w:rsidRPr="003A7956" w:rsidRDefault="00422AD9" w:rsidP="004C3423">
                            <w:pPr>
                              <w:spacing w:after="0"/>
                              <w:ind w:firstLine="0"/>
                              <w:jc w:val="center"/>
                              <w:rPr>
                                <w:sz w:val="18"/>
                                <w:szCs w:val="18"/>
                                <w:lang w:val="es-ES"/>
                              </w:rPr>
                            </w:pPr>
                            <w:r w:rsidRPr="003A7956">
                              <w:rPr>
                                <w:sz w:val="18"/>
                                <w:szCs w:val="18"/>
                                <w:lang w:val="es-ES"/>
                              </w:rPr>
                              <w:t>COMPTOS</w:t>
                            </w:r>
                          </w:p>
                          <w:p w:rsidR="00422AD9" w:rsidRPr="003A7956" w:rsidRDefault="00422AD9" w:rsidP="004C3423">
                            <w:pPr>
                              <w:spacing w:after="0"/>
                              <w:ind w:firstLine="0"/>
                              <w:jc w:val="center"/>
                              <w:rPr>
                                <w:sz w:val="18"/>
                                <w:szCs w:val="18"/>
                                <w:lang w:val="es-ES"/>
                              </w:rPr>
                            </w:pPr>
                            <w:r w:rsidRPr="003A7956">
                              <w:rPr>
                                <w:sz w:val="18"/>
                                <w:szCs w:val="18"/>
                                <w:lang w:val="es-ES"/>
                              </w:rPr>
                              <w:t>DE NAVARRA</w:t>
                            </w:r>
                          </w:p>
                          <w:p w:rsidR="00422AD9" w:rsidRPr="003A7956" w:rsidRDefault="00422AD9" w:rsidP="004C3423">
                            <w:pPr>
                              <w:spacing w:after="0"/>
                              <w:ind w:firstLine="0"/>
                              <w:jc w:val="center"/>
                              <w:rPr>
                                <w:color w:val="808080"/>
                                <w:sz w:val="18"/>
                                <w:szCs w:val="18"/>
                                <w:lang w:val="es-ES"/>
                              </w:rPr>
                            </w:pPr>
                            <w:r w:rsidRPr="003A7956">
                              <w:rPr>
                                <w:color w:val="808080"/>
                                <w:sz w:val="18"/>
                                <w:szCs w:val="18"/>
                                <w:lang w:val="es-ES"/>
                              </w:rPr>
                              <w:t>NAFARROAKO</w:t>
                            </w:r>
                          </w:p>
                          <w:p w:rsidR="00422AD9" w:rsidRPr="003A7956" w:rsidRDefault="00422AD9" w:rsidP="004C3423">
                            <w:pPr>
                              <w:spacing w:after="0"/>
                              <w:ind w:firstLine="0"/>
                              <w:jc w:val="center"/>
                              <w:rPr>
                                <w:color w:val="808080"/>
                                <w:sz w:val="18"/>
                                <w:szCs w:val="18"/>
                                <w:lang w:val="es-ES"/>
                              </w:rPr>
                            </w:pPr>
                            <w:r w:rsidRPr="003A7956">
                              <w:rPr>
                                <w:color w:val="808080"/>
                                <w:sz w:val="18"/>
                                <w:szCs w:val="18"/>
                                <w:lang w:val="es-ES"/>
                              </w:rPr>
                              <w:t>KONTUEN</w:t>
                            </w:r>
                          </w:p>
                          <w:p w:rsidR="00422AD9" w:rsidRPr="003A7956" w:rsidRDefault="00422AD9" w:rsidP="004C3423">
                            <w:pPr>
                              <w:spacing w:after="0"/>
                              <w:ind w:firstLine="0"/>
                              <w:jc w:val="center"/>
                              <w:rPr>
                                <w:color w:val="808080"/>
                                <w:sz w:val="18"/>
                                <w:szCs w:val="18"/>
                                <w:lang w:val="es-ES"/>
                              </w:rPr>
                            </w:pPr>
                            <w:r w:rsidRPr="003A7956">
                              <w:rPr>
                                <w:color w:val="808080"/>
                                <w:sz w:val="18"/>
                                <w:szCs w:val="18"/>
                                <w:lang w:val="es-ES"/>
                              </w:rPr>
                              <w:t>GANBERA</w:t>
                            </w:r>
                          </w:p>
                          <w:p w:rsidR="00422AD9" w:rsidRPr="002C7026" w:rsidRDefault="00422AD9"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422AD9" w:rsidRPr="003A7956" w:rsidRDefault="00422AD9" w:rsidP="004C3423">
                      <w:pPr>
                        <w:spacing w:after="0"/>
                        <w:ind w:firstLine="0"/>
                        <w:jc w:val="center"/>
                        <w:rPr>
                          <w:sz w:val="18"/>
                          <w:szCs w:val="18"/>
                          <w:lang w:val="es-ES"/>
                        </w:rPr>
                      </w:pPr>
                      <w:r w:rsidRPr="003A7956">
                        <w:rPr>
                          <w:sz w:val="18"/>
                          <w:szCs w:val="18"/>
                          <w:lang w:val="es-ES"/>
                        </w:rPr>
                        <w:t>CAMARA DE</w:t>
                      </w:r>
                    </w:p>
                    <w:p w:rsidR="00422AD9" w:rsidRPr="003A7956" w:rsidRDefault="00422AD9" w:rsidP="004C3423">
                      <w:pPr>
                        <w:spacing w:after="0"/>
                        <w:ind w:firstLine="0"/>
                        <w:jc w:val="center"/>
                        <w:rPr>
                          <w:sz w:val="18"/>
                          <w:szCs w:val="18"/>
                          <w:lang w:val="es-ES"/>
                        </w:rPr>
                      </w:pPr>
                      <w:r w:rsidRPr="003A7956">
                        <w:rPr>
                          <w:sz w:val="18"/>
                          <w:szCs w:val="18"/>
                          <w:lang w:val="es-ES"/>
                        </w:rPr>
                        <w:t>COMPTOS</w:t>
                      </w:r>
                    </w:p>
                    <w:p w:rsidR="00422AD9" w:rsidRPr="003A7956" w:rsidRDefault="00422AD9" w:rsidP="004C3423">
                      <w:pPr>
                        <w:spacing w:after="0"/>
                        <w:ind w:firstLine="0"/>
                        <w:jc w:val="center"/>
                        <w:rPr>
                          <w:sz w:val="18"/>
                          <w:szCs w:val="18"/>
                          <w:lang w:val="es-ES"/>
                        </w:rPr>
                      </w:pPr>
                      <w:r w:rsidRPr="003A7956">
                        <w:rPr>
                          <w:sz w:val="18"/>
                          <w:szCs w:val="18"/>
                          <w:lang w:val="es-ES"/>
                        </w:rPr>
                        <w:t>DE NAVARRA</w:t>
                      </w:r>
                    </w:p>
                    <w:p w:rsidR="00422AD9" w:rsidRPr="003A7956" w:rsidRDefault="00422AD9" w:rsidP="004C3423">
                      <w:pPr>
                        <w:spacing w:after="0"/>
                        <w:ind w:firstLine="0"/>
                        <w:jc w:val="center"/>
                        <w:rPr>
                          <w:color w:val="808080"/>
                          <w:sz w:val="18"/>
                          <w:szCs w:val="18"/>
                          <w:lang w:val="es-ES"/>
                        </w:rPr>
                      </w:pPr>
                      <w:r w:rsidRPr="003A7956">
                        <w:rPr>
                          <w:color w:val="808080"/>
                          <w:sz w:val="18"/>
                          <w:szCs w:val="18"/>
                          <w:lang w:val="es-ES"/>
                        </w:rPr>
                        <w:t>NAFARROAKO</w:t>
                      </w:r>
                    </w:p>
                    <w:p w:rsidR="00422AD9" w:rsidRPr="003A7956" w:rsidRDefault="00422AD9" w:rsidP="004C3423">
                      <w:pPr>
                        <w:spacing w:after="0"/>
                        <w:ind w:firstLine="0"/>
                        <w:jc w:val="center"/>
                        <w:rPr>
                          <w:color w:val="808080"/>
                          <w:sz w:val="18"/>
                          <w:szCs w:val="18"/>
                          <w:lang w:val="es-ES"/>
                        </w:rPr>
                      </w:pPr>
                      <w:r w:rsidRPr="003A7956">
                        <w:rPr>
                          <w:color w:val="808080"/>
                          <w:sz w:val="18"/>
                          <w:szCs w:val="18"/>
                          <w:lang w:val="es-ES"/>
                        </w:rPr>
                        <w:t>KONTUEN</w:t>
                      </w:r>
                    </w:p>
                    <w:p w:rsidR="00422AD9" w:rsidRPr="003A7956" w:rsidRDefault="00422AD9" w:rsidP="004C3423">
                      <w:pPr>
                        <w:spacing w:after="0"/>
                        <w:ind w:firstLine="0"/>
                        <w:jc w:val="center"/>
                        <w:rPr>
                          <w:color w:val="808080"/>
                          <w:sz w:val="18"/>
                          <w:szCs w:val="18"/>
                          <w:lang w:val="es-ES"/>
                        </w:rPr>
                      </w:pPr>
                      <w:r w:rsidRPr="003A7956">
                        <w:rPr>
                          <w:color w:val="808080"/>
                          <w:sz w:val="18"/>
                          <w:szCs w:val="18"/>
                          <w:lang w:val="es-ES"/>
                        </w:rPr>
                        <w:t>GANBERA</w:t>
                      </w:r>
                    </w:p>
                    <w:p w:rsidR="00422AD9" w:rsidRPr="002C7026" w:rsidRDefault="00422AD9" w:rsidP="002C7026">
                      <w:pPr>
                        <w:spacing w:after="0"/>
                        <w:ind w:firstLine="0"/>
                        <w:jc w:val="center"/>
                        <w:rPr>
                          <w:rFonts w:ascii="Trajan" w:hAnsi="Trajan"/>
                          <w:color w:val="808080"/>
                          <w:sz w:val="18"/>
                          <w:szCs w:val="18"/>
                          <w:lang w:val="es-ES"/>
                        </w:rPr>
                      </w:pPr>
                    </w:p>
                  </w:txbxContent>
                </v:textbox>
              </v:shape>
            </w:pict>
          </mc:Fallback>
        </mc:AlternateContent>
      </w:r>
    </w:p>
    <w:p w:rsidR="008E7EF5" w:rsidRDefault="008E7EF5" w:rsidP="00BA1018">
      <w:pPr>
        <w:pStyle w:val="EstiloPortada"/>
        <w:ind w:left="3544" w:right="-283"/>
        <w:jc w:val="right"/>
      </w:pPr>
    </w:p>
    <w:p w:rsidR="008E7EF5" w:rsidRDefault="008E7EF5" w:rsidP="00BA1018">
      <w:pPr>
        <w:pStyle w:val="EstiloPortada"/>
        <w:ind w:left="3544" w:right="-283"/>
        <w:jc w:val="right"/>
      </w:pPr>
    </w:p>
    <w:p w:rsidR="001C3A32" w:rsidRPr="001D4F09" w:rsidRDefault="00BA1018" w:rsidP="00BA1018">
      <w:pPr>
        <w:pStyle w:val="EstiloPortada"/>
        <w:ind w:left="3544" w:right="-283"/>
        <w:jc w:val="right"/>
      </w:pPr>
      <w:r>
        <w:t>Sector público local de Navarra, 2017</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1D4F09" w:rsidRDefault="00BA1018" w:rsidP="009936FC">
      <w:pPr>
        <w:pStyle w:val="Fechaportada"/>
      </w:pPr>
      <w:r>
        <w:t>Noviembre</w:t>
      </w:r>
      <w:r w:rsidR="00253E78" w:rsidRPr="001D4F09">
        <w:t xml:space="preserve"> de 20</w:t>
      </w:r>
      <w:r>
        <w:t>19</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14728F" w:rsidRPr="005A1124" w:rsidRDefault="005A1124" w:rsidP="005A1124">
      <w:pPr>
        <w:pStyle w:val="texto"/>
        <w:ind w:right="-142"/>
        <w:jc w:val="right"/>
        <w:rPr>
          <w:smallCaps/>
          <w:sz w:val="16"/>
        </w:rPr>
      </w:pPr>
      <w:r>
        <w:rPr>
          <w:smallCaps/>
          <w:sz w:val="16"/>
        </w:rPr>
        <w:t>Págin</w:t>
      </w:r>
    </w:p>
    <w:p w:rsidR="00D21054"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24451733" w:history="1">
        <w:r w:rsidR="00D21054" w:rsidRPr="00322851">
          <w:rPr>
            <w:rStyle w:val="Hipervnculo"/>
            <w:noProof/>
          </w:rPr>
          <w:t>I. Introducción</w:t>
        </w:r>
        <w:r w:rsidR="00D21054">
          <w:rPr>
            <w:noProof/>
            <w:webHidden/>
          </w:rPr>
          <w:tab/>
        </w:r>
        <w:r w:rsidR="00D21054">
          <w:rPr>
            <w:noProof/>
            <w:webHidden/>
          </w:rPr>
          <w:fldChar w:fldCharType="begin"/>
        </w:r>
        <w:r w:rsidR="00D21054">
          <w:rPr>
            <w:noProof/>
            <w:webHidden/>
          </w:rPr>
          <w:instrText xml:space="preserve"> PAGEREF _Toc24451733 \h </w:instrText>
        </w:r>
        <w:r w:rsidR="00D21054">
          <w:rPr>
            <w:noProof/>
            <w:webHidden/>
          </w:rPr>
        </w:r>
        <w:r w:rsidR="00D21054">
          <w:rPr>
            <w:noProof/>
            <w:webHidden/>
          </w:rPr>
          <w:fldChar w:fldCharType="separate"/>
        </w:r>
        <w:r w:rsidR="00D21054">
          <w:rPr>
            <w:noProof/>
            <w:webHidden/>
          </w:rPr>
          <w:t>3</w:t>
        </w:r>
        <w:r w:rsidR="00D21054">
          <w:rPr>
            <w:noProof/>
            <w:webHidden/>
          </w:rPr>
          <w:fldChar w:fldCharType="end"/>
        </w:r>
      </w:hyperlink>
    </w:p>
    <w:p w:rsidR="00D21054" w:rsidRDefault="00CB1A83">
      <w:pPr>
        <w:pStyle w:val="TDC1"/>
        <w:rPr>
          <w:rFonts w:asciiTheme="minorHAnsi" w:eastAsiaTheme="minorEastAsia" w:hAnsiTheme="minorHAnsi" w:cstheme="minorBidi"/>
          <w:smallCaps w:val="0"/>
          <w:noProof/>
          <w:szCs w:val="22"/>
          <w:lang w:val="es-ES" w:eastAsia="es-ES"/>
        </w:rPr>
      </w:pPr>
      <w:hyperlink w:anchor="_Toc24451734" w:history="1">
        <w:r w:rsidR="00D21054" w:rsidRPr="00322851">
          <w:rPr>
            <w:rStyle w:val="Hipervnculo"/>
            <w:noProof/>
          </w:rPr>
          <w:t>II. Estructura organizativa y normativa del sector público local</w:t>
        </w:r>
        <w:r w:rsidR="00D21054">
          <w:rPr>
            <w:noProof/>
            <w:webHidden/>
          </w:rPr>
          <w:tab/>
        </w:r>
        <w:r w:rsidR="00D21054">
          <w:rPr>
            <w:noProof/>
            <w:webHidden/>
          </w:rPr>
          <w:fldChar w:fldCharType="begin"/>
        </w:r>
        <w:r w:rsidR="00D21054">
          <w:rPr>
            <w:noProof/>
            <w:webHidden/>
          </w:rPr>
          <w:instrText xml:space="preserve"> PAGEREF _Toc24451734 \h </w:instrText>
        </w:r>
        <w:r w:rsidR="00D21054">
          <w:rPr>
            <w:noProof/>
            <w:webHidden/>
          </w:rPr>
        </w:r>
        <w:r w:rsidR="00D21054">
          <w:rPr>
            <w:noProof/>
            <w:webHidden/>
          </w:rPr>
          <w:fldChar w:fldCharType="separate"/>
        </w:r>
        <w:r w:rsidR="00D21054">
          <w:rPr>
            <w:noProof/>
            <w:webHidden/>
          </w:rPr>
          <w:t>4</w:t>
        </w:r>
        <w:r w:rsidR="00D21054">
          <w:rPr>
            <w:noProof/>
            <w:webHidden/>
          </w:rPr>
          <w:fldChar w:fldCharType="end"/>
        </w:r>
      </w:hyperlink>
    </w:p>
    <w:p w:rsidR="00D21054" w:rsidRDefault="00CB1A83">
      <w:pPr>
        <w:pStyle w:val="TDC2"/>
        <w:rPr>
          <w:rFonts w:asciiTheme="minorHAnsi" w:eastAsiaTheme="minorEastAsia" w:hAnsiTheme="minorHAnsi" w:cstheme="minorBidi"/>
          <w:noProof/>
          <w:szCs w:val="22"/>
          <w:lang w:val="es-ES" w:eastAsia="es-ES"/>
        </w:rPr>
      </w:pPr>
      <w:hyperlink w:anchor="_Toc24451735" w:history="1">
        <w:r w:rsidR="00D21054" w:rsidRPr="00322851">
          <w:rPr>
            <w:rStyle w:val="Hipervnculo"/>
            <w:noProof/>
          </w:rPr>
          <w:t>II.1. Estructura organizativa</w:t>
        </w:r>
        <w:r w:rsidR="00D21054">
          <w:rPr>
            <w:noProof/>
            <w:webHidden/>
          </w:rPr>
          <w:tab/>
        </w:r>
        <w:r w:rsidR="00D21054">
          <w:rPr>
            <w:noProof/>
            <w:webHidden/>
          </w:rPr>
          <w:fldChar w:fldCharType="begin"/>
        </w:r>
        <w:r w:rsidR="00D21054">
          <w:rPr>
            <w:noProof/>
            <w:webHidden/>
          </w:rPr>
          <w:instrText xml:space="preserve"> PAGEREF _Toc24451735 \h </w:instrText>
        </w:r>
        <w:r w:rsidR="00D21054">
          <w:rPr>
            <w:noProof/>
            <w:webHidden/>
          </w:rPr>
        </w:r>
        <w:r w:rsidR="00D21054">
          <w:rPr>
            <w:noProof/>
            <w:webHidden/>
          </w:rPr>
          <w:fldChar w:fldCharType="separate"/>
        </w:r>
        <w:r w:rsidR="00D21054">
          <w:rPr>
            <w:noProof/>
            <w:webHidden/>
          </w:rPr>
          <w:t>4</w:t>
        </w:r>
        <w:r w:rsidR="00D21054">
          <w:rPr>
            <w:noProof/>
            <w:webHidden/>
          </w:rPr>
          <w:fldChar w:fldCharType="end"/>
        </w:r>
      </w:hyperlink>
    </w:p>
    <w:p w:rsidR="00D21054" w:rsidRDefault="00CB1A83">
      <w:pPr>
        <w:pStyle w:val="TDC2"/>
        <w:rPr>
          <w:rFonts w:asciiTheme="minorHAnsi" w:eastAsiaTheme="minorEastAsia" w:hAnsiTheme="minorHAnsi" w:cstheme="minorBidi"/>
          <w:noProof/>
          <w:szCs w:val="22"/>
          <w:lang w:val="es-ES" w:eastAsia="es-ES"/>
        </w:rPr>
      </w:pPr>
      <w:hyperlink w:anchor="_Toc24451736" w:history="1">
        <w:r w:rsidR="00D21054" w:rsidRPr="00322851">
          <w:rPr>
            <w:rStyle w:val="Hipervnculo"/>
            <w:noProof/>
          </w:rPr>
          <w:t>II.2. Medidas legislativas planteadas para la racionalización del sector público local</w:t>
        </w:r>
        <w:r w:rsidR="00D21054">
          <w:rPr>
            <w:noProof/>
            <w:webHidden/>
          </w:rPr>
          <w:tab/>
        </w:r>
        <w:r w:rsidR="00D21054">
          <w:rPr>
            <w:noProof/>
            <w:webHidden/>
          </w:rPr>
          <w:fldChar w:fldCharType="begin"/>
        </w:r>
        <w:r w:rsidR="00D21054">
          <w:rPr>
            <w:noProof/>
            <w:webHidden/>
          </w:rPr>
          <w:instrText xml:space="preserve"> PAGEREF _Toc24451736 \h </w:instrText>
        </w:r>
        <w:r w:rsidR="00D21054">
          <w:rPr>
            <w:noProof/>
            <w:webHidden/>
          </w:rPr>
        </w:r>
        <w:r w:rsidR="00D21054">
          <w:rPr>
            <w:noProof/>
            <w:webHidden/>
          </w:rPr>
          <w:fldChar w:fldCharType="separate"/>
        </w:r>
        <w:r w:rsidR="00D21054">
          <w:rPr>
            <w:noProof/>
            <w:webHidden/>
          </w:rPr>
          <w:t>7</w:t>
        </w:r>
        <w:r w:rsidR="00D21054">
          <w:rPr>
            <w:noProof/>
            <w:webHidden/>
          </w:rPr>
          <w:fldChar w:fldCharType="end"/>
        </w:r>
      </w:hyperlink>
    </w:p>
    <w:p w:rsidR="00D21054" w:rsidRDefault="00CB1A83">
      <w:pPr>
        <w:pStyle w:val="TDC2"/>
        <w:rPr>
          <w:rFonts w:asciiTheme="minorHAnsi" w:eastAsiaTheme="minorEastAsia" w:hAnsiTheme="minorHAnsi" w:cstheme="minorBidi"/>
          <w:noProof/>
          <w:szCs w:val="22"/>
          <w:lang w:val="es-ES" w:eastAsia="es-ES"/>
        </w:rPr>
      </w:pPr>
      <w:hyperlink w:anchor="_Toc24451737" w:history="1">
        <w:r w:rsidR="00D21054" w:rsidRPr="00322851">
          <w:rPr>
            <w:rStyle w:val="Hipervnculo"/>
            <w:noProof/>
          </w:rPr>
          <w:t>II.3. Normativa aprobada en 2017</w:t>
        </w:r>
        <w:r w:rsidR="00D21054">
          <w:rPr>
            <w:noProof/>
            <w:webHidden/>
          </w:rPr>
          <w:tab/>
        </w:r>
        <w:r w:rsidR="00D21054">
          <w:rPr>
            <w:noProof/>
            <w:webHidden/>
          </w:rPr>
          <w:fldChar w:fldCharType="begin"/>
        </w:r>
        <w:r w:rsidR="00D21054">
          <w:rPr>
            <w:noProof/>
            <w:webHidden/>
          </w:rPr>
          <w:instrText xml:space="preserve"> PAGEREF _Toc24451737 \h </w:instrText>
        </w:r>
        <w:r w:rsidR="00D21054">
          <w:rPr>
            <w:noProof/>
            <w:webHidden/>
          </w:rPr>
        </w:r>
        <w:r w:rsidR="00D21054">
          <w:rPr>
            <w:noProof/>
            <w:webHidden/>
          </w:rPr>
          <w:fldChar w:fldCharType="separate"/>
        </w:r>
        <w:r w:rsidR="00D21054">
          <w:rPr>
            <w:noProof/>
            <w:webHidden/>
          </w:rPr>
          <w:t>8</w:t>
        </w:r>
        <w:r w:rsidR="00D21054">
          <w:rPr>
            <w:noProof/>
            <w:webHidden/>
          </w:rPr>
          <w:fldChar w:fldCharType="end"/>
        </w:r>
      </w:hyperlink>
    </w:p>
    <w:p w:rsidR="00D21054" w:rsidRDefault="00CB1A83">
      <w:pPr>
        <w:pStyle w:val="TDC1"/>
        <w:rPr>
          <w:rFonts w:asciiTheme="minorHAnsi" w:eastAsiaTheme="minorEastAsia" w:hAnsiTheme="minorHAnsi" w:cstheme="minorBidi"/>
          <w:smallCaps w:val="0"/>
          <w:noProof/>
          <w:szCs w:val="22"/>
          <w:lang w:val="es-ES" w:eastAsia="es-ES"/>
        </w:rPr>
      </w:pPr>
      <w:hyperlink w:anchor="_Toc24451738" w:history="1">
        <w:r w:rsidR="00D21054" w:rsidRPr="00322851">
          <w:rPr>
            <w:rStyle w:val="Hipervnculo"/>
            <w:noProof/>
          </w:rPr>
          <w:t>III. Objetivo, alcance y limitaciones</w:t>
        </w:r>
        <w:r w:rsidR="00D21054">
          <w:rPr>
            <w:noProof/>
            <w:webHidden/>
          </w:rPr>
          <w:tab/>
        </w:r>
        <w:r w:rsidR="00D21054">
          <w:rPr>
            <w:noProof/>
            <w:webHidden/>
          </w:rPr>
          <w:fldChar w:fldCharType="begin"/>
        </w:r>
        <w:r w:rsidR="00D21054">
          <w:rPr>
            <w:noProof/>
            <w:webHidden/>
          </w:rPr>
          <w:instrText xml:space="preserve"> PAGEREF _Toc24451738 \h </w:instrText>
        </w:r>
        <w:r w:rsidR="00D21054">
          <w:rPr>
            <w:noProof/>
            <w:webHidden/>
          </w:rPr>
        </w:r>
        <w:r w:rsidR="00D21054">
          <w:rPr>
            <w:noProof/>
            <w:webHidden/>
          </w:rPr>
          <w:fldChar w:fldCharType="separate"/>
        </w:r>
        <w:r w:rsidR="00D21054">
          <w:rPr>
            <w:noProof/>
            <w:webHidden/>
          </w:rPr>
          <w:t>9</w:t>
        </w:r>
        <w:r w:rsidR="00D21054">
          <w:rPr>
            <w:noProof/>
            <w:webHidden/>
          </w:rPr>
          <w:fldChar w:fldCharType="end"/>
        </w:r>
      </w:hyperlink>
    </w:p>
    <w:p w:rsidR="00D21054" w:rsidRDefault="00CB1A83">
      <w:pPr>
        <w:pStyle w:val="TDC1"/>
        <w:rPr>
          <w:rFonts w:asciiTheme="minorHAnsi" w:eastAsiaTheme="minorEastAsia" w:hAnsiTheme="minorHAnsi" w:cstheme="minorBidi"/>
          <w:smallCaps w:val="0"/>
          <w:noProof/>
          <w:szCs w:val="22"/>
          <w:lang w:val="es-ES" w:eastAsia="es-ES"/>
        </w:rPr>
      </w:pPr>
      <w:hyperlink w:anchor="_Toc24451739" w:history="1">
        <w:r w:rsidR="00D21054" w:rsidRPr="00322851">
          <w:rPr>
            <w:rStyle w:val="Hipervnculo"/>
            <w:noProof/>
          </w:rPr>
          <w:t>IV. Memoria-resumen de las actuaciones de fiscalización de entes locales</w:t>
        </w:r>
        <w:r w:rsidR="00D21054">
          <w:rPr>
            <w:noProof/>
            <w:webHidden/>
          </w:rPr>
          <w:tab/>
        </w:r>
        <w:r w:rsidR="00D21054">
          <w:rPr>
            <w:noProof/>
            <w:webHidden/>
          </w:rPr>
          <w:fldChar w:fldCharType="begin"/>
        </w:r>
        <w:r w:rsidR="00D21054">
          <w:rPr>
            <w:noProof/>
            <w:webHidden/>
          </w:rPr>
          <w:instrText xml:space="preserve"> PAGEREF _Toc24451739 \h </w:instrText>
        </w:r>
        <w:r w:rsidR="00D21054">
          <w:rPr>
            <w:noProof/>
            <w:webHidden/>
          </w:rPr>
        </w:r>
        <w:r w:rsidR="00D21054">
          <w:rPr>
            <w:noProof/>
            <w:webHidden/>
          </w:rPr>
          <w:fldChar w:fldCharType="separate"/>
        </w:r>
        <w:r w:rsidR="00D21054">
          <w:rPr>
            <w:noProof/>
            <w:webHidden/>
          </w:rPr>
          <w:t>11</w:t>
        </w:r>
        <w:r w:rsidR="00D21054">
          <w:rPr>
            <w:noProof/>
            <w:webHidden/>
          </w:rPr>
          <w:fldChar w:fldCharType="end"/>
        </w:r>
      </w:hyperlink>
    </w:p>
    <w:p w:rsidR="00D21054" w:rsidRDefault="00CB1A83">
      <w:pPr>
        <w:pStyle w:val="TDC1"/>
        <w:rPr>
          <w:rFonts w:asciiTheme="minorHAnsi" w:eastAsiaTheme="minorEastAsia" w:hAnsiTheme="minorHAnsi" w:cstheme="minorBidi"/>
          <w:smallCaps w:val="0"/>
          <w:noProof/>
          <w:szCs w:val="22"/>
          <w:lang w:val="es-ES" w:eastAsia="es-ES"/>
        </w:rPr>
      </w:pPr>
      <w:hyperlink w:anchor="_Toc24451740" w:history="1">
        <w:r w:rsidR="00D21054" w:rsidRPr="00322851">
          <w:rPr>
            <w:rStyle w:val="Hipervnculo"/>
            <w:noProof/>
          </w:rPr>
          <w:t>V. Situación financiera del sector público local</w:t>
        </w:r>
        <w:r w:rsidR="00D21054">
          <w:rPr>
            <w:noProof/>
            <w:webHidden/>
          </w:rPr>
          <w:tab/>
        </w:r>
        <w:r w:rsidR="00D21054">
          <w:rPr>
            <w:noProof/>
            <w:webHidden/>
          </w:rPr>
          <w:fldChar w:fldCharType="begin"/>
        </w:r>
        <w:r w:rsidR="00D21054">
          <w:rPr>
            <w:noProof/>
            <w:webHidden/>
          </w:rPr>
          <w:instrText xml:space="preserve"> PAGEREF _Toc24451740 \h </w:instrText>
        </w:r>
        <w:r w:rsidR="00D21054">
          <w:rPr>
            <w:noProof/>
            <w:webHidden/>
          </w:rPr>
        </w:r>
        <w:r w:rsidR="00D21054">
          <w:rPr>
            <w:noProof/>
            <w:webHidden/>
          </w:rPr>
          <w:fldChar w:fldCharType="separate"/>
        </w:r>
        <w:r w:rsidR="00D21054">
          <w:rPr>
            <w:noProof/>
            <w:webHidden/>
          </w:rPr>
          <w:t>15</w:t>
        </w:r>
        <w:r w:rsidR="00D21054">
          <w:rPr>
            <w:noProof/>
            <w:webHidden/>
          </w:rPr>
          <w:fldChar w:fldCharType="end"/>
        </w:r>
      </w:hyperlink>
    </w:p>
    <w:p w:rsidR="00D21054" w:rsidRDefault="00CB1A83">
      <w:pPr>
        <w:pStyle w:val="TDC2"/>
        <w:rPr>
          <w:rFonts w:asciiTheme="minorHAnsi" w:eastAsiaTheme="minorEastAsia" w:hAnsiTheme="minorHAnsi" w:cstheme="minorBidi"/>
          <w:noProof/>
          <w:szCs w:val="22"/>
          <w:lang w:val="es-ES" w:eastAsia="es-ES"/>
        </w:rPr>
      </w:pPr>
      <w:hyperlink w:anchor="_Toc24451741" w:history="1">
        <w:r w:rsidR="00D21054" w:rsidRPr="00322851">
          <w:rPr>
            <w:rStyle w:val="Hipervnculo"/>
            <w:noProof/>
          </w:rPr>
          <w:t>V.1. Ingresos</w:t>
        </w:r>
        <w:r w:rsidR="00D21054">
          <w:rPr>
            <w:noProof/>
            <w:webHidden/>
          </w:rPr>
          <w:tab/>
        </w:r>
        <w:r w:rsidR="00D21054">
          <w:rPr>
            <w:noProof/>
            <w:webHidden/>
          </w:rPr>
          <w:fldChar w:fldCharType="begin"/>
        </w:r>
        <w:r w:rsidR="00D21054">
          <w:rPr>
            <w:noProof/>
            <w:webHidden/>
          </w:rPr>
          <w:instrText xml:space="preserve"> PAGEREF _Toc24451741 \h </w:instrText>
        </w:r>
        <w:r w:rsidR="00D21054">
          <w:rPr>
            <w:noProof/>
            <w:webHidden/>
          </w:rPr>
        </w:r>
        <w:r w:rsidR="00D21054">
          <w:rPr>
            <w:noProof/>
            <w:webHidden/>
          </w:rPr>
          <w:fldChar w:fldCharType="separate"/>
        </w:r>
        <w:r w:rsidR="00D21054">
          <w:rPr>
            <w:noProof/>
            <w:webHidden/>
          </w:rPr>
          <w:t>15</w:t>
        </w:r>
        <w:r w:rsidR="00D21054">
          <w:rPr>
            <w:noProof/>
            <w:webHidden/>
          </w:rPr>
          <w:fldChar w:fldCharType="end"/>
        </w:r>
      </w:hyperlink>
    </w:p>
    <w:p w:rsidR="00D21054" w:rsidRDefault="00CB1A83">
      <w:pPr>
        <w:pStyle w:val="TDC2"/>
        <w:rPr>
          <w:rFonts w:asciiTheme="minorHAnsi" w:eastAsiaTheme="minorEastAsia" w:hAnsiTheme="minorHAnsi" w:cstheme="minorBidi"/>
          <w:noProof/>
          <w:szCs w:val="22"/>
          <w:lang w:val="es-ES" w:eastAsia="es-ES"/>
        </w:rPr>
      </w:pPr>
      <w:hyperlink w:anchor="_Toc24451742" w:history="1">
        <w:r w:rsidR="00D21054" w:rsidRPr="00322851">
          <w:rPr>
            <w:rStyle w:val="Hipervnculo"/>
            <w:noProof/>
          </w:rPr>
          <w:t>V.2. Gastos</w:t>
        </w:r>
        <w:r w:rsidR="00D21054">
          <w:rPr>
            <w:noProof/>
            <w:webHidden/>
          </w:rPr>
          <w:tab/>
        </w:r>
        <w:r w:rsidR="00D21054">
          <w:rPr>
            <w:noProof/>
            <w:webHidden/>
          </w:rPr>
          <w:fldChar w:fldCharType="begin"/>
        </w:r>
        <w:r w:rsidR="00D21054">
          <w:rPr>
            <w:noProof/>
            <w:webHidden/>
          </w:rPr>
          <w:instrText xml:space="preserve"> PAGEREF _Toc24451742 \h </w:instrText>
        </w:r>
        <w:r w:rsidR="00D21054">
          <w:rPr>
            <w:noProof/>
            <w:webHidden/>
          </w:rPr>
        </w:r>
        <w:r w:rsidR="00D21054">
          <w:rPr>
            <w:noProof/>
            <w:webHidden/>
          </w:rPr>
          <w:fldChar w:fldCharType="separate"/>
        </w:r>
        <w:r w:rsidR="00D21054">
          <w:rPr>
            <w:noProof/>
            <w:webHidden/>
          </w:rPr>
          <w:t>16</w:t>
        </w:r>
        <w:r w:rsidR="00D21054">
          <w:rPr>
            <w:noProof/>
            <w:webHidden/>
          </w:rPr>
          <w:fldChar w:fldCharType="end"/>
        </w:r>
      </w:hyperlink>
    </w:p>
    <w:p w:rsidR="00D21054" w:rsidRDefault="00CB1A83">
      <w:pPr>
        <w:pStyle w:val="TDC2"/>
        <w:rPr>
          <w:rFonts w:asciiTheme="minorHAnsi" w:eastAsiaTheme="minorEastAsia" w:hAnsiTheme="minorHAnsi" w:cstheme="minorBidi"/>
          <w:noProof/>
          <w:szCs w:val="22"/>
          <w:lang w:val="es-ES" w:eastAsia="es-ES"/>
        </w:rPr>
      </w:pPr>
      <w:hyperlink w:anchor="_Toc24451743" w:history="1">
        <w:r w:rsidR="00D21054" w:rsidRPr="00322851">
          <w:rPr>
            <w:rStyle w:val="Hipervnculo"/>
            <w:noProof/>
          </w:rPr>
          <w:t>V.3. Indicadores y magnitudes</w:t>
        </w:r>
        <w:r w:rsidR="00D21054">
          <w:rPr>
            <w:noProof/>
            <w:webHidden/>
          </w:rPr>
          <w:tab/>
        </w:r>
        <w:r w:rsidR="00D21054">
          <w:rPr>
            <w:noProof/>
            <w:webHidden/>
          </w:rPr>
          <w:fldChar w:fldCharType="begin"/>
        </w:r>
        <w:r w:rsidR="00D21054">
          <w:rPr>
            <w:noProof/>
            <w:webHidden/>
          </w:rPr>
          <w:instrText xml:space="preserve"> PAGEREF _Toc24451743 \h </w:instrText>
        </w:r>
        <w:r w:rsidR="00D21054">
          <w:rPr>
            <w:noProof/>
            <w:webHidden/>
          </w:rPr>
        </w:r>
        <w:r w:rsidR="00D21054">
          <w:rPr>
            <w:noProof/>
            <w:webHidden/>
          </w:rPr>
          <w:fldChar w:fldCharType="separate"/>
        </w:r>
        <w:r w:rsidR="00D21054">
          <w:rPr>
            <w:noProof/>
            <w:webHidden/>
          </w:rPr>
          <w:t>17</w:t>
        </w:r>
        <w:r w:rsidR="00D21054">
          <w:rPr>
            <w:noProof/>
            <w:webHidden/>
          </w:rPr>
          <w:fldChar w:fldCharType="end"/>
        </w:r>
      </w:hyperlink>
    </w:p>
    <w:p w:rsidR="00D21054" w:rsidRDefault="00CB1A83">
      <w:pPr>
        <w:pStyle w:val="TDC2"/>
        <w:rPr>
          <w:rFonts w:asciiTheme="minorHAnsi" w:eastAsiaTheme="minorEastAsia" w:hAnsiTheme="minorHAnsi" w:cstheme="minorBidi"/>
          <w:noProof/>
          <w:szCs w:val="22"/>
          <w:lang w:val="es-ES" w:eastAsia="es-ES"/>
        </w:rPr>
      </w:pPr>
      <w:hyperlink w:anchor="_Toc24451744" w:history="1">
        <w:r w:rsidR="00D21054" w:rsidRPr="00322851">
          <w:rPr>
            <w:rStyle w:val="Hipervnculo"/>
            <w:noProof/>
          </w:rPr>
          <w:t>V.4. Objetivos de estabilidad presupuestaria y sostenibilidad financiera</w:t>
        </w:r>
        <w:r w:rsidR="00D21054">
          <w:rPr>
            <w:noProof/>
            <w:webHidden/>
          </w:rPr>
          <w:tab/>
        </w:r>
        <w:r w:rsidR="00D21054">
          <w:rPr>
            <w:noProof/>
            <w:webHidden/>
          </w:rPr>
          <w:fldChar w:fldCharType="begin"/>
        </w:r>
        <w:r w:rsidR="00D21054">
          <w:rPr>
            <w:noProof/>
            <w:webHidden/>
          </w:rPr>
          <w:instrText xml:space="preserve"> PAGEREF _Toc24451744 \h </w:instrText>
        </w:r>
        <w:r w:rsidR="00D21054">
          <w:rPr>
            <w:noProof/>
            <w:webHidden/>
          </w:rPr>
        </w:r>
        <w:r w:rsidR="00D21054">
          <w:rPr>
            <w:noProof/>
            <w:webHidden/>
          </w:rPr>
          <w:fldChar w:fldCharType="separate"/>
        </w:r>
        <w:r w:rsidR="00D21054">
          <w:rPr>
            <w:noProof/>
            <w:webHidden/>
          </w:rPr>
          <w:t>19</w:t>
        </w:r>
        <w:r w:rsidR="00D21054">
          <w:rPr>
            <w:noProof/>
            <w:webHidden/>
          </w:rPr>
          <w:fldChar w:fldCharType="end"/>
        </w:r>
      </w:hyperlink>
    </w:p>
    <w:p w:rsidR="00D21054" w:rsidRDefault="00CB1A83">
      <w:pPr>
        <w:pStyle w:val="TDC1"/>
        <w:rPr>
          <w:rFonts w:asciiTheme="minorHAnsi" w:eastAsiaTheme="minorEastAsia" w:hAnsiTheme="minorHAnsi" w:cstheme="minorBidi"/>
          <w:smallCaps w:val="0"/>
          <w:noProof/>
          <w:szCs w:val="22"/>
          <w:lang w:val="es-ES" w:eastAsia="es-ES"/>
        </w:rPr>
      </w:pPr>
      <w:hyperlink w:anchor="_Toc24451745" w:history="1">
        <w:r w:rsidR="00D21054" w:rsidRPr="00322851">
          <w:rPr>
            <w:rStyle w:val="Hipervnculo"/>
            <w:noProof/>
          </w:rPr>
          <w:t>VI. Contratación administrativa</w:t>
        </w:r>
        <w:r w:rsidR="00D21054">
          <w:rPr>
            <w:noProof/>
            <w:webHidden/>
          </w:rPr>
          <w:tab/>
        </w:r>
        <w:r w:rsidR="00D21054">
          <w:rPr>
            <w:noProof/>
            <w:webHidden/>
          </w:rPr>
          <w:fldChar w:fldCharType="begin"/>
        </w:r>
        <w:r w:rsidR="00D21054">
          <w:rPr>
            <w:noProof/>
            <w:webHidden/>
          </w:rPr>
          <w:instrText xml:space="preserve"> PAGEREF _Toc24451745 \h </w:instrText>
        </w:r>
        <w:r w:rsidR="00D21054">
          <w:rPr>
            <w:noProof/>
            <w:webHidden/>
          </w:rPr>
        </w:r>
        <w:r w:rsidR="00D21054">
          <w:rPr>
            <w:noProof/>
            <w:webHidden/>
          </w:rPr>
          <w:fldChar w:fldCharType="separate"/>
        </w:r>
        <w:r w:rsidR="00D21054">
          <w:rPr>
            <w:noProof/>
            <w:webHidden/>
          </w:rPr>
          <w:t>21</w:t>
        </w:r>
        <w:r w:rsidR="00D21054">
          <w:rPr>
            <w:noProof/>
            <w:webHidden/>
          </w:rPr>
          <w:fldChar w:fldCharType="end"/>
        </w:r>
      </w:hyperlink>
    </w:p>
    <w:p w:rsidR="00D21054" w:rsidRDefault="00CB1A83">
      <w:pPr>
        <w:pStyle w:val="TDC1"/>
        <w:rPr>
          <w:rFonts w:asciiTheme="minorHAnsi" w:eastAsiaTheme="minorEastAsia" w:hAnsiTheme="minorHAnsi" w:cstheme="minorBidi"/>
          <w:smallCaps w:val="0"/>
          <w:noProof/>
          <w:szCs w:val="22"/>
          <w:lang w:val="es-ES" w:eastAsia="es-ES"/>
        </w:rPr>
      </w:pPr>
      <w:hyperlink w:anchor="_Toc24451746" w:history="1">
        <w:r w:rsidR="00D21054" w:rsidRPr="00322851">
          <w:rPr>
            <w:rStyle w:val="Hipervnculo"/>
            <w:noProof/>
          </w:rPr>
          <w:t>VII. Análisis  situación  económico-financiera  ayuntamientos  con  población  superior  a  9.000  habitantes</w:t>
        </w:r>
        <w:r w:rsidR="00D21054">
          <w:rPr>
            <w:noProof/>
            <w:webHidden/>
          </w:rPr>
          <w:tab/>
        </w:r>
        <w:r w:rsidR="00D21054">
          <w:rPr>
            <w:noProof/>
            <w:webHidden/>
          </w:rPr>
          <w:fldChar w:fldCharType="begin"/>
        </w:r>
        <w:r w:rsidR="00D21054">
          <w:rPr>
            <w:noProof/>
            <w:webHidden/>
          </w:rPr>
          <w:instrText xml:space="preserve"> PAGEREF _Toc24451746 \h </w:instrText>
        </w:r>
        <w:r w:rsidR="00D21054">
          <w:rPr>
            <w:noProof/>
            <w:webHidden/>
          </w:rPr>
        </w:r>
        <w:r w:rsidR="00D21054">
          <w:rPr>
            <w:noProof/>
            <w:webHidden/>
          </w:rPr>
          <w:fldChar w:fldCharType="separate"/>
        </w:r>
        <w:r w:rsidR="00D21054">
          <w:rPr>
            <w:noProof/>
            <w:webHidden/>
          </w:rPr>
          <w:t>24</w:t>
        </w:r>
        <w:r w:rsidR="00D21054">
          <w:rPr>
            <w:noProof/>
            <w:webHidden/>
          </w:rPr>
          <w:fldChar w:fldCharType="end"/>
        </w:r>
      </w:hyperlink>
    </w:p>
    <w:p w:rsidR="00D21054" w:rsidRDefault="00CB1A83">
      <w:pPr>
        <w:pStyle w:val="TDC1"/>
        <w:rPr>
          <w:rFonts w:asciiTheme="minorHAnsi" w:eastAsiaTheme="minorEastAsia" w:hAnsiTheme="minorHAnsi" w:cstheme="minorBidi"/>
          <w:smallCaps w:val="0"/>
          <w:noProof/>
          <w:szCs w:val="22"/>
          <w:lang w:val="es-ES" w:eastAsia="es-ES"/>
        </w:rPr>
      </w:pPr>
      <w:hyperlink w:anchor="_Toc24451747" w:history="1">
        <w:r w:rsidR="00D21054" w:rsidRPr="00322851">
          <w:rPr>
            <w:rStyle w:val="Hipervnculo"/>
            <w:noProof/>
          </w:rPr>
          <w:t>VIII. Conclusiones y recomendaciones</w:t>
        </w:r>
        <w:r w:rsidR="00D21054">
          <w:rPr>
            <w:noProof/>
            <w:webHidden/>
          </w:rPr>
          <w:tab/>
        </w:r>
        <w:r w:rsidR="00D21054">
          <w:rPr>
            <w:noProof/>
            <w:webHidden/>
          </w:rPr>
          <w:fldChar w:fldCharType="begin"/>
        </w:r>
        <w:r w:rsidR="00D21054">
          <w:rPr>
            <w:noProof/>
            <w:webHidden/>
          </w:rPr>
          <w:instrText xml:space="preserve"> PAGEREF _Toc24451747 \h </w:instrText>
        </w:r>
        <w:r w:rsidR="00D21054">
          <w:rPr>
            <w:noProof/>
            <w:webHidden/>
          </w:rPr>
        </w:r>
        <w:r w:rsidR="00D21054">
          <w:rPr>
            <w:noProof/>
            <w:webHidden/>
          </w:rPr>
          <w:fldChar w:fldCharType="separate"/>
        </w:r>
        <w:r w:rsidR="00D21054">
          <w:rPr>
            <w:noProof/>
            <w:webHidden/>
          </w:rPr>
          <w:t>27</w:t>
        </w:r>
        <w:r w:rsidR="00D21054">
          <w:rPr>
            <w:noProof/>
            <w:webHidden/>
          </w:rPr>
          <w:fldChar w:fldCharType="end"/>
        </w:r>
      </w:hyperlink>
    </w:p>
    <w:p w:rsidR="00D21054" w:rsidRDefault="00CB1A83">
      <w:pPr>
        <w:pStyle w:val="TDC1"/>
        <w:rPr>
          <w:rFonts w:asciiTheme="minorHAnsi" w:eastAsiaTheme="minorEastAsia" w:hAnsiTheme="minorHAnsi" w:cstheme="minorBidi"/>
          <w:smallCaps w:val="0"/>
          <w:noProof/>
          <w:szCs w:val="22"/>
          <w:lang w:val="es-ES" w:eastAsia="es-ES"/>
        </w:rPr>
      </w:pPr>
      <w:hyperlink w:anchor="_Toc24451748" w:history="1">
        <w:r w:rsidR="00D21054" w:rsidRPr="00322851">
          <w:rPr>
            <w:rStyle w:val="Hipervnculo"/>
            <w:noProof/>
          </w:rPr>
          <w:t>Anexo 1. Normativa aplicable a las entidades locales durante el ejercicio 2017</w:t>
        </w:r>
        <w:r w:rsidR="00D21054">
          <w:rPr>
            <w:noProof/>
            <w:webHidden/>
          </w:rPr>
          <w:tab/>
        </w:r>
        <w:r w:rsidR="00D21054">
          <w:rPr>
            <w:noProof/>
            <w:webHidden/>
          </w:rPr>
          <w:fldChar w:fldCharType="begin"/>
        </w:r>
        <w:r w:rsidR="00D21054">
          <w:rPr>
            <w:noProof/>
            <w:webHidden/>
          </w:rPr>
          <w:instrText xml:space="preserve"> PAGEREF _Toc24451748 \h </w:instrText>
        </w:r>
        <w:r w:rsidR="00D21054">
          <w:rPr>
            <w:noProof/>
            <w:webHidden/>
          </w:rPr>
        </w:r>
        <w:r w:rsidR="00D21054">
          <w:rPr>
            <w:noProof/>
            <w:webHidden/>
          </w:rPr>
          <w:fldChar w:fldCharType="separate"/>
        </w:r>
        <w:r w:rsidR="00D21054">
          <w:rPr>
            <w:noProof/>
            <w:webHidden/>
          </w:rPr>
          <w:t>31</w:t>
        </w:r>
        <w:r w:rsidR="00D21054">
          <w:rPr>
            <w:noProof/>
            <w:webHidden/>
          </w:rPr>
          <w:fldChar w:fldCharType="end"/>
        </w:r>
      </w:hyperlink>
    </w:p>
    <w:p w:rsidR="00D21054" w:rsidRDefault="00CB1A83">
      <w:pPr>
        <w:pStyle w:val="TDC1"/>
        <w:rPr>
          <w:rFonts w:asciiTheme="minorHAnsi" w:eastAsiaTheme="minorEastAsia" w:hAnsiTheme="minorHAnsi" w:cstheme="minorBidi"/>
          <w:smallCaps w:val="0"/>
          <w:noProof/>
          <w:szCs w:val="22"/>
          <w:lang w:val="es-ES" w:eastAsia="es-ES"/>
        </w:rPr>
      </w:pPr>
      <w:hyperlink w:anchor="_Toc24451749" w:history="1">
        <w:r w:rsidR="00D21054" w:rsidRPr="00322851">
          <w:rPr>
            <w:rStyle w:val="Hipervnculo"/>
            <w:noProof/>
          </w:rPr>
          <w:t>Anexo 2. Situación financiera del sector público local de Navarra, año 2017</w:t>
        </w:r>
        <w:r w:rsidR="00D21054">
          <w:rPr>
            <w:noProof/>
            <w:webHidden/>
          </w:rPr>
          <w:tab/>
        </w:r>
        <w:r w:rsidR="00D21054">
          <w:rPr>
            <w:noProof/>
            <w:webHidden/>
          </w:rPr>
          <w:fldChar w:fldCharType="begin"/>
        </w:r>
        <w:r w:rsidR="00D21054">
          <w:rPr>
            <w:noProof/>
            <w:webHidden/>
          </w:rPr>
          <w:instrText xml:space="preserve"> PAGEREF _Toc24451749 \h </w:instrText>
        </w:r>
        <w:r w:rsidR="00D21054">
          <w:rPr>
            <w:noProof/>
            <w:webHidden/>
          </w:rPr>
        </w:r>
        <w:r w:rsidR="00D21054">
          <w:rPr>
            <w:noProof/>
            <w:webHidden/>
          </w:rPr>
          <w:fldChar w:fldCharType="separate"/>
        </w:r>
        <w:r w:rsidR="00D21054">
          <w:rPr>
            <w:noProof/>
            <w:webHidden/>
          </w:rPr>
          <w:t>36</w:t>
        </w:r>
        <w:r w:rsidR="00D21054">
          <w:rPr>
            <w:noProof/>
            <w:webHidden/>
          </w:rPr>
          <w:fldChar w:fldCharType="end"/>
        </w:r>
      </w:hyperlink>
    </w:p>
    <w:p w:rsidR="00891D73" w:rsidRDefault="0014728F" w:rsidP="003C6E1D">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EC4F97" w:rsidRPr="00B4430A" w:rsidRDefault="00EC4F97" w:rsidP="00EC4F97">
      <w:pPr>
        <w:pStyle w:val="atitulo1"/>
      </w:pPr>
      <w:bookmarkStart w:id="1" w:name="_Toc291067874"/>
      <w:bookmarkStart w:id="2" w:name="_Toc121293081"/>
      <w:bookmarkStart w:id="3" w:name="_Toc121292758"/>
      <w:bookmarkStart w:id="4" w:name="_Toc399916257"/>
      <w:bookmarkStart w:id="5" w:name="_Toc465686680"/>
      <w:bookmarkStart w:id="6" w:name="_Toc529773874"/>
      <w:bookmarkStart w:id="7" w:name="_Toc24100135"/>
      <w:bookmarkStart w:id="8" w:name="_Toc24451733"/>
      <w:r w:rsidRPr="00B4430A">
        <w:lastRenderedPageBreak/>
        <w:t>I. Introducción</w:t>
      </w:r>
      <w:bookmarkEnd w:id="1"/>
      <w:bookmarkEnd w:id="2"/>
      <w:bookmarkEnd w:id="3"/>
      <w:bookmarkEnd w:id="4"/>
      <w:bookmarkEnd w:id="5"/>
      <w:bookmarkEnd w:id="6"/>
      <w:bookmarkEnd w:id="7"/>
      <w:bookmarkEnd w:id="8"/>
    </w:p>
    <w:p w:rsidR="00EC4F97" w:rsidRPr="00B4430A" w:rsidRDefault="00EC4F97" w:rsidP="00EC4F97">
      <w:pPr>
        <w:pStyle w:val="texto"/>
      </w:pPr>
      <w:r w:rsidRPr="00B4430A">
        <w:t>El informe sobre el sector público local de Navarra se realiza, de acuerdo con la Ley Foral 19/1984, de 20 de diciembre, reguladora de la Cámara de Comptos, en cumplimiento de la Ley Foral 6/1990, de 2 de julio, de la Adm</w:t>
      </w:r>
      <w:r w:rsidRPr="00B4430A">
        <w:t>i</w:t>
      </w:r>
      <w:r w:rsidRPr="00B4430A">
        <w:t>nistración Local de Navarra. Así, el artículo 350.2 de dicha ley establece la obligación de remitir anualmente al Parlamento y al Gobierno de Navarra una memoria-resumen de las actuaciones de fiscalización y control de la Cámara de Comptos en el ámbito de las entidades locales de Navarra.</w:t>
      </w:r>
    </w:p>
    <w:p w:rsidR="00EC4F97" w:rsidRDefault="00EC4F97" w:rsidP="00EC4F97">
      <w:pPr>
        <w:pStyle w:val="texto"/>
      </w:pPr>
      <w:r w:rsidRPr="00B4430A">
        <w:t>Los plazos establecidos en la Ley Foral de Haciendas Locales para la apr</w:t>
      </w:r>
      <w:r w:rsidRPr="00B4430A">
        <w:t>o</w:t>
      </w:r>
      <w:r w:rsidRPr="00B4430A">
        <w:t>bación y remisión al Gobierno de la cuenta general de cada ejercicio por las e</w:t>
      </w:r>
      <w:r w:rsidRPr="00B4430A">
        <w:t>n</w:t>
      </w:r>
      <w:r w:rsidRPr="00B4430A">
        <w:t>tidades locales</w:t>
      </w:r>
      <w:r>
        <w:t>,</w:t>
      </w:r>
      <w:r w:rsidRPr="00B4430A">
        <w:t xml:space="preserve"> y la complejidad del tratamiento de dicha información, explican que el informe</w:t>
      </w:r>
      <w:r>
        <w:t xml:space="preserve"> relativo al ejercicio de 2017</w:t>
      </w:r>
      <w:r w:rsidRPr="00B4430A">
        <w:t xml:space="preserve"> no pueda realizarse con anterior</w:t>
      </w:r>
      <w:r w:rsidRPr="00B4430A">
        <w:t>i</w:t>
      </w:r>
      <w:r w:rsidRPr="00B4430A">
        <w:t>dad.</w:t>
      </w:r>
    </w:p>
    <w:p w:rsidR="00EC4F97" w:rsidRDefault="00EC4F97" w:rsidP="00EC4F97">
      <w:pPr>
        <w:pStyle w:val="texto"/>
      </w:pPr>
      <w:r>
        <w:t>El informe se estructura en ocho epígrafes, incluyendo esta introducción. En el segundo, mostramos la estructura organizativa del sector público local y la principal normativa aprobada en 2017.  En el tercero mostramos los objetivos, alcance y limitaciones del trabajo realizado. En los epígrafes cuarto a séptimo se incluyen los siguientes aspectos relativos a 2017: memoria de las actuaci</w:t>
      </w:r>
      <w:r>
        <w:t>o</w:t>
      </w:r>
      <w:r>
        <w:t>nes de fiscalización de la Cámara de Comptos sobre el sector público local, s</w:t>
      </w:r>
      <w:r>
        <w:t>i</w:t>
      </w:r>
      <w:r>
        <w:t>tuación financiera del mismo, contratación administrativa de las entidades loc</w:t>
      </w:r>
      <w:r>
        <w:t>a</w:t>
      </w:r>
      <w:r>
        <w:t>les y análisis de diversos aspectos referidos a los ayuntamientos con población superior a 9.000 habitantes. El último epígrafe incluye las conclusiones y r</w:t>
      </w:r>
      <w:r>
        <w:t>e</w:t>
      </w:r>
      <w:r>
        <w:t>comendaciones del trabajo realizado. El informe se acompaña, además, de dos anexos que contienen la normativa aplicable a las entidades locales de Navarra en 2017 y el informe elaborado por la Dirección General de Administración Local y Despoblación del Gobierno de Navarra sobre la situación financiera del sector público local en 2017.</w:t>
      </w:r>
    </w:p>
    <w:p w:rsidR="00EC4F97" w:rsidRPr="00B4430A" w:rsidRDefault="00EC4F97" w:rsidP="00EC4F97">
      <w:pPr>
        <w:pStyle w:val="texto"/>
      </w:pPr>
      <w:r w:rsidRPr="00B4430A">
        <w:t xml:space="preserve">El trabajo lo realizó </w:t>
      </w:r>
      <w:r>
        <w:t>en el mes</w:t>
      </w:r>
      <w:r w:rsidRPr="00B4430A">
        <w:t xml:space="preserve"> de </w:t>
      </w:r>
      <w:r>
        <w:t xml:space="preserve">octubre de 2019 </w:t>
      </w:r>
      <w:r w:rsidRPr="00B4430A">
        <w:t>un equipo integrado por un</w:t>
      </w:r>
      <w:r>
        <w:t>a</w:t>
      </w:r>
      <w:r w:rsidRPr="00B4430A">
        <w:t xml:space="preserve"> técnic</w:t>
      </w:r>
      <w:r>
        <w:t>a</w:t>
      </w:r>
      <w:r w:rsidRPr="00B4430A">
        <w:t xml:space="preserve"> de auditoría y una auditora, con la colaboración de los servicios j</w:t>
      </w:r>
      <w:r w:rsidRPr="00B4430A">
        <w:t>u</w:t>
      </w:r>
      <w:r w:rsidRPr="00B4430A">
        <w:t>rídicos, informáticos y administrativos de la Cámara de Comptos.</w:t>
      </w:r>
    </w:p>
    <w:p w:rsidR="00EC4F97" w:rsidRPr="00B4430A" w:rsidRDefault="00EC4F97" w:rsidP="00EC4F97">
      <w:pPr>
        <w:pStyle w:val="texto"/>
      </w:pPr>
      <w:r w:rsidRPr="00B4430A">
        <w:t>Agradecemos al personal de las entidades locales de Navarra, de la Dire</w:t>
      </w:r>
      <w:r w:rsidRPr="00B4430A">
        <w:t>c</w:t>
      </w:r>
      <w:r w:rsidRPr="00B4430A">
        <w:t xml:space="preserve">ción General de Administración Local </w:t>
      </w:r>
      <w:r>
        <w:t xml:space="preserve">y Despoblación </w:t>
      </w:r>
      <w:r w:rsidRPr="00B4430A">
        <w:t>y de la Federación N</w:t>
      </w:r>
      <w:r w:rsidRPr="00B4430A">
        <w:t>a</w:t>
      </w:r>
      <w:r w:rsidRPr="00B4430A">
        <w:t>varra de Municipios y Concejos, la colaboración prestada en la realización del presente trabajo.</w:t>
      </w:r>
    </w:p>
    <w:p w:rsidR="00EC4F97" w:rsidRPr="0029563D" w:rsidRDefault="00EC4F97" w:rsidP="00EC4F97">
      <w:pPr>
        <w:pStyle w:val="texto"/>
        <w:rPr>
          <w:color w:val="FF0000"/>
        </w:rPr>
      </w:pPr>
      <w:r w:rsidRPr="0029563D">
        <w:rPr>
          <w:color w:val="FF0000"/>
          <w:spacing w:val="0"/>
          <w:sz w:val="20"/>
          <w:szCs w:val="20"/>
          <w:highlight w:val="yellow"/>
        </w:rPr>
        <w:br w:type="page"/>
      </w:r>
    </w:p>
    <w:p w:rsidR="00EC4F97" w:rsidRPr="00F57538" w:rsidRDefault="00EC4F97" w:rsidP="00EC4F97">
      <w:pPr>
        <w:pStyle w:val="atitulo1"/>
      </w:pPr>
      <w:bookmarkStart w:id="9" w:name="_Toc311633164"/>
      <w:bookmarkStart w:id="10" w:name="_Toc311633173"/>
      <w:bookmarkStart w:id="11" w:name="_Toc399916259"/>
      <w:bookmarkStart w:id="12" w:name="_Toc465686682"/>
      <w:bookmarkStart w:id="13" w:name="_Toc529773876"/>
      <w:bookmarkStart w:id="14" w:name="_Toc24100136"/>
      <w:bookmarkStart w:id="15" w:name="_Toc24451734"/>
      <w:r w:rsidRPr="00F57538">
        <w:lastRenderedPageBreak/>
        <w:t xml:space="preserve">II. Estructura organizativa y normativa del </w:t>
      </w:r>
      <w:r>
        <w:t>s</w:t>
      </w:r>
      <w:r w:rsidRPr="00F57538">
        <w:t xml:space="preserve">ector </w:t>
      </w:r>
      <w:r>
        <w:t>p</w:t>
      </w:r>
      <w:r w:rsidRPr="00F57538">
        <w:t xml:space="preserve">úblico </w:t>
      </w:r>
      <w:r>
        <w:t>l</w:t>
      </w:r>
      <w:r w:rsidRPr="00F57538">
        <w:t>ocal</w:t>
      </w:r>
      <w:bookmarkEnd w:id="9"/>
      <w:bookmarkEnd w:id="10"/>
      <w:bookmarkEnd w:id="11"/>
      <w:bookmarkEnd w:id="12"/>
      <w:bookmarkEnd w:id="13"/>
      <w:bookmarkEnd w:id="14"/>
      <w:bookmarkEnd w:id="15"/>
    </w:p>
    <w:p w:rsidR="00EC4F97" w:rsidRPr="00F57538" w:rsidRDefault="00EC4F97" w:rsidP="00EC4F97">
      <w:pPr>
        <w:pStyle w:val="atitulo2"/>
        <w:spacing w:before="240"/>
      </w:pPr>
      <w:bookmarkStart w:id="16" w:name="_Toc291067877"/>
      <w:bookmarkStart w:id="17" w:name="_Toc399916260"/>
      <w:bookmarkStart w:id="18" w:name="_Toc465686683"/>
      <w:bookmarkStart w:id="19" w:name="_Toc529773877"/>
      <w:bookmarkStart w:id="20" w:name="_Toc531088343"/>
      <w:bookmarkStart w:id="21" w:name="_Toc24100137"/>
      <w:bookmarkStart w:id="22" w:name="_Toc24451735"/>
      <w:r w:rsidRPr="00F57538">
        <w:t>II.1. Estructura organizativa</w:t>
      </w:r>
      <w:bookmarkEnd w:id="16"/>
      <w:bookmarkEnd w:id="17"/>
      <w:bookmarkEnd w:id="18"/>
      <w:bookmarkEnd w:id="19"/>
      <w:bookmarkEnd w:id="20"/>
      <w:bookmarkEnd w:id="21"/>
      <w:bookmarkEnd w:id="22"/>
    </w:p>
    <w:p w:rsidR="00EC4F97" w:rsidRPr="00B122DA" w:rsidRDefault="00EC4F97" w:rsidP="00EC4F97">
      <w:pPr>
        <w:pStyle w:val="texto"/>
      </w:pPr>
      <w:r w:rsidRPr="00B122DA">
        <w:t>El sector público local se organiza conforme a lo establecido en la Ley Foral 6/1990, de 2 de julio, de la Administración Local de Navarra.</w:t>
      </w:r>
    </w:p>
    <w:p w:rsidR="00EC4F97" w:rsidRPr="00B122DA" w:rsidRDefault="00EC4F97" w:rsidP="00EC4F97">
      <w:pPr>
        <w:pStyle w:val="texto"/>
      </w:pPr>
      <w:r w:rsidRPr="00B122DA">
        <w:t xml:space="preserve">Los municipios son las entidades locales básicas de organización territorial. Además de </w:t>
      </w:r>
      <w:r>
        <w:t>e</w:t>
      </w:r>
      <w:r w:rsidRPr="00B122DA">
        <w:t>stos, también tienen la condición de entes locales:</w:t>
      </w:r>
    </w:p>
    <w:p w:rsidR="00EC4F97" w:rsidRPr="00685FA2"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85FA2">
        <w:rPr>
          <w:rFonts w:cs="Arial"/>
        </w:rPr>
        <w:t>Los concejos: entidades locales enclavadas en el término de un municipio, con población y ámbit</w:t>
      </w:r>
      <w:r>
        <w:rPr>
          <w:rFonts w:cs="Arial"/>
        </w:rPr>
        <w:t>o territorial inferiores al de é</w:t>
      </w:r>
      <w:r w:rsidRPr="00685FA2">
        <w:rPr>
          <w:rFonts w:cs="Arial"/>
        </w:rPr>
        <w:t>ste.</w:t>
      </w:r>
    </w:p>
    <w:p w:rsidR="00EC4F97" w:rsidRPr="00685FA2"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85FA2">
        <w:rPr>
          <w:rFonts w:cs="Arial"/>
        </w:rPr>
        <w:t>Las corporaciones de carácter tradicional titulares o administradoras de bienes comunales: Comunidad de Bardenas Reales, Comunidad del Valle de Aezkoa, Mancomunidad del Valle de Roncal</w:t>
      </w:r>
      <w:r>
        <w:rPr>
          <w:rFonts w:cs="Arial"/>
        </w:rPr>
        <w:t>,</w:t>
      </w:r>
      <w:r w:rsidRPr="00685FA2">
        <w:rPr>
          <w:rFonts w:cs="Arial"/>
        </w:rPr>
        <w:t xml:space="preserve"> Universidad del Valle de Salazar</w:t>
      </w:r>
      <w:r>
        <w:rPr>
          <w:rFonts w:cs="Arial"/>
        </w:rPr>
        <w:t xml:space="preserve"> y el resto de corporaciones existentes</w:t>
      </w:r>
      <w:r w:rsidRPr="00685FA2">
        <w:rPr>
          <w:rFonts w:cs="Arial"/>
        </w:rPr>
        <w:t>.</w:t>
      </w:r>
    </w:p>
    <w:p w:rsidR="00EC4F97" w:rsidRPr="00685FA2"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85FA2">
        <w:rPr>
          <w:rFonts w:cs="Arial"/>
        </w:rPr>
        <w:t>Las mancomunidades o asociaciones de varios municipios para la ejec</w:t>
      </w:r>
      <w:r w:rsidRPr="00685FA2">
        <w:rPr>
          <w:rFonts w:cs="Arial"/>
        </w:rPr>
        <w:t>u</w:t>
      </w:r>
      <w:r w:rsidRPr="00685FA2">
        <w:rPr>
          <w:rFonts w:cs="Arial"/>
        </w:rPr>
        <w:t>ción en común de obras y para la prestación de determinados servicios.</w:t>
      </w:r>
    </w:p>
    <w:p w:rsidR="00EC4F97" w:rsidRPr="00685FA2"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85FA2">
        <w:rPr>
          <w:rFonts w:cs="Arial"/>
        </w:rPr>
        <w:t>Las agrupaciones de municipios cuyas características determinan la prest</w:t>
      </w:r>
      <w:r w:rsidRPr="00685FA2">
        <w:rPr>
          <w:rFonts w:cs="Arial"/>
        </w:rPr>
        <w:t>a</w:t>
      </w:r>
      <w:r w:rsidRPr="00685FA2">
        <w:rPr>
          <w:rFonts w:cs="Arial"/>
        </w:rPr>
        <w:t>ción de servicios comunes a todos ellos.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85FA2">
        <w:rPr>
          <w:rFonts w:cs="Arial"/>
        </w:rPr>
        <w:t>Los distritos administrativos constituidos con carácter voluntario por m</w:t>
      </w:r>
      <w:r w:rsidRPr="00685FA2">
        <w:rPr>
          <w:rFonts w:cs="Arial"/>
        </w:rPr>
        <w:t>u</w:t>
      </w:r>
      <w:r w:rsidRPr="00685FA2">
        <w:rPr>
          <w:rFonts w:cs="Arial"/>
        </w:rPr>
        <w:t>nicipios de carácter rural que no alcanzan la población de 5.000 habitantes.</w:t>
      </w:r>
    </w:p>
    <w:p w:rsidR="00EC4F97" w:rsidRPr="00173388" w:rsidRDefault="00EC4F97" w:rsidP="00EC4F97">
      <w:pPr>
        <w:numPr>
          <w:ilvl w:val="0"/>
          <w:numId w:val="2"/>
        </w:numPr>
        <w:tabs>
          <w:tab w:val="clear" w:pos="1948"/>
          <w:tab w:val="left" w:pos="480"/>
          <w:tab w:val="num" w:pos="600"/>
          <w:tab w:val="num" w:pos="644"/>
          <w:tab w:val="num" w:pos="720"/>
          <w:tab w:val="num" w:pos="5040"/>
        </w:tabs>
        <w:ind w:left="0" w:firstLine="290"/>
        <w:rPr>
          <w:rFonts w:cs="Arial"/>
          <w:spacing w:val="6"/>
          <w:sz w:val="26"/>
          <w:szCs w:val="24"/>
        </w:rPr>
      </w:pPr>
      <w:r w:rsidRPr="00E540E2">
        <w:rPr>
          <w:rFonts w:cs="Arial"/>
          <w:spacing w:val="6"/>
          <w:sz w:val="26"/>
          <w:szCs w:val="24"/>
        </w:rPr>
        <w:t>Consorcio local:</w:t>
      </w:r>
      <w:r>
        <w:rPr>
          <w:rFonts w:cs="Arial"/>
        </w:rPr>
        <w:t xml:space="preserve"> </w:t>
      </w:r>
      <w:r w:rsidRPr="00173388">
        <w:rPr>
          <w:rFonts w:cs="Arial"/>
          <w:spacing w:val="6"/>
          <w:sz w:val="26"/>
          <w:szCs w:val="24"/>
        </w:rPr>
        <w:t xml:space="preserve">desde diciembre de 2014 y mediante </w:t>
      </w:r>
      <w:r>
        <w:rPr>
          <w:rFonts w:cs="Arial"/>
          <w:spacing w:val="6"/>
          <w:sz w:val="26"/>
          <w:szCs w:val="24"/>
        </w:rPr>
        <w:t xml:space="preserve">Ley Foral 23/2014 de </w:t>
      </w:r>
      <w:r w:rsidRPr="00173388">
        <w:rPr>
          <w:rFonts w:cs="Arial"/>
          <w:spacing w:val="6"/>
          <w:sz w:val="26"/>
          <w:szCs w:val="24"/>
        </w:rPr>
        <w:t>modificación de la L</w:t>
      </w:r>
      <w:r>
        <w:rPr>
          <w:rFonts w:cs="Arial"/>
          <w:spacing w:val="6"/>
          <w:sz w:val="26"/>
          <w:szCs w:val="24"/>
        </w:rPr>
        <w:t>ey Foral de Administración Local,</w:t>
      </w:r>
      <w:r w:rsidRPr="00173388">
        <w:rPr>
          <w:rFonts w:cs="Arial"/>
          <w:spacing w:val="6"/>
          <w:sz w:val="26"/>
          <w:szCs w:val="24"/>
        </w:rPr>
        <w:t xml:space="preserve"> se incluyó a los conso</w:t>
      </w:r>
      <w:r w:rsidRPr="00173388">
        <w:rPr>
          <w:rFonts w:cs="Arial"/>
          <w:spacing w:val="6"/>
          <w:sz w:val="26"/>
          <w:szCs w:val="24"/>
        </w:rPr>
        <w:t>r</w:t>
      </w:r>
      <w:r w:rsidRPr="00173388">
        <w:rPr>
          <w:rFonts w:cs="Arial"/>
          <w:spacing w:val="6"/>
          <w:sz w:val="26"/>
          <w:szCs w:val="24"/>
        </w:rPr>
        <w:t>cios como un tipo de entidad local. Ahora bien, esta consideración como ent</w:t>
      </w:r>
      <w:r w:rsidRPr="00173388">
        <w:rPr>
          <w:rFonts w:cs="Arial"/>
          <w:spacing w:val="6"/>
          <w:sz w:val="26"/>
          <w:szCs w:val="24"/>
        </w:rPr>
        <w:t>i</w:t>
      </w:r>
      <w:r w:rsidRPr="00173388">
        <w:rPr>
          <w:rFonts w:cs="Arial"/>
          <w:spacing w:val="6"/>
          <w:sz w:val="26"/>
          <w:szCs w:val="24"/>
        </w:rPr>
        <w:t xml:space="preserve">dad local suscitó un conflicto con el Estado; </w:t>
      </w:r>
      <w:r>
        <w:rPr>
          <w:rFonts w:cs="Arial"/>
          <w:spacing w:val="6"/>
          <w:sz w:val="26"/>
          <w:szCs w:val="24"/>
        </w:rPr>
        <w:t xml:space="preserve">posteriormente, la </w:t>
      </w:r>
      <w:r w:rsidRPr="00173388">
        <w:rPr>
          <w:rFonts w:cs="Arial"/>
          <w:spacing w:val="6"/>
          <w:sz w:val="26"/>
          <w:szCs w:val="24"/>
        </w:rPr>
        <w:t>Junta de Coop</w:t>
      </w:r>
      <w:r w:rsidRPr="00173388">
        <w:rPr>
          <w:rFonts w:cs="Arial"/>
          <w:spacing w:val="6"/>
          <w:sz w:val="26"/>
          <w:szCs w:val="24"/>
        </w:rPr>
        <w:t>e</w:t>
      </w:r>
      <w:r w:rsidRPr="00173388">
        <w:rPr>
          <w:rFonts w:cs="Arial"/>
          <w:spacing w:val="6"/>
          <w:sz w:val="26"/>
          <w:szCs w:val="24"/>
        </w:rPr>
        <w:t>ración Administración General del Estado-Comunidad Foral de Navarr</w:t>
      </w:r>
      <w:r>
        <w:rPr>
          <w:rFonts w:cs="Arial"/>
          <w:spacing w:val="6"/>
          <w:sz w:val="26"/>
          <w:szCs w:val="24"/>
        </w:rPr>
        <w:t>a a</w:t>
      </w:r>
      <w:r w:rsidRPr="00173388">
        <w:rPr>
          <w:rFonts w:cs="Arial"/>
          <w:spacing w:val="6"/>
          <w:sz w:val="26"/>
          <w:szCs w:val="24"/>
        </w:rPr>
        <w:t>doptó el siguiente acuerdo</w:t>
      </w:r>
      <w:r>
        <w:rPr>
          <w:rFonts w:cs="Arial"/>
          <w:spacing w:val="6"/>
          <w:sz w:val="26"/>
          <w:szCs w:val="24"/>
        </w:rPr>
        <w:t xml:space="preserve"> el 9 de septiembre de 2015</w:t>
      </w:r>
      <w:r w:rsidRPr="00173388">
        <w:rPr>
          <w:rFonts w:cs="Arial"/>
          <w:spacing w:val="6"/>
          <w:sz w:val="26"/>
          <w:szCs w:val="24"/>
        </w:rPr>
        <w:t>:</w:t>
      </w:r>
    </w:p>
    <w:p w:rsidR="00EC4F97" w:rsidRDefault="00EC4F97" w:rsidP="00EC4F97">
      <w:pPr>
        <w:pStyle w:val="texto"/>
        <w:spacing w:after="240"/>
        <w:rPr>
          <w:i/>
          <w:sz w:val="22"/>
          <w:szCs w:val="22"/>
        </w:rPr>
      </w:pPr>
      <w:r w:rsidRPr="003A7EC4">
        <w:rPr>
          <w:i/>
          <w:sz w:val="22"/>
          <w:szCs w:val="22"/>
        </w:rPr>
        <w:t>“a) Los art. 3.1.f; 212.4 y 5 de la Ley Foral 23/2014 atribuyen a los consorcios locales de Navarra la condición de entidad local. La Comunidad Foral de Navarra se compromete a modificar esta legislación de modo que dicha norma se adecúe a lo dispuesto por Dispos</w:t>
      </w:r>
      <w:r w:rsidRPr="003A7EC4">
        <w:rPr>
          <w:i/>
          <w:sz w:val="22"/>
          <w:szCs w:val="22"/>
        </w:rPr>
        <w:t>i</w:t>
      </w:r>
      <w:r w:rsidRPr="003A7EC4">
        <w:rPr>
          <w:i/>
          <w:sz w:val="22"/>
          <w:szCs w:val="22"/>
        </w:rPr>
        <w:t>ción Final segunda de la Ley 27/2013, de 27 de diciembre, de Racionalización y Sostenibil</w:t>
      </w:r>
      <w:r w:rsidRPr="003A7EC4">
        <w:rPr>
          <w:i/>
          <w:sz w:val="22"/>
          <w:szCs w:val="22"/>
        </w:rPr>
        <w:t>i</w:t>
      </w:r>
      <w:r w:rsidRPr="003A7EC4">
        <w:rPr>
          <w:i/>
          <w:sz w:val="22"/>
          <w:szCs w:val="22"/>
        </w:rPr>
        <w:t>dad de la Administración Local</w:t>
      </w:r>
      <w:r>
        <w:rPr>
          <w:i/>
          <w:sz w:val="22"/>
          <w:szCs w:val="22"/>
        </w:rPr>
        <w:t xml:space="preserve"> </w:t>
      </w:r>
      <w:r w:rsidRPr="003A7EC4">
        <w:rPr>
          <w:i/>
          <w:sz w:val="22"/>
          <w:szCs w:val="22"/>
        </w:rPr>
        <w:t>que determina que cada consorcio se encuentra adscrito a una administración pública, y demás legislación básica estatal, de manera que no se atrib</w:t>
      </w:r>
      <w:r w:rsidRPr="003A7EC4">
        <w:rPr>
          <w:i/>
          <w:sz w:val="22"/>
          <w:szCs w:val="22"/>
        </w:rPr>
        <w:t>u</w:t>
      </w:r>
      <w:r w:rsidRPr="003A7EC4">
        <w:rPr>
          <w:i/>
          <w:sz w:val="22"/>
          <w:szCs w:val="22"/>
        </w:rPr>
        <w:t>ya la condición de entidades locales de Navarra a los consorcios locales.”</w:t>
      </w:r>
    </w:p>
    <w:p w:rsidR="00EC4F97" w:rsidRDefault="00EC4F97" w:rsidP="00EC4F97">
      <w:pPr>
        <w:pStyle w:val="texto"/>
        <w:tabs>
          <w:tab w:val="clear" w:pos="2835"/>
          <w:tab w:val="center" w:pos="0"/>
        </w:tabs>
        <w:ind w:firstLine="426"/>
      </w:pPr>
      <w:r>
        <w:rPr>
          <w:rFonts w:cs="Arial"/>
        </w:rPr>
        <w:t>La</w:t>
      </w:r>
      <w:r w:rsidRPr="0091137D">
        <w:rPr>
          <w:rFonts w:cs="Arial"/>
        </w:rPr>
        <w:t xml:space="preserve"> aprobación de la Ley Foral 4/2019</w:t>
      </w:r>
      <w:r>
        <w:rPr>
          <w:rFonts w:cs="Arial"/>
        </w:rPr>
        <w:t>, de 4 de febrero, de R</w:t>
      </w:r>
      <w:r w:rsidRPr="0091137D">
        <w:rPr>
          <w:rFonts w:cs="Arial"/>
        </w:rPr>
        <w:t xml:space="preserve">eforma de la Administración Local de Navarra </w:t>
      </w:r>
      <w:r>
        <w:rPr>
          <w:rFonts w:cs="Arial"/>
        </w:rPr>
        <w:t>ha supuesto la supresión de los consorcios como entidades locales, con lo que se ha dado cumplimiento al compromiso a</w:t>
      </w:r>
      <w:r>
        <w:rPr>
          <w:rFonts w:cs="Arial"/>
        </w:rPr>
        <w:t>n</w:t>
      </w:r>
      <w:r>
        <w:rPr>
          <w:rFonts w:cs="Arial"/>
        </w:rPr>
        <w:t xml:space="preserve">tes citado adquirido por la Comunidad Foral de </w:t>
      </w:r>
      <w:r w:rsidRPr="00CB39B5">
        <w:rPr>
          <w:rFonts w:cs="Arial"/>
        </w:rPr>
        <w:t>Navarra</w:t>
      </w:r>
      <w:r>
        <w:rPr>
          <w:rFonts w:cs="Arial"/>
        </w:rPr>
        <w:t>.</w:t>
      </w:r>
    </w:p>
    <w:p w:rsidR="00EC4F97" w:rsidRDefault="00EC4F97" w:rsidP="00EC4F97">
      <w:pPr>
        <w:pStyle w:val="texto"/>
        <w:spacing w:after="240"/>
      </w:pPr>
    </w:p>
    <w:p w:rsidR="00EC4F97" w:rsidRDefault="00EC4F97" w:rsidP="00EC4F97">
      <w:pPr>
        <w:pStyle w:val="texto"/>
        <w:spacing w:after="240"/>
      </w:pPr>
      <w:r w:rsidRPr="00B122DA">
        <w:lastRenderedPageBreak/>
        <w:t>El número de entidades locales a 31 de diciembre de 201</w:t>
      </w:r>
      <w:r>
        <w:t>7</w:t>
      </w:r>
      <w:r w:rsidRPr="00B122DA">
        <w:t xml:space="preserve"> y su comparación con las existentes en años anteriores es:</w:t>
      </w:r>
    </w:p>
    <w:tbl>
      <w:tblPr>
        <w:tblW w:w="5012" w:type="pct"/>
        <w:jc w:val="center"/>
        <w:tblInd w:w="162" w:type="dxa"/>
        <w:tblCellMar>
          <w:left w:w="70" w:type="dxa"/>
          <w:right w:w="70" w:type="dxa"/>
        </w:tblCellMar>
        <w:tblLook w:val="0000" w:firstRow="0" w:lastRow="0" w:firstColumn="0" w:lastColumn="0" w:noHBand="0" w:noVBand="0"/>
      </w:tblPr>
      <w:tblGrid>
        <w:gridCol w:w="2204"/>
        <w:gridCol w:w="1221"/>
        <w:gridCol w:w="1393"/>
        <w:gridCol w:w="1391"/>
        <w:gridCol w:w="1391"/>
        <w:gridCol w:w="1350"/>
      </w:tblGrid>
      <w:tr w:rsidR="00741F9A" w:rsidRPr="00365D06" w:rsidTr="00741F9A">
        <w:trPr>
          <w:jc w:val="center"/>
        </w:trPr>
        <w:tc>
          <w:tcPr>
            <w:tcW w:w="1232" w:type="pct"/>
            <w:tcBorders>
              <w:top w:val="single" w:sz="4" w:space="0" w:color="auto"/>
              <w:bottom w:val="single" w:sz="4" w:space="0" w:color="auto"/>
            </w:tcBorders>
            <w:shd w:val="clear" w:color="auto" w:fill="FBD4B4"/>
            <w:vAlign w:val="center"/>
          </w:tcPr>
          <w:p w:rsidR="00741F9A" w:rsidRPr="00365D06" w:rsidRDefault="00741F9A" w:rsidP="006746C8">
            <w:pPr>
              <w:autoSpaceDE w:val="0"/>
              <w:autoSpaceDN w:val="0"/>
              <w:adjustRightInd w:val="0"/>
              <w:spacing w:beforeLines="20" w:before="48" w:afterLines="20" w:after="48"/>
              <w:ind w:left="18" w:firstLine="0"/>
              <w:rPr>
                <w:rFonts w:ascii="Arial" w:hAnsi="Arial" w:cs="Arial"/>
                <w:iCs/>
                <w:sz w:val="18"/>
                <w:szCs w:val="18"/>
              </w:rPr>
            </w:pPr>
            <w:r w:rsidRPr="00365D06">
              <w:rPr>
                <w:rFonts w:ascii="Arial" w:hAnsi="Arial" w:cs="Arial"/>
                <w:iCs/>
                <w:sz w:val="18"/>
                <w:szCs w:val="18"/>
              </w:rPr>
              <w:t>Entidad Local</w:t>
            </w:r>
          </w:p>
        </w:tc>
        <w:tc>
          <w:tcPr>
            <w:tcW w:w="682" w:type="pct"/>
            <w:tcBorders>
              <w:top w:val="single" w:sz="4" w:space="0" w:color="auto"/>
              <w:bottom w:val="single" w:sz="4" w:space="0" w:color="auto"/>
            </w:tcBorders>
            <w:shd w:val="clear" w:color="auto" w:fill="FBD4B4"/>
            <w:vAlign w:val="center"/>
          </w:tcPr>
          <w:p w:rsidR="00741F9A" w:rsidRPr="00365D06" w:rsidRDefault="00741F9A" w:rsidP="006746C8">
            <w:pPr>
              <w:autoSpaceDE w:val="0"/>
              <w:autoSpaceDN w:val="0"/>
              <w:adjustRightInd w:val="0"/>
              <w:spacing w:beforeLines="20" w:before="48" w:afterLines="20" w:after="48"/>
              <w:ind w:left="-875" w:firstLine="893"/>
              <w:jc w:val="right"/>
              <w:rPr>
                <w:rFonts w:ascii="Arial" w:hAnsi="Arial" w:cs="Arial"/>
                <w:iCs/>
                <w:sz w:val="18"/>
                <w:szCs w:val="18"/>
              </w:rPr>
            </w:pPr>
            <w:r w:rsidRPr="00365D06">
              <w:rPr>
                <w:rFonts w:ascii="Arial" w:hAnsi="Arial" w:cs="Arial"/>
                <w:iCs/>
                <w:sz w:val="18"/>
                <w:szCs w:val="18"/>
              </w:rPr>
              <w:t>2013</w:t>
            </w:r>
          </w:p>
        </w:tc>
        <w:tc>
          <w:tcPr>
            <w:tcW w:w="778" w:type="pct"/>
            <w:tcBorders>
              <w:top w:val="single" w:sz="4" w:space="0" w:color="auto"/>
              <w:bottom w:val="single" w:sz="4" w:space="0" w:color="auto"/>
            </w:tcBorders>
            <w:shd w:val="clear" w:color="auto" w:fill="FBD4B4"/>
            <w:vAlign w:val="center"/>
          </w:tcPr>
          <w:p w:rsidR="00741F9A" w:rsidRPr="00365D06" w:rsidRDefault="00741F9A" w:rsidP="006746C8">
            <w:pPr>
              <w:autoSpaceDE w:val="0"/>
              <w:autoSpaceDN w:val="0"/>
              <w:adjustRightInd w:val="0"/>
              <w:spacing w:beforeLines="20" w:before="48" w:afterLines="20" w:after="48"/>
              <w:ind w:left="18" w:firstLine="0"/>
              <w:jc w:val="right"/>
              <w:rPr>
                <w:rFonts w:ascii="Arial" w:hAnsi="Arial" w:cs="Arial"/>
                <w:iCs/>
                <w:sz w:val="18"/>
                <w:szCs w:val="18"/>
              </w:rPr>
            </w:pPr>
            <w:r w:rsidRPr="00365D06">
              <w:rPr>
                <w:rFonts w:ascii="Arial" w:hAnsi="Arial" w:cs="Arial"/>
                <w:iCs/>
                <w:sz w:val="18"/>
                <w:szCs w:val="18"/>
              </w:rPr>
              <w:t>2014</w:t>
            </w:r>
          </w:p>
        </w:tc>
        <w:tc>
          <w:tcPr>
            <w:tcW w:w="777" w:type="pct"/>
            <w:tcBorders>
              <w:top w:val="single" w:sz="4" w:space="0" w:color="auto"/>
              <w:bottom w:val="single" w:sz="4" w:space="0" w:color="auto"/>
            </w:tcBorders>
            <w:shd w:val="clear" w:color="auto" w:fill="FBD4B4"/>
            <w:vAlign w:val="center"/>
          </w:tcPr>
          <w:p w:rsidR="00741F9A" w:rsidRPr="00365D06" w:rsidRDefault="00741F9A" w:rsidP="006746C8">
            <w:pPr>
              <w:autoSpaceDE w:val="0"/>
              <w:autoSpaceDN w:val="0"/>
              <w:adjustRightInd w:val="0"/>
              <w:spacing w:beforeLines="20" w:before="48" w:afterLines="20" w:after="48"/>
              <w:ind w:left="18" w:firstLine="0"/>
              <w:jc w:val="right"/>
              <w:rPr>
                <w:rFonts w:ascii="Arial" w:hAnsi="Arial" w:cs="Arial"/>
                <w:iCs/>
                <w:sz w:val="18"/>
                <w:szCs w:val="18"/>
              </w:rPr>
            </w:pPr>
            <w:r w:rsidRPr="00365D06">
              <w:rPr>
                <w:rFonts w:ascii="Arial" w:hAnsi="Arial" w:cs="Arial"/>
                <w:iCs/>
                <w:sz w:val="18"/>
                <w:szCs w:val="18"/>
              </w:rPr>
              <w:t>2015</w:t>
            </w:r>
          </w:p>
        </w:tc>
        <w:tc>
          <w:tcPr>
            <w:tcW w:w="777" w:type="pct"/>
            <w:tcBorders>
              <w:top w:val="single" w:sz="4" w:space="0" w:color="auto"/>
              <w:bottom w:val="single" w:sz="4" w:space="0" w:color="auto"/>
            </w:tcBorders>
            <w:shd w:val="clear" w:color="auto" w:fill="FBD4B4"/>
            <w:vAlign w:val="center"/>
          </w:tcPr>
          <w:p w:rsidR="00741F9A" w:rsidRPr="00365D06" w:rsidRDefault="00741F9A" w:rsidP="006746C8">
            <w:pPr>
              <w:autoSpaceDE w:val="0"/>
              <w:autoSpaceDN w:val="0"/>
              <w:adjustRightInd w:val="0"/>
              <w:spacing w:beforeLines="20" w:before="48" w:afterLines="20" w:after="48"/>
              <w:ind w:left="18" w:firstLine="0"/>
              <w:jc w:val="right"/>
              <w:rPr>
                <w:rFonts w:ascii="Arial" w:hAnsi="Arial" w:cs="Arial"/>
                <w:iCs/>
                <w:sz w:val="18"/>
                <w:szCs w:val="18"/>
              </w:rPr>
            </w:pPr>
            <w:r w:rsidRPr="00365D06">
              <w:rPr>
                <w:rFonts w:ascii="Arial" w:hAnsi="Arial" w:cs="Arial"/>
                <w:iCs/>
                <w:sz w:val="18"/>
                <w:szCs w:val="18"/>
              </w:rPr>
              <w:t>2016</w:t>
            </w:r>
          </w:p>
        </w:tc>
        <w:tc>
          <w:tcPr>
            <w:tcW w:w="754" w:type="pct"/>
            <w:tcBorders>
              <w:top w:val="single" w:sz="4" w:space="0" w:color="auto"/>
              <w:bottom w:val="single" w:sz="4" w:space="0" w:color="auto"/>
            </w:tcBorders>
            <w:shd w:val="clear" w:color="auto" w:fill="FBD4B4"/>
            <w:vAlign w:val="center"/>
          </w:tcPr>
          <w:p w:rsidR="00741F9A" w:rsidRPr="00365D06" w:rsidRDefault="00741F9A" w:rsidP="006746C8">
            <w:pPr>
              <w:autoSpaceDE w:val="0"/>
              <w:autoSpaceDN w:val="0"/>
              <w:adjustRightInd w:val="0"/>
              <w:spacing w:beforeLines="20" w:before="48" w:afterLines="20" w:after="48"/>
              <w:ind w:left="18" w:firstLine="0"/>
              <w:jc w:val="right"/>
              <w:rPr>
                <w:rFonts w:ascii="Arial" w:hAnsi="Arial" w:cs="Arial"/>
                <w:iCs/>
                <w:sz w:val="18"/>
                <w:szCs w:val="18"/>
              </w:rPr>
            </w:pPr>
            <w:r>
              <w:rPr>
                <w:rFonts w:ascii="Arial" w:hAnsi="Arial" w:cs="Arial"/>
                <w:iCs/>
                <w:sz w:val="18"/>
                <w:szCs w:val="18"/>
              </w:rPr>
              <w:t>2017</w:t>
            </w:r>
          </w:p>
        </w:tc>
      </w:tr>
      <w:tr w:rsidR="00741F9A" w:rsidRPr="00741F9A" w:rsidTr="00741F9A">
        <w:trPr>
          <w:jc w:val="center"/>
        </w:trPr>
        <w:tc>
          <w:tcPr>
            <w:tcW w:w="1232" w:type="pct"/>
            <w:tcBorders>
              <w:top w:val="single" w:sz="4"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rPr>
                <w:rFonts w:ascii="Arial Narrow" w:hAnsi="Arial Narrow" w:cs="Arial"/>
                <w:iCs/>
                <w:sz w:val="18"/>
                <w:szCs w:val="18"/>
              </w:rPr>
            </w:pPr>
            <w:r w:rsidRPr="00741F9A">
              <w:rPr>
                <w:rFonts w:ascii="Arial Narrow" w:hAnsi="Arial Narrow" w:cs="Arial"/>
                <w:iCs/>
                <w:sz w:val="18"/>
                <w:szCs w:val="18"/>
              </w:rPr>
              <w:t xml:space="preserve">Municipios </w:t>
            </w:r>
            <w:r w:rsidRPr="00741F9A">
              <w:rPr>
                <w:rFonts w:ascii="Arial Narrow" w:hAnsi="Arial Narrow" w:cs="Arial"/>
                <w:iCs/>
                <w:sz w:val="18"/>
                <w:szCs w:val="18"/>
                <w:vertAlign w:val="subscript"/>
              </w:rPr>
              <w:t>(1)</w:t>
            </w:r>
          </w:p>
        </w:tc>
        <w:tc>
          <w:tcPr>
            <w:tcW w:w="682" w:type="pct"/>
            <w:tcBorders>
              <w:top w:val="single" w:sz="4"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272</w:t>
            </w:r>
          </w:p>
        </w:tc>
        <w:tc>
          <w:tcPr>
            <w:tcW w:w="778" w:type="pct"/>
            <w:tcBorders>
              <w:top w:val="single" w:sz="4"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272</w:t>
            </w:r>
          </w:p>
        </w:tc>
        <w:tc>
          <w:tcPr>
            <w:tcW w:w="777" w:type="pct"/>
            <w:tcBorders>
              <w:top w:val="single" w:sz="4"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272</w:t>
            </w:r>
          </w:p>
        </w:tc>
        <w:tc>
          <w:tcPr>
            <w:tcW w:w="777" w:type="pct"/>
            <w:tcBorders>
              <w:top w:val="single" w:sz="4"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272</w:t>
            </w:r>
          </w:p>
        </w:tc>
        <w:tc>
          <w:tcPr>
            <w:tcW w:w="754" w:type="pct"/>
            <w:tcBorders>
              <w:top w:val="single" w:sz="4"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272</w:t>
            </w:r>
          </w:p>
        </w:tc>
      </w:tr>
      <w:tr w:rsidR="00741F9A" w:rsidRPr="00741F9A" w:rsidTr="00741F9A">
        <w:trPr>
          <w:jc w:val="center"/>
        </w:trPr>
        <w:tc>
          <w:tcPr>
            <w:tcW w:w="1232" w:type="pct"/>
            <w:tcBorders>
              <w:top w:val="single" w:sz="2"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rPr>
                <w:rFonts w:ascii="Arial Narrow" w:hAnsi="Arial Narrow" w:cs="Arial"/>
                <w:iCs/>
                <w:sz w:val="18"/>
                <w:szCs w:val="18"/>
              </w:rPr>
            </w:pPr>
            <w:r w:rsidRPr="00741F9A">
              <w:rPr>
                <w:rFonts w:ascii="Arial Narrow" w:hAnsi="Arial Narrow" w:cs="Arial"/>
                <w:iCs/>
                <w:sz w:val="18"/>
                <w:szCs w:val="18"/>
              </w:rPr>
              <w:t>Concejos</w:t>
            </w:r>
          </w:p>
        </w:tc>
        <w:tc>
          <w:tcPr>
            <w:tcW w:w="682" w:type="pct"/>
            <w:tcBorders>
              <w:top w:val="single" w:sz="2"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348</w:t>
            </w:r>
          </w:p>
        </w:tc>
        <w:tc>
          <w:tcPr>
            <w:tcW w:w="778" w:type="pct"/>
            <w:tcBorders>
              <w:top w:val="single" w:sz="2"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347</w:t>
            </w:r>
          </w:p>
        </w:tc>
        <w:tc>
          <w:tcPr>
            <w:tcW w:w="777" w:type="pct"/>
            <w:tcBorders>
              <w:top w:val="single" w:sz="2"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347</w:t>
            </w:r>
          </w:p>
        </w:tc>
        <w:tc>
          <w:tcPr>
            <w:tcW w:w="777" w:type="pct"/>
            <w:tcBorders>
              <w:top w:val="single" w:sz="2"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346</w:t>
            </w:r>
          </w:p>
        </w:tc>
        <w:tc>
          <w:tcPr>
            <w:tcW w:w="754" w:type="pct"/>
            <w:tcBorders>
              <w:top w:val="single" w:sz="2"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346</w:t>
            </w:r>
          </w:p>
        </w:tc>
      </w:tr>
      <w:tr w:rsidR="00741F9A" w:rsidRPr="00741F9A" w:rsidTr="00741F9A">
        <w:trPr>
          <w:trHeight w:val="243"/>
          <w:jc w:val="center"/>
        </w:trPr>
        <w:tc>
          <w:tcPr>
            <w:tcW w:w="1232" w:type="pct"/>
            <w:tcBorders>
              <w:top w:val="single" w:sz="2"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rPr>
                <w:rFonts w:ascii="Arial Narrow" w:hAnsi="Arial Narrow" w:cs="Arial"/>
                <w:iCs/>
                <w:sz w:val="18"/>
                <w:szCs w:val="18"/>
              </w:rPr>
            </w:pPr>
            <w:r w:rsidRPr="00741F9A">
              <w:rPr>
                <w:rFonts w:ascii="Arial Narrow" w:hAnsi="Arial Narrow" w:cs="Arial"/>
                <w:iCs/>
                <w:sz w:val="18"/>
                <w:szCs w:val="18"/>
              </w:rPr>
              <w:t>Mancomunidades</w:t>
            </w:r>
          </w:p>
        </w:tc>
        <w:tc>
          <w:tcPr>
            <w:tcW w:w="682" w:type="pct"/>
            <w:tcBorders>
              <w:top w:val="single" w:sz="2"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65</w:t>
            </w:r>
          </w:p>
        </w:tc>
        <w:tc>
          <w:tcPr>
            <w:tcW w:w="778" w:type="pct"/>
            <w:tcBorders>
              <w:top w:val="single" w:sz="2"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65</w:t>
            </w:r>
          </w:p>
        </w:tc>
        <w:tc>
          <w:tcPr>
            <w:tcW w:w="777" w:type="pct"/>
            <w:tcBorders>
              <w:top w:val="single" w:sz="2"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63</w:t>
            </w:r>
          </w:p>
        </w:tc>
        <w:tc>
          <w:tcPr>
            <w:tcW w:w="777" w:type="pct"/>
            <w:tcBorders>
              <w:top w:val="single" w:sz="2"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63</w:t>
            </w:r>
          </w:p>
        </w:tc>
        <w:tc>
          <w:tcPr>
            <w:tcW w:w="754" w:type="pct"/>
            <w:tcBorders>
              <w:top w:val="single" w:sz="2" w:space="0" w:color="auto"/>
              <w:bottom w:val="single" w:sz="2"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 xml:space="preserve">62 </w:t>
            </w:r>
            <w:r w:rsidRPr="007E3594">
              <w:rPr>
                <w:rFonts w:ascii="Arial Narrow" w:hAnsi="Arial Narrow" w:cs="Arial"/>
                <w:iCs/>
                <w:sz w:val="18"/>
                <w:szCs w:val="18"/>
                <w:vertAlign w:val="subscript"/>
              </w:rPr>
              <w:t>(2)</w:t>
            </w:r>
          </w:p>
        </w:tc>
      </w:tr>
      <w:tr w:rsidR="00741F9A" w:rsidRPr="00741F9A" w:rsidTr="007E3594">
        <w:trPr>
          <w:trHeight w:val="121"/>
          <w:jc w:val="center"/>
        </w:trPr>
        <w:tc>
          <w:tcPr>
            <w:tcW w:w="1232" w:type="pct"/>
            <w:tcBorders>
              <w:top w:val="single" w:sz="2" w:space="0" w:color="auto"/>
              <w:bottom w:val="single" w:sz="4" w:space="0" w:color="auto"/>
            </w:tcBorders>
            <w:vAlign w:val="center"/>
          </w:tcPr>
          <w:p w:rsidR="00741F9A" w:rsidRPr="00741F9A" w:rsidRDefault="00741F9A" w:rsidP="006746C8">
            <w:pPr>
              <w:autoSpaceDE w:val="0"/>
              <w:autoSpaceDN w:val="0"/>
              <w:adjustRightInd w:val="0"/>
              <w:spacing w:beforeLines="20" w:before="48" w:afterLines="20" w:after="48"/>
              <w:ind w:left="18" w:firstLine="0"/>
              <w:rPr>
                <w:rFonts w:ascii="Arial Narrow" w:hAnsi="Arial Narrow" w:cs="Arial"/>
                <w:iCs/>
                <w:sz w:val="18"/>
                <w:szCs w:val="18"/>
              </w:rPr>
            </w:pPr>
            <w:r w:rsidRPr="00741F9A">
              <w:rPr>
                <w:rFonts w:ascii="Arial Narrow" w:hAnsi="Arial Narrow" w:cs="Arial"/>
                <w:iCs/>
                <w:sz w:val="18"/>
                <w:szCs w:val="18"/>
              </w:rPr>
              <w:t>Agrupaciones Municipales</w:t>
            </w:r>
          </w:p>
        </w:tc>
        <w:tc>
          <w:tcPr>
            <w:tcW w:w="682" w:type="pct"/>
            <w:tcBorders>
              <w:top w:val="single" w:sz="2" w:space="0" w:color="auto"/>
              <w:bottom w:val="single" w:sz="4"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18</w:t>
            </w:r>
          </w:p>
        </w:tc>
        <w:tc>
          <w:tcPr>
            <w:tcW w:w="778" w:type="pct"/>
            <w:tcBorders>
              <w:top w:val="single" w:sz="2" w:space="0" w:color="auto"/>
              <w:bottom w:val="single" w:sz="4"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19</w:t>
            </w:r>
          </w:p>
        </w:tc>
        <w:tc>
          <w:tcPr>
            <w:tcW w:w="777" w:type="pct"/>
            <w:tcBorders>
              <w:top w:val="single" w:sz="2" w:space="0" w:color="auto"/>
              <w:bottom w:val="single" w:sz="4"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19</w:t>
            </w:r>
          </w:p>
        </w:tc>
        <w:tc>
          <w:tcPr>
            <w:tcW w:w="777" w:type="pct"/>
            <w:tcBorders>
              <w:top w:val="single" w:sz="2" w:space="0" w:color="auto"/>
              <w:bottom w:val="single" w:sz="4"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20</w:t>
            </w:r>
          </w:p>
        </w:tc>
        <w:tc>
          <w:tcPr>
            <w:tcW w:w="754" w:type="pct"/>
            <w:tcBorders>
              <w:top w:val="single" w:sz="2" w:space="0" w:color="auto"/>
              <w:bottom w:val="single" w:sz="4" w:space="0" w:color="auto"/>
            </w:tcBorders>
            <w:vAlign w:val="center"/>
          </w:tcPr>
          <w:p w:rsidR="00741F9A" w:rsidRPr="00741F9A" w:rsidRDefault="00741F9A" w:rsidP="006746C8">
            <w:pPr>
              <w:autoSpaceDE w:val="0"/>
              <w:autoSpaceDN w:val="0"/>
              <w:adjustRightInd w:val="0"/>
              <w:spacing w:beforeLines="20" w:before="48" w:afterLines="20" w:after="48"/>
              <w:ind w:left="18" w:firstLine="0"/>
              <w:jc w:val="right"/>
              <w:rPr>
                <w:rFonts w:ascii="Arial Narrow" w:hAnsi="Arial Narrow" w:cs="Arial"/>
                <w:iCs/>
                <w:sz w:val="18"/>
                <w:szCs w:val="18"/>
              </w:rPr>
            </w:pPr>
            <w:r w:rsidRPr="00741F9A">
              <w:rPr>
                <w:rFonts w:ascii="Arial Narrow" w:hAnsi="Arial Narrow" w:cs="Arial"/>
                <w:iCs/>
                <w:sz w:val="18"/>
                <w:szCs w:val="18"/>
              </w:rPr>
              <w:t>23</w:t>
            </w:r>
          </w:p>
        </w:tc>
      </w:tr>
      <w:tr w:rsidR="00741F9A" w:rsidRPr="00365D06" w:rsidTr="00741F9A">
        <w:trPr>
          <w:jc w:val="center"/>
        </w:trPr>
        <w:tc>
          <w:tcPr>
            <w:tcW w:w="1232" w:type="pct"/>
            <w:tcBorders>
              <w:top w:val="single" w:sz="4" w:space="0" w:color="auto"/>
              <w:bottom w:val="single" w:sz="4" w:space="0" w:color="auto"/>
            </w:tcBorders>
            <w:shd w:val="clear" w:color="auto" w:fill="FBD4B4"/>
            <w:vAlign w:val="center"/>
          </w:tcPr>
          <w:p w:rsidR="00741F9A" w:rsidRPr="00365D06" w:rsidRDefault="00741F9A" w:rsidP="006746C8">
            <w:pPr>
              <w:autoSpaceDE w:val="0"/>
              <w:autoSpaceDN w:val="0"/>
              <w:adjustRightInd w:val="0"/>
              <w:spacing w:beforeLines="20" w:before="48" w:afterLines="20" w:after="48"/>
              <w:ind w:left="18" w:firstLine="0"/>
              <w:rPr>
                <w:rFonts w:ascii="Arial" w:hAnsi="Arial" w:cs="Arial"/>
                <w:iCs/>
                <w:sz w:val="18"/>
                <w:szCs w:val="18"/>
              </w:rPr>
            </w:pPr>
            <w:r w:rsidRPr="00365D06">
              <w:rPr>
                <w:rFonts w:ascii="Arial" w:hAnsi="Arial" w:cs="Arial"/>
                <w:iCs/>
                <w:sz w:val="18"/>
                <w:szCs w:val="18"/>
              </w:rPr>
              <w:t>Total</w:t>
            </w:r>
          </w:p>
        </w:tc>
        <w:tc>
          <w:tcPr>
            <w:tcW w:w="682" w:type="pct"/>
            <w:tcBorders>
              <w:top w:val="single" w:sz="4" w:space="0" w:color="auto"/>
              <w:bottom w:val="single" w:sz="4" w:space="0" w:color="auto"/>
            </w:tcBorders>
            <w:shd w:val="clear" w:color="auto" w:fill="FBD4B4"/>
            <w:vAlign w:val="center"/>
          </w:tcPr>
          <w:p w:rsidR="00741F9A" w:rsidRPr="00365D06" w:rsidRDefault="00741F9A" w:rsidP="006746C8">
            <w:pPr>
              <w:autoSpaceDE w:val="0"/>
              <w:autoSpaceDN w:val="0"/>
              <w:adjustRightInd w:val="0"/>
              <w:spacing w:beforeLines="20" w:before="48" w:afterLines="20" w:after="48"/>
              <w:ind w:left="18" w:firstLine="0"/>
              <w:jc w:val="right"/>
              <w:rPr>
                <w:rFonts w:ascii="Arial" w:hAnsi="Arial" w:cs="Arial"/>
                <w:iCs/>
                <w:sz w:val="18"/>
                <w:szCs w:val="18"/>
              </w:rPr>
            </w:pPr>
            <w:r w:rsidRPr="00365D06">
              <w:rPr>
                <w:rFonts w:ascii="Arial" w:hAnsi="Arial" w:cs="Arial"/>
                <w:iCs/>
                <w:sz w:val="18"/>
                <w:szCs w:val="18"/>
              </w:rPr>
              <w:t>703</w:t>
            </w:r>
          </w:p>
        </w:tc>
        <w:tc>
          <w:tcPr>
            <w:tcW w:w="778" w:type="pct"/>
            <w:tcBorders>
              <w:top w:val="single" w:sz="4" w:space="0" w:color="auto"/>
              <w:bottom w:val="single" w:sz="4" w:space="0" w:color="auto"/>
            </w:tcBorders>
            <w:shd w:val="clear" w:color="auto" w:fill="FBD4B4"/>
            <w:vAlign w:val="center"/>
          </w:tcPr>
          <w:p w:rsidR="00741F9A" w:rsidRPr="00365D06" w:rsidRDefault="00741F9A" w:rsidP="006746C8">
            <w:pPr>
              <w:autoSpaceDE w:val="0"/>
              <w:autoSpaceDN w:val="0"/>
              <w:adjustRightInd w:val="0"/>
              <w:spacing w:beforeLines="20" w:before="48" w:afterLines="20" w:after="48"/>
              <w:ind w:left="18" w:firstLine="0"/>
              <w:jc w:val="right"/>
              <w:rPr>
                <w:rFonts w:ascii="Arial" w:hAnsi="Arial" w:cs="Arial"/>
                <w:iCs/>
                <w:sz w:val="18"/>
                <w:szCs w:val="18"/>
              </w:rPr>
            </w:pPr>
            <w:r w:rsidRPr="00365D06">
              <w:rPr>
                <w:rFonts w:ascii="Arial" w:hAnsi="Arial" w:cs="Arial"/>
                <w:iCs/>
                <w:sz w:val="18"/>
                <w:szCs w:val="18"/>
              </w:rPr>
              <w:t>703</w:t>
            </w:r>
          </w:p>
        </w:tc>
        <w:tc>
          <w:tcPr>
            <w:tcW w:w="777" w:type="pct"/>
            <w:tcBorders>
              <w:top w:val="single" w:sz="4" w:space="0" w:color="auto"/>
              <w:bottom w:val="single" w:sz="4" w:space="0" w:color="auto"/>
            </w:tcBorders>
            <w:shd w:val="clear" w:color="auto" w:fill="FBD4B4"/>
            <w:vAlign w:val="center"/>
          </w:tcPr>
          <w:p w:rsidR="00741F9A" w:rsidRPr="00365D06" w:rsidRDefault="00741F9A" w:rsidP="006746C8">
            <w:pPr>
              <w:autoSpaceDE w:val="0"/>
              <w:autoSpaceDN w:val="0"/>
              <w:adjustRightInd w:val="0"/>
              <w:spacing w:beforeLines="20" w:before="48" w:afterLines="20" w:after="48"/>
              <w:ind w:left="18" w:firstLine="0"/>
              <w:jc w:val="right"/>
              <w:rPr>
                <w:rFonts w:ascii="Arial" w:hAnsi="Arial" w:cs="Arial"/>
                <w:iCs/>
                <w:sz w:val="18"/>
                <w:szCs w:val="18"/>
              </w:rPr>
            </w:pPr>
            <w:r w:rsidRPr="00365D06">
              <w:rPr>
                <w:rFonts w:ascii="Arial" w:hAnsi="Arial" w:cs="Arial"/>
                <w:iCs/>
                <w:sz w:val="18"/>
                <w:szCs w:val="18"/>
              </w:rPr>
              <w:t>701</w:t>
            </w:r>
          </w:p>
        </w:tc>
        <w:tc>
          <w:tcPr>
            <w:tcW w:w="777" w:type="pct"/>
            <w:tcBorders>
              <w:top w:val="single" w:sz="4" w:space="0" w:color="auto"/>
              <w:bottom w:val="single" w:sz="4" w:space="0" w:color="auto"/>
            </w:tcBorders>
            <w:shd w:val="clear" w:color="auto" w:fill="FBD4B4"/>
            <w:vAlign w:val="center"/>
          </w:tcPr>
          <w:p w:rsidR="00741F9A" w:rsidRPr="00365D06" w:rsidRDefault="00741F9A" w:rsidP="006746C8">
            <w:pPr>
              <w:autoSpaceDE w:val="0"/>
              <w:autoSpaceDN w:val="0"/>
              <w:adjustRightInd w:val="0"/>
              <w:spacing w:beforeLines="20" w:before="48" w:afterLines="20" w:after="48"/>
              <w:ind w:left="18" w:firstLine="0"/>
              <w:jc w:val="right"/>
              <w:rPr>
                <w:rFonts w:ascii="Arial" w:hAnsi="Arial" w:cs="Arial"/>
                <w:iCs/>
                <w:sz w:val="18"/>
                <w:szCs w:val="18"/>
              </w:rPr>
            </w:pPr>
            <w:r>
              <w:rPr>
                <w:rFonts w:ascii="Arial" w:hAnsi="Arial" w:cs="Arial"/>
                <w:iCs/>
                <w:sz w:val="18"/>
                <w:szCs w:val="18"/>
              </w:rPr>
              <w:t>701</w:t>
            </w:r>
          </w:p>
        </w:tc>
        <w:tc>
          <w:tcPr>
            <w:tcW w:w="754" w:type="pct"/>
            <w:tcBorders>
              <w:top w:val="single" w:sz="4" w:space="0" w:color="auto"/>
              <w:bottom w:val="single" w:sz="4" w:space="0" w:color="auto"/>
            </w:tcBorders>
            <w:shd w:val="clear" w:color="auto" w:fill="FBD4B4"/>
            <w:vAlign w:val="center"/>
          </w:tcPr>
          <w:p w:rsidR="00741F9A" w:rsidRPr="00365D06" w:rsidRDefault="00741F9A" w:rsidP="006746C8">
            <w:pPr>
              <w:autoSpaceDE w:val="0"/>
              <w:autoSpaceDN w:val="0"/>
              <w:adjustRightInd w:val="0"/>
              <w:spacing w:beforeLines="20" w:before="48" w:afterLines="20" w:after="48"/>
              <w:ind w:left="18" w:firstLine="0"/>
              <w:jc w:val="right"/>
              <w:rPr>
                <w:rFonts w:ascii="Arial" w:hAnsi="Arial" w:cs="Arial"/>
                <w:iCs/>
                <w:sz w:val="18"/>
                <w:szCs w:val="18"/>
              </w:rPr>
            </w:pPr>
            <w:r>
              <w:rPr>
                <w:rFonts w:ascii="Arial" w:hAnsi="Arial" w:cs="Arial"/>
                <w:iCs/>
                <w:sz w:val="18"/>
                <w:szCs w:val="18"/>
              </w:rPr>
              <w:t>703</w:t>
            </w:r>
          </w:p>
        </w:tc>
      </w:tr>
    </w:tbl>
    <w:p w:rsidR="00EC4F97" w:rsidRPr="0082767F" w:rsidRDefault="00EC4F97" w:rsidP="00EC4F97">
      <w:pPr>
        <w:pStyle w:val="recomen"/>
        <w:numPr>
          <w:ilvl w:val="0"/>
          <w:numId w:val="19"/>
        </w:numPr>
        <w:tabs>
          <w:tab w:val="clear" w:pos="885"/>
        </w:tabs>
        <w:spacing w:before="60" w:after="20"/>
        <w:ind w:left="284" w:hanging="284"/>
        <w:rPr>
          <w:i w:val="0"/>
          <w:sz w:val="16"/>
          <w:szCs w:val="16"/>
          <w:lang w:val="es-ES_tradnl"/>
        </w:rPr>
      </w:pPr>
      <w:r w:rsidRPr="0082767F">
        <w:rPr>
          <w:i w:val="0"/>
          <w:sz w:val="16"/>
          <w:szCs w:val="16"/>
          <w:lang w:val="es-ES_tradnl"/>
        </w:rPr>
        <w:t>60 son municipios compuestos</w:t>
      </w:r>
    </w:p>
    <w:p w:rsidR="00EC4F97" w:rsidRPr="0082767F" w:rsidRDefault="00EC4F97" w:rsidP="00EC4F97">
      <w:pPr>
        <w:pStyle w:val="recomen"/>
        <w:numPr>
          <w:ilvl w:val="0"/>
          <w:numId w:val="19"/>
        </w:numPr>
        <w:tabs>
          <w:tab w:val="clear" w:pos="885"/>
        </w:tabs>
        <w:ind w:left="284" w:hanging="284"/>
        <w:rPr>
          <w:i w:val="0"/>
          <w:color w:val="000000"/>
          <w:sz w:val="16"/>
          <w:szCs w:val="16"/>
          <w:lang w:val="es-ES_tradnl"/>
        </w:rPr>
      </w:pPr>
      <w:r w:rsidRPr="0082767F">
        <w:rPr>
          <w:i w:val="0"/>
          <w:color w:val="000000"/>
          <w:sz w:val="16"/>
          <w:szCs w:val="16"/>
          <w:lang w:val="es-ES_tradnl"/>
        </w:rPr>
        <w:t>3 Mancomunidades no tienen actividad</w:t>
      </w:r>
    </w:p>
    <w:p w:rsidR="00EC4F97" w:rsidRPr="00B122DA" w:rsidRDefault="00EC4F97" w:rsidP="00EC4F97">
      <w:pPr>
        <w:pStyle w:val="texto"/>
        <w:spacing w:after="240"/>
      </w:pPr>
      <w:r>
        <w:rPr>
          <w:szCs w:val="26"/>
        </w:rPr>
        <w:t>Con respecto a 2016, se ha dado de baja la Mancomunidad Deportiva Nav</w:t>
      </w:r>
      <w:r>
        <w:rPr>
          <w:szCs w:val="26"/>
        </w:rPr>
        <w:t>a</w:t>
      </w:r>
      <w:r>
        <w:rPr>
          <w:szCs w:val="26"/>
        </w:rPr>
        <w:t>rra Media y entre las Agrupaciones se han dado de alta la Agrupación de Ayu</w:t>
      </w:r>
      <w:r>
        <w:rPr>
          <w:szCs w:val="26"/>
        </w:rPr>
        <w:t>n</w:t>
      </w:r>
      <w:r>
        <w:rPr>
          <w:szCs w:val="26"/>
        </w:rPr>
        <w:t>tamientos de Burgui, Vidángoz y Garde, Agrupación de Doneztebe y Elgorri</w:t>
      </w:r>
      <w:r>
        <w:rPr>
          <w:szCs w:val="26"/>
        </w:rPr>
        <w:t>a</w:t>
      </w:r>
      <w:r>
        <w:rPr>
          <w:szCs w:val="26"/>
        </w:rPr>
        <w:t xml:space="preserve">ga y la Agrupación </w:t>
      </w:r>
      <w:r w:rsidRPr="00CE4BE5">
        <w:rPr>
          <w:szCs w:val="26"/>
        </w:rPr>
        <w:t>de Burguete, Roncesvalles y V</w:t>
      </w:r>
      <w:r>
        <w:rPr>
          <w:szCs w:val="26"/>
        </w:rPr>
        <w:t xml:space="preserve">alle </w:t>
      </w:r>
      <w:r w:rsidRPr="00CE4BE5">
        <w:rPr>
          <w:szCs w:val="26"/>
        </w:rPr>
        <w:t>de Erro</w:t>
      </w:r>
      <w:r>
        <w:rPr>
          <w:szCs w:val="26"/>
        </w:rPr>
        <w:t>; todas ellas son Agrupaciones para el Servicio de Secretaría.</w:t>
      </w:r>
    </w:p>
    <w:p w:rsidR="00EC4F97" w:rsidRDefault="00EC4F97" w:rsidP="00EC4F97">
      <w:pPr>
        <w:pStyle w:val="texto"/>
        <w:spacing w:before="240" w:after="240"/>
      </w:pPr>
      <w:r w:rsidRPr="00B122DA">
        <w:t>El número de organismos autónomos</w:t>
      </w:r>
      <w:r>
        <w:t>,</w:t>
      </w:r>
      <w:r w:rsidRPr="00B122DA">
        <w:t xml:space="preserve"> empresas públicas</w:t>
      </w:r>
      <w:r>
        <w:t xml:space="preserve"> locales</w:t>
      </w:r>
      <w:r w:rsidRPr="00B122DA">
        <w:t>, fundaci</w:t>
      </w:r>
      <w:r w:rsidRPr="00B122DA">
        <w:t>o</w:t>
      </w:r>
      <w:r w:rsidRPr="00B122DA">
        <w:t>nes públicas locales y consorcios en el periodo de 201</w:t>
      </w:r>
      <w:r>
        <w:t>3</w:t>
      </w:r>
      <w:r w:rsidRPr="00B122DA">
        <w:t xml:space="preserve"> a 201</w:t>
      </w:r>
      <w:r>
        <w:t>7</w:t>
      </w:r>
      <w:r w:rsidRPr="00B122DA">
        <w:t xml:space="preserve"> es:</w:t>
      </w:r>
    </w:p>
    <w:tbl>
      <w:tblPr>
        <w:tblW w:w="8824" w:type="dxa"/>
        <w:jc w:val="center"/>
        <w:tblInd w:w="-650" w:type="dxa"/>
        <w:tblLayout w:type="fixed"/>
        <w:tblCellMar>
          <w:left w:w="70" w:type="dxa"/>
          <w:right w:w="70" w:type="dxa"/>
        </w:tblCellMar>
        <w:tblLook w:val="0000" w:firstRow="0" w:lastRow="0" w:firstColumn="0" w:lastColumn="0" w:noHBand="0" w:noVBand="0"/>
      </w:tblPr>
      <w:tblGrid>
        <w:gridCol w:w="4172"/>
        <w:gridCol w:w="1001"/>
        <w:gridCol w:w="976"/>
        <w:gridCol w:w="850"/>
        <w:gridCol w:w="993"/>
        <w:gridCol w:w="767"/>
        <w:gridCol w:w="65"/>
      </w:tblGrid>
      <w:tr w:rsidR="00EC4F97" w:rsidRPr="00365D06" w:rsidTr="00422AD9">
        <w:trPr>
          <w:trHeight w:val="255"/>
          <w:jc w:val="center"/>
        </w:trPr>
        <w:tc>
          <w:tcPr>
            <w:tcW w:w="4172"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CB39B5">
              <w:rPr>
                <w:rFonts w:ascii="Arial" w:hAnsi="Arial"/>
                <w:spacing w:val="6"/>
                <w:sz w:val="18"/>
                <w:szCs w:val="24"/>
              </w:rPr>
              <w:t>Entidad</w:t>
            </w:r>
          </w:p>
        </w:tc>
        <w:tc>
          <w:tcPr>
            <w:tcW w:w="1001"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CB39B5">
              <w:rPr>
                <w:rFonts w:ascii="Arial" w:hAnsi="Arial"/>
                <w:spacing w:val="6"/>
                <w:sz w:val="18"/>
                <w:szCs w:val="24"/>
              </w:rPr>
              <w:t>2013</w:t>
            </w:r>
          </w:p>
        </w:tc>
        <w:tc>
          <w:tcPr>
            <w:tcW w:w="976"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sidRPr="00CB39B5">
              <w:rPr>
                <w:rFonts w:ascii="Arial" w:hAnsi="Arial"/>
                <w:spacing w:val="6"/>
                <w:sz w:val="18"/>
                <w:szCs w:val="24"/>
              </w:rPr>
              <w:t>2014</w:t>
            </w:r>
          </w:p>
        </w:tc>
        <w:tc>
          <w:tcPr>
            <w:tcW w:w="850"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sidRPr="00CB39B5">
              <w:rPr>
                <w:rFonts w:ascii="Arial" w:hAnsi="Arial"/>
                <w:spacing w:val="6"/>
                <w:sz w:val="18"/>
                <w:szCs w:val="24"/>
              </w:rPr>
              <w:t>2015</w:t>
            </w:r>
          </w:p>
        </w:tc>
        <w:tc>
          <w:tcPr>
            <w:tcW w:w="993"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CB39B5">
              <w:rPr>
                <w:rFonts w:ascii="Arial" w:hAnsi="Arial"/>
                <w:spacing w:val="6"/>
                <w:sz w:val="18"/>
                <w:szCs w:val="24"/>
              </w:rPr>
              <w:t>2016</w:t>
            </w:r>
          </w:p>
        </w:tc>
        <w:tc>
          <w:tcPr>
            <w:tcW w:w="832" w:type="dxa"/>
            <w:gridSpan w:val="2"/>
            <w:tcBorders>
              <w:top w:val="single" w:sz="4" w:space="0" w:color="auto"/>
              <w:bottom w:val="single" w:sz="4" w:space="0" w:color="auto"/>
            </w:tcBorders>
            <w:shd w:val="clear" w:color="auto" w:fill="FBD4B4" w:themeFill="accent6" w:themeFillTint="66"/>
            <w:vAlign w:val="center"/>
          </w:tcPr>
          <w:p w:rsidR="00EC4F97" w:rsidRPr="00CB39B5" w:rsidRDefault="00EC4F97" w:rsidP="00DC0A57">
            <w:pPr>
              <w:keepLines/>
              <w:tabs>
                <w:tab w:val="right" w:pos="2835"/>
                <w:tab w:val="right" w:pos="3969"/>
                <w:tab w:val="right" w:pos="5103"/>
                <w:tab w:val="right" w:pos="6237"/>
                <w:tab w:val="right" w:pos="7371"/>
              </w:tabs>
              <w:spacing w:after="0"/>
              <w:ind w:left="-189" w:right="-53" w:firstLine="0"/>
              <w:jc w:val="right"/>
              <w:rPr>
                <w:rFonts w:ascii="Arial" w:hAnsi="Arial"/>
                <w:spacing w:val="6"/>
                <w:sz w:val="18"/>
                <w:szCs w:val="24"/>
              </w:rPr>
            </w:pPr>
            <w:r w:rsidRPr="00CB39B5">
              <w:rPr>
                <w:rFonts w:ascii="Arial" w:hAnsi="Arial"/>
                <w:spacing w:val="6"/>
                <w:sz w:val="18"/>
                <w:szCs w:val="24"/>
              </w:rPr>
              <w:t>2017</w:t>
            </w:r>
          </w:p>
        </w:tc>
      </w:tr>
      <w:tr w:rsidR="00EC4F97" w:rsidRPr="00365D06" w:rsidTr="00422AD9">
        <w:trPr>
          <w:trHeight w:val="255"/>
          <w:jc w:val="center"/>
        </w:trPr>
        <w:tc>
          <w:tcPr>
            <w:tcW w:w="4172"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CB39B5">
              <w:rPr>
                <w:rFonts w:ascii="Arial" w:hAnsi="Arial"/>
                <w:spacing w:val="6"/>
                <w:sz w:val="18"/>
                <w:szCs w:val="24"/>
              </w:rPr>
              <w:t xml:space="preserve">Organismos Autónomos </w:t>
            </w:r>
          </w:p>
        </w:tc>
        <w:tc>
          <w:tcPr>
            <w:tcW w:w="1001"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CB39B5">
              <w:rPr>
                <w:rFonts w:ascii="Arial" w:hAnsi="Arial"/>
                <w:spacing w:val="6"/>
                <w:sz w:val="18"/>
                <w:szCs w:val="24"/>
              </w:rPr>
              <w:t>66</w:t>
            </w:r>
          </w:p>
        </w:tc>
        <w:tc>
          <w:tcPr>
            <w:tcW w:w="976"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sidRPr="00CB39B5">
              <w:rPr>
                <w:rFonts w:ascii="Arial" w:hAnsi="Arial"/>
                <w:spacing w:val="6"/>
                <w:sz w:val="18"/>
                <w:szCs w:val="24"/>
              </w:rPr>
              <w:t>65</w:t>
            </w:r>
          </w:p>
        </w:tc>
        <w:tc>
          <w:tcPr>
            <w:tcW w:w="850"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sidRPr="00CB39B5">
              <w:rPr>
                <w:rFonts w:ascii="Arial" w:hAnsi="Arial"/>
                <w:spacing w:val="6"/>
                <w:sz w:val="18"/>
                <w:szCs w:val="24"/>
              </w:rPr>
              <w:t>65</w:t>
            </w:r>
          </w:p>
        </w:tc>
        <w:tc>
          <w:tcPr>
            <w:tcW w:w="993"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CB39B5">
              <w:rPr>
                <w:rFonts w:ascii="Arial" w:hAnsi="Arial"/>
                <w:spacing w:val="6"/>
                <w:sz w:val="18"/>
                <w:szCs w:val="24"/>
              </w:rPr>
              <w:t>64</w:t>
            </w:r>
          </w:p>
        </w:tc>
        <w:tc>
          <w:tcPr>
            <w:tcW w:w="832" w:type="dxa"/>
            <w:gridSpan w:val="2"/>
            <w:tcBorders>
              <w:top w:val="single" w:sz="4" w:space="0" w:color="auto"/>
              <w:bottom w:val="single" w:sz="4" w:space="0" w:color="auto"/>
            </w:tcBorders>
            <w:shd w:val="clear" w:color="auto" w:fill="FFFFFF"/>
            <w:vAlign w:val="center"/>
          </w:tcPr>
          <w:p w:rsidR="00EC4F97" w:rsidRPr="00CB39B5" w:rsidRDefault="00EC4F97" w:rsidP="00DC0A57">
            <w:pPr>
              <w:keepLines/>
              <w:tabs>
                <w:tab w:val="right" w:pos="2835"/>
                <w:tab w:val="right" w:pos="3969"/>
                <w:tab w:val="right" w:pos="5103"/>
                <w:tab w:val="right" w:pos="6237"/>
                <w:tab w:val="right" w:pos="7371"/>
              </w:tabs>
              <w:spacing w:after="0"/>
              <w:ind w:left="-189" w:right="-53" w:firstLine="0"/>
              <w:jc w:val="right"/>
              <w:rPr>
                <w:rFonts w:ascii="Arial" w:hAnsi="Arial"/>
                <w:spacing w:val="6"/>
                <w:sz w:val="18"/>
                <w:szCs w:val="24"/>
              </w:rPr>
            </w:pPr>
            <w:r w:rsidRPr="00CB39B5">
              <w:rPr>
                <w:rFonts w:ascii="Arial" w:hAnsi="Arial"/>
                <w:spacing w:val="6"/>
                <w:sz w:val="18"/>
                <w:szCs w:val="24"/>
              </w:rPr>
              <w:t>6</w:t>
            </w:r>
            <w:r>
              <w:rPr>
                <w:rFonts w:ascii="Arial" w:hAnsi="Arial"/>
                <w:spacing w:val="6"/>
                <w:sz w:val="18"/>
                <w:szCs w:val="24"/>
              </w:rPr>
              <w:t>3</w:t>
            </w:r>
          </w:p>
        </w:tc>
      </w:tr>
      <w:tr w:rsidR="00EC4F97" w:rsidRPr="00365D06" w:rsidTr="00422AD9">
        <w:trPr>
          <w:trHeight w:val="255"/>
          <w:jc w:val="center"/>
        </w:trPr>
        <w:tc>
          <w:tcPr>
            <w:tcW w:w="4172"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CB39B5">
              <w:rPr>
                <w:rFonts w:ascii="Arial" w:hAnsi="Arial"/>
                <w:spacing w:val="6"/>
                <w:sz w:val="18"/>
                <w:szCs w:val="24"/>
              </w:rPr>
              <w:t>Empresas públicas</w:t>
            </w:r>
          </w:p>
        </w:tc>
        <w:tc>
          <w:tcPr>
            <w:tcW w:w="1001"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CB39B5">
              <w:rPr>
                <w:rFonts w:ascii="Arial" w:hAnsi="Arial"/>
                <w:spacing w:val="6"/>
                <w:sz w:val="18"/>
                <w:szCs w:val="24"/>
              </w:rPr>
              <w:t>50</w:t>
            </w:r>
          </w:p>
        </w:tc>
        <w:tc>
          <w:tcPr>
            <w:tcW w:w="976"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sidRPr="00CB39B5">
              <w:rPr>
                <w:rFonts w:ascii="Arial" w:hAnsi="Arial"/>
                <w:spacing w:val="6"/>
                <w:sz w:val="18"/>
                <w:szCs w:val="24"/>
              </w:rPr>
              <w:t>54</w:t>
            </w:r>
          </w:p>
        </w:tc>
        <w:tc>
          <w:tcPr>
            <w:tcW w:w="850"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sidRPr="00CB39B5">
              <w:rPr>
                <w:rFonts w:ascii="Arial" w:hAnsi="Arial"/>
                <w:spacing w:val="6"/>
                <w:sz w:val="18"/>
                <w:szCs w:val="24"/>
              </w:rPr>
              <w:t>55</w:t>
            </w:r>
          </w:p>
        </w:tc>
        <w:tc>
          <w:tcPr>
            <w:tcW w:w="993"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CB39B5">
              <w:rPr>
                <w:rFonts w:ascii="Arial" w:hAnsi="Arial"/>
                <w:spacing w:val="6"/>
                <w:sz w:val="18"/>
                <w:szCs w:val="24"/>
              </w:rPr>
              <w:t>54</w:t>
            </w:r>
          </w:p>
        </w:tc>
        <w:tc>
          <w:tcPr>
            <w:tcW w:w="832" w:type="dxa"/>
            <w:gridSpan w:val="2"/>
            <w:tcBorders>
              <w:top w:val="single" w:sz="4" w:space="0" w:color="auto"/>
              <w:bottom w:val="single" w:sz="4" w:space="0" w:color="auto"/>
            </w:tcBorders>
            <w:shd w:val="clear" w:color="auto" w:fill="FFFFFF"/>
            <w:vAlign w:val="center"/>
          </w:tcPr>
          <w:p w:rsidR="00EC4F97" w:rsidRPr="00CB39B5" w:rsidRDefault="00EC4F97" w:rsidP="00DC0A57">
            <w:pPr>
              <w:keepLines/>
              <w:tabs>
                <w:tab w:val="right" w:pos="2835"/>
                <w:tab w:val="right" w:pos="3969"/>
                <w:tab w:val="right" w:pos="5103"/>
                <w:tab w:val="right" w:pos="6237"/>
                <w:tab w:val="right" w:pos="7371"/>
              </w:tabs>
              <w:spacing w:after="0"/>
              <w:ind w:left="-189" w:right="-53" w:firstLine="0"/>
              <w:jc w:val="right"/>
              <w:rPr>
                <w:rFonts w:ascii="Arial" w:hAnsi="Arial"/>
                <w:spacing w:val="6"/>
                <w:sz w:val="18"/>
                <w:szCs w:val="24"/>
              </w:rPr>
            </w:pPr>
            <w:r>
              <w:rPr>
                <w:rFonts w:ascii="Arial" w:hAnsi="Arial"/>
                <w:spacing w:val="6"/>
                <w:sz w:val="18"/>
                <w:szCs w:val="24"/>
              </w:rPr>
              <w:t>53</w:t>
            </w:r>
          </w:p>
        </w:tc>
      </w:tr>
      <w:tr w:rsidR="00EC4F97" w:rsidRPr="00365D06" w:rsidTr="00422AD9">
        <w:trPr>
          <w:trHeight w:val="255"/>
          <w:jc w:val="center"/>
        </w:trPr>
        <w:tc>
          <w:tcPr>
            <w:tcW w:w="4172"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CB39B5">
              <w:rPr>
                <w:rFonts w:ascii="Arial" w:hAnsi="Arial"/>
                <w:spacing w:val="6"/>
                <w:sz w:val="18"/>
                <w:szCs w:val="24"/>
              </w:rPr>
              <w:t>Fundaciones públicas</w:t>
            </w:r>
          </w:p>
        </w:tc>
        <w:tc>
          <w:tcPr>
            <w:tcW w:w="1001"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CB39B5">
              <w:rPr>
                <w:rFonts w:ascii="Arial" w:hAnsi="Arial"/>
                <w:spacing w:val="6"/>
                <w:sz w:val="18"/>
                <w:szCs w:val="24"/>
              </w:rPr>
              <w:t>9</w:t>
            </w:r>
          </w:p>
        </w:tc>
        <w:tc>
          <w:tcPr>
            <w:tcW w:w="976"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sidRPr="00CB39B5">
              <w:rPr>
                <w:rFonts w:ascii="Arial" w:hAnsi="Arial"/>
                <w:spacing w:val="6"/>
                <w:sz w:val="18"/>
                <w:szCs w:val="24"/>
              </w:rPr>
              <w:t>9</w:t>
            </w:r>
          </w:p>
        </w:tc>
        <w:tc>
          <w:tcPr>
            <w:tcW w:w="850"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sidRPr="00CB39B5">
              <w:rPr>
                <w:rFonts w:ascii="Arial" w:hAnsi="Arial"/>
                <w:spacing w:val="6"/>
                <w:sz w:val="18"/>
                <w:szCs w:val="24"/>
              </w:rPr>
              <w:t>9</w:t>
            </w:r>
          </w:p>
        </w:tc>
        <w:tc>
          <w:tcPr>
            <w:tcW w:w="993"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CB39B5">
              <w:rPr>
                <w:rFonts w:ascii="Arial" w:hAnsi="Arial"/>
                <w:spacing w:val="6"/>
                <w:sz w:val="18"/>
                <w:szCs w:val="24"/>
              </w:rPr>
              <w:t>9</w:t>
            </w:r>
          </w:p>
        </w:tc>
        <w:tc>
          <w:tcPr>
            <w:tcW w:w="832" w:type="dxa"/>
            <w:gridSpan w:val="2"/>
            <w:tcBorders>
              <w:top w:val="single" w:sz="4" w:space="0" w:color="auto"/>
              <w:bottom w:val="single" w:sz="4" w:space="0" w:color="auto"/>
            </w:tcBorders>
            <w:shd w:val="clear" w:color="auto" w:fill="FFFFFF"/>
            <w:vAlign w:val="center"/>
          </w:tcPr>
          <w:p w:rsidR="00EC4F97" w:rsidRPr="00CB39B5" w:rsidRDefault="00EC4F97" w:rsidP="00DC0A57">
            <w:pPr>
              <w:keepLines/>
              <w:tabs>
                <w:tab w:val="right" w:pos="2835"/>
                <w:tab w:val="right" w:pos="3969"/>
                <w:tab w:val="right" w:pos="5103"/>
                <w:tab w:val="right" w:pos="6237"/>
                <w:tab w:val="right" w:pos="7371"/>
              </w:tabs>
              <w:spacing w:after="0"/>
              <w:ind w:left="-189" w:right="-53" w:firstLine="0"/>
              <w:jc w:val="right"/>
              <w:rPr>
                <w:rFonts w:ascii="Arial" w:hAnsi="Arial"/>
                <w:spacing w:val="6"/>
                <w:sz w:val="18"/>
                <w:szCs w:val="24"/>
              </w:rPr>
            </w:pPr>
            <w:r>
              <w:rPr>
                <w:rFonts w:ascii="Arial" w:hAnsi="Arial"/>
                <w:spacing w:val="6"/>
                <w:sz w:val="18"/>
                <w:szCs w:val="24"/>
              </w:rPr>
              <w:t>8</w:t>
            </w:r>
          </w:p>
        </w:tc>
      </w:tr>
      <w:tr w:rsidR="00EC4F97" w:rsidRPr="00365D06" w:rsidTr="00422AD9">
        <w:trPr>
          <w:trHeight w:val="255"/>
          <w:jc w:val="center"/>
        </w:trPr>
        <w:tc>
          <w:tcPr>
            <w:tcW w:w="4172"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CB39B5">
              <w:rPr>
                <w:rFonts w:ascii="Arial" w:hAnsi="Arial"/>
                <w:spacing w:val="6"/>
                <w:sz w:val="18"/>
                <w:szCs w:val="24"/>
              </w:rPr>
              <w:t>Consorcios*</w:t>
            </w:r>
          </w:p>
        </w:tc>
        <w:tc>
          <w:tcPr>
            <w:tcW w:w="1001"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CB39B5">
              <w:rPr>
                <w:rFonts w:ascii="Arial" w:hAnsi="Arial"/>
                <w:spacing w:val="6"/>
                <w:sz w:val="18"/>
                <w:szCs w:val="24"/>
              </w:rPr>
              <w:t>16</w:t>
            </w:r>
          </w:p>
        </w:tc>
        <w:tc>
          <w:tcPr>
            <w:tcW w:w="976"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sidRPr="00CB39B5">
              <w:rPr>
                <w:rFonts w:ascii="Arial" w:hAnsi="Arial"/>
                <w:spacing w:val="6"/>
                <w:sz w:val="18"/>
                <w:szCs w:val="24"/>
              </w:rPr>
              <w:t>15</w:t>
            </w:r>
          </w:p>
        </w:tc>
        <w:tc>
          <w:tcPr>
            <w:tcW w:w="850"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sidRPr="00CB39B5">
              <w:rPr>
                <w:rFonts w:ascii="Arial" w:hAnsi="Arial"/>
                <w:spacing w:val="6"/>
                <w:sz w:val="18"/>
                <w:szCs w:val="24"/>
              </w:rPr>
              <w:t>15</w:t>
            </w:r>
          </w:p>
        </w:tc>
        <w:tc>
          <w:tcPr>
            <w:tcW w:w="993"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CB39B5">
              <w:rPr>
                <w:rFonts w:ascii="Arial" w:hAnsi="Arial"/>
                <w:spacing w:val="6"/>
                <w:sz w:val="18"/>
                <w:szCs w:val="24"/>
              </w:rPr>
              <w:t>15</w:t>
            </w:r>
          </w:p>
        </w:tc>
        <w:tc>
          <w:tcPr>
            <w:tcW w:w="832" w:type="dxa"/>
            <w:gridSpan w:val="2"/>
            <w:tcBorders>
              <w:top w:val="single" w:sz="4" w:space="0" w:color="auto"/>
              <w:bottom w:val="single" w:sz="4" w:space="0" w:color="auto"/>
            </w:tcBorders>
            <w:shd w:val="clear" w:color="auto" w:fill="FFFFFF"/>
            <w:vAlign w:val="center"/>
          </w:tcPr>
          <w:p w:rsidR="00EC4F97" w:rsidRPr="00CB39B5" w:rsidRDefault="00EC4F97" w:rsidP="00DC0A57">
            <w:pPr>
              <w:keepLines/>
              <w:tabs>
                <w:tab w:val="right" w:pos="2835"/>
                <w:tab w:val="right" w:pos="3969"/>
                <w:tab w:val="right" w:pos="5103"/>
                <w:tab w:val="right" w:pos="6237"/>
                <w:tab w:val="right" w:pos="7371"/>
              </w:tabs>
              <w:spacing w:after="0"/>
              <w:ind w:left="-189" w:right="-53" w:firstLine="0"/>
              <w:jc w:val="right"/>
              <w:rPr>
                <w:rFonts w:ascii="Arial" w:hAnsi="Arial"/>
                <w:spacing w:val="6"/>
                <w:sz w:val="18"/>
                <w:szCs w:val="24"/>
              </w:rPr>
            </w:pPr>
            <w:r>
              <w:rPr>
                <w:rFonts w:ascii="Arial" w:hAnsi="Arial"/>
                <w:spacing w:val="6"/>
                <w:sz w:val="18"/>
                <w:szCs w:val="24"/>
              </w:rPr>
              <w:t>17</w:t>
            </w:r>
          </w:p>
        </w:tc>
      </w:tr>
      <w:tr w:rsidR="00EC4F97" w:rsidRPr="00365D06" w:rsidTr="00422AD9">
        <w:trPr>
          <w:trHeight w:val="255"/>
          <w:jc w:val="center"/>
        </w:trPr>
        <w:tc>
          <w:tcPr>
            <w:tcW w:w="4172"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CB39B5">
              <w:rPr>
                <w:rFonts w:ascii="Arial" w:hAnsi="Arial"/>
                <w:spacing w:val="6"/>
                <w:sz w:val="18"/>
                <w:szCs w:val="24"/>
              </w:rPr>
              <w:t>Total</w:t>
            </w:r>
          </w:p>
        </w:tc>
        <w:tc>
          <w:tcPr>
            <w:tcW w:w="1001"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CB39B5">
              <w:rPr>
                <w:rFonts w:ascii="Arial" w:hAnsi="Arial"/>
                <w:spacing w:val="6"/>
                <w:sz w:val="18"/>
                <w:szCs w:val="24"/>
              </w:rPr>
              <w:t>141</w:t>
            </w:r>
          </w:p>
        </w:tc>
        <w:tc>
          <w:tcPr>
            <w:tcW w:w="976"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sidRPr="00CB39B5">
              <w:rPr>
                <w:rFonts w:ascii="Arial" w:hAnsi="Arial"/>
                <w:spacing w:val="6"/>
                <w:sz w:val="18"/>
                <w:szCs w:val="24"/>
              </w:rPr>
              <w:t>143</w:t>
            </w:r>
          </w:p>
        </w:tc>
        <w:tc>
          <w:tcPr>
            <w:tcW w:w="850"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sidRPr="00CB39B5">
              <w:rPr>
                <w:rFonts w:ascii="Arial" w:hAnsi="Arial"/>
                <w:spacing w:val="6"/>
                <w:sz w:val="18"/>
                <w:szCs w:val="24"/>
              </w:rPr>
              <w:t>144</w:t>
            </w:r>
          </w:p>
        </w:tc>
        <w:tc>
          <w:tcPr>
            <w:tcW w:w="993"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CB39B5">
              <w:rPr>
                <w:rFonts w:ascii="Arial" w:hAnsi="Arial"/>
                <w:spacing w:val="6"/>
                <w:sz w:val="18"/>
                <w:szCs w:val="24"/>
              </w:rPr>
              <w:t>142</w:t>
            </w:r>
          </w:p>
        </w:tc>
        <w:tc>
          <w:tcPr>
            <w:tcW w:w="832" w:type="dxa"/>
            <w:gridSpan w:val="2"/>
            <w:tcBorders>
              <w:top w:val="single" w:sz="4" w:space="0" w:color="auto"/>
              <w:bottom w:val="single" w:sz="4" w:space="0" w:color="auto"/>
            </w:tcBorders>
            <w:shd w:val="clear" w:color="auto" w:fill="FBD4B4" w:themeFill="accent6" w:themeFillTint="66"/>
            <w:vAlign w:val="center"/>
          </w:tcPr>
          <w:p w:rsidR="00EC4F97" w:rsidRPr="00CB39B5" w:rsidRDefault="00EC4F97" w:rsidP="00DC0A57">
            <w:pPr>
              <w:keepLines/>
              <w:tabs>
                <w:tab w:val="right" w:pos="2835"/>
                <w:tab w:val="right" w:pos="3969"/>
                <w:tab w:val="right" w:pos="5103"/>
                <w:tab w:val="right" w:pos="6237"/>
                <w:tab w:val="right" w:pos="7371"/>
              </w:tabs>
              <w:spacing w:after="0"/>
              <w:ind w:left="-189" w:right="-53" w:firstLine="0"/>
              <w:jc w:val="right"/>
              <w:rPr>
                <w:rFonts w:ascii="Arial" w:hAnsi="Arial"/>
                <w:spacing w:val="6"/>
                <w:sz w:val="18"/>
                <w:szCs w:val="24"/>
              </w:rPr>
            </w:pPr>
            <w:r>
              <w:rPr>
                <w:rFonts w:ascii="Arial" w:hAnsi="Arial"/>
                <w:spacing w:val="6"/>
                <w:sz w:val="18"/>
                <w:szCs w:val="24"/>
              </w:rPr>
              <w:t>139</w:t>
            </w:r>
          </w:p>
        </w:tc>
      </w:tr>
      <w:tr w:rsidR="00EC4F97" w:rsidRPr="00365D06" w:rsidTr="00422AD9">
        <w:trPr>
          <w:gridAfter w:val="1"/>
          <w:wAfter w:w="65" w:type="dxa"/>
          <w:trHeight w:val="121"/>
          <w:jc w:val="center"/>
        </w:trPr>
        <w:tc>
          <w:tcPr>
            <w:tcW w:w="8759" w:type="dxa"/>
            <w:gridSpan w:val="6"/>
            <w:tcBorders>
              <w:top w:val="single" w:sz="2" w:space="0" w:color="auto"/>
            </w:tcBorders>
          </w:tcPr>
          <w:p w:rsidR="00EC4F97" w:rsidRPr="00365D06" w:rsidRDefault="00EC4F97" w:rsidP="00422AD9">
            <w:pPr>
              <w:autoSpaceDE w:val="0"/>
              <w:autoSpaceDN w:val="0"/>
              <w:adjustRightInd w:val="0"/>
              <w:spacing w:beforeLines="20" w:before="48" w:afterLines="20" w:after="48"/>
              <w:ind w:left="18" w:firstLine="0"/>
              <w:rPr>
                <w:iCs/>
                <w:sz w:val="16"/>
                <w:szCs w:val="16"/>
              </w:rPr>
            </w:pPr>
            <w:r w:rsidRPr="00365D06">
              <w:rPr>
                <w:iCs/>
                <w:sz w:val="16"/>
                <w:szCs w:val="16"/>
              </w:rPr>
              <w:t xml:space="preserve">*Se incluyen todos  los consorcios existentes </w:t>
            </w:r>
          </w:p>
        </w:tc>
      </w:tr>
    </w:tbl>
    <w:p w:rsidR="00EC4F97" w:rsidRDefault="00EC4F97" w:rsidP="00EC4F97">
      <w:pPr>
        <w:pStyle w:val="texto"/>
        <w:spacing w:before="280"/>
        <w:rPr>
          <w:szCs w:val="26"/>
        </w:rPr>
      </w:pPr>
      <w:r>
        <w:rPr>
          <w:szCs w:val="26"/>
        </w:rPr>
        <w:t>Con respecto a 2016 y respecto a los organismos autónomos, se dan de alta la Escuela de Música del Valle de Salazar y el organismo autónomo para la gestión de agua dependiente de la Mancomunidad de Malerreka. Asimismo, se dan de baja el organismo autónomo Patronato de Deportes de Huarte, Valtierra, Centro Cívico La Esperanza y Nuestra Señora de Gracia de Viana. Con respe</w:t>
      </w:r>
      <w:r>
        <w:rPr>
          <w:szCs w:val="26"/>
        </w:rPr>
        <w:t>c</w:t>
      </w:r>
      <w:r>
        <w:rPr>
          <w:szCs w:val="26"/>
        </w:rPr>
        <w:t>to a esta última, aclarar que estaba incorrectamente encuadrada como organi</w:t>
      </w:r>
      <w:r>
        <w:rPr>
          <w:szCs w:val="26"/>
        </w:rPr>
        <w:t>s</w:t>
      </w:r>
      <w:r>
        <w:rPr>
          <w:szCs w:val="26"/>
        </w:rPr>
        <w:t>mo autónomo ya que se trata de una Fundación.</w:t>
      </w:r>
    </w:p>
    <w:p w:rsidR="00EC4F97" w:rsidRDefault="00EC4F97" w:rsidP="00EC4F97">
      <w:pPr>
        <w:pStyle w:val="texto"/>
        <w:spacing w:before="280"/>
        <w:rPr>
          <w:szCs w:val="26"/>
        </w:rPr>
      </w:pPr>
      <w:r>
        <w:rPr>
          <w:szCs w:val="26"/>
        </w:rPr>
        <w:t>En relación a las empresas públicas y respecto a 2016, se añaden tres nuevas, Esteribar, Zubilan Servicios Varios SL, Ansoain, Idakirolak SL y Bizkarmendia SLU. Además constatamos cuatro bajas, Sociedad Urbanística Municipal de Burguete SL, Huarte Mokarte Subterráneos SL, Urarte Desarrollo Urbano SA y Sociedad Municipal de servicios Puente la Reina Garés SA.</w:t>
      </w:r>
    </w:p>
    <w:p w:rsidR="00EC4F97" w:rsidRDefault="00EC4F97" w:rsidP="00EC4F97">
      <w:pPr>
        <w:pStyle w:val="texto"/>
        <w:spacing w:before="140"/>
        <w:rPr>
          <w:szCs w:val="26"/>
        </w:rPr>
      </w:pPr>
      <w:r>
        <w:rPr>
          <w:szCs w:val="26"/>
        </w:rPr>
        <w:t>En relación con los Consorcios incluimos dos altas respecto a 2016, Conso</w:t>
      </w:r>
      <w:r>
        <w:rPr>
          <w:szCs w:val="26"/>
        </w:rPr>
        <w:t>r</w:t>
      </w:r>
      <w:r>
        <w:rPr>
          <w:szCs w:val="26"/>
        </w:rPr>
        <w:t>cio de la escuela de música de Orreaga y Consorcio para la gestión de la ant</w:t>
      </w:r>
      <w:r>
        <w:rPr>
          <w:szCs w:val="26"/>
        </w:rPr>
        <w:t>i</w:t>
      </w:r>
      <w:r>
        <w:rPr>
          <w:szCs w:val="26"/>
        </w:rPr>
        <w:t>gua vía del tren a su paso por el término municipal de Sunbilla.</w:t>
      </w:r>
    </w:p>
    <w:p w:rsidR="00EC4F97" w:rsidRDefault="00EC4F97" w:rsidP="00EC4F97">
      <w:pPr>
        <w:pStyle w:val="texto"/>
        <w:spacing w:before="200"/>
        <w:rPr>
          <w:szCs w:val="26"/>
        </w:rPr>
      </w:pPr>
      <w:r>
        <w:rPr>
          <w:szCs w:val="26"/>
        </w:rPr>
        <w:lastRenderedPageBreak/>
        <w:t>Por último, y en cuanto a la variación de las Fundaciones, consta como baja la Fundación Buldain.</w:t>
      </w:r>
    </w:p>
    <w:p w:rsidR="00EC4F97" w:rsidRPr="00B122DA" w:rsidRDefault="00EC4F97" w:rsidP="00EC4F97">
      <w:pPr>
        <w:pStyle w:val="texto"/>
        <w:spacing w:after="240"/>
      </w:pPr>
      <w:r w:rsidRPr="00B122DA">
        <w:t>Considerando los datos anteriores, la estructura del sector público local de Navarra a 31 de diciembre del 201</w:t>
      </w:r>
      <w:r>
        <w:t>7 era la siguiente:</w:t>
      </w:r>
    </w:p>
    <w:p w:rsidR="00EC4F97" w:rsidRPr="001E6B7A" w:rsidRDefault="00EC4F97" w:rsidP="00EC4F97">
      <w:pPr>
        <w:tabs>
          <w:tab w:val="center" w:pos="2835"/>
          <w:tab w:val="center" w:pos="3969"/>
          <w:tab w:val="center" w:pos="5103"/>
          <w:tab w:val="center" w:pos="6237"/>
          <w:tab w:val="center" w:pos="7371"/>
        </w:tabs>
        <w:suppressAutoHyphens/>
        <w:spacing w:after="0"/>
        <w:ind w:left="-378" w:firstLine="284"/>
        <w:rPr>
          <w:rFonts w:ascii="Gill Sans MT" w:hAnsi="Gill Sans MT"/>
          <w:b/>
          <w:bCs/>
          <w:color w:val="000000"/>
          <w:spacing w:val="6"/>
          <w:sz w:val="26"/>
          <w:szCs w:val="24"/>
          <w:highlight w:val="yellow"/>
        </w:rPr>
      </w:pPr>
      <w:r>
        <w:rPr>
          <w:noProof/>
          <w:lang w:val="es-ES" w:eastAsia="es-ES"/>
        </w:rPr>
        <mc:AlternateContent>
          <mc:Choice Requires="wps">
            <w:drawing>
              <wp:anchor distT="0" distB="0" distL="114300" distR="114300" simplePos="0" relativeHeight="251665920" behindDoc="0" locked="0" layoutInCell="1" allowOverlap="1" wp14:anchorId="3A8E95C9" wp14:editId="0B150089">
                <wp:simplePos x="0" y="0"/>
                <wp:positionH relativeFrom="column">
                  <wp:posOffset>2169160</wp:posOffset>
                </wp:positionH>
                <wp:positionV relativeFrom="paragraph">
                  <wp:posOffset>59055</wp:posOffset>
                </wp:positionV>
                <wp:extent cx="1656080" cy="457200"/>
                <wp:effectExtent l="0" t="0" r="20320" b="1905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80" cy="457200"/>
                        </a:xfrm>
                        <a:prstGeom prst="rect">
                          <a:avLst/>
                        </a:prstGeom>
                        <a:solidFill>
                          <a:srgbClr val="FFFFFF"/>
                        </a:solidFill>
                        <a:ln w="3175">
                          <a:solidFill>
                            <a:srgbClr val="000000"/>
                          </a:solidFill>
                          <a:miter lim="800000"/>
                          <a:headEnd/>
                          <a:tailEnd/>
                        </a:ln>
                      </wps:spPr>
                      <wps:txbx>
                        <w:txbxContent>
                          <w:p w:rsidR="00422AD9" w:rsidRDefault="00422AD9" w:rsidP="00EC4F97">
                            <w:pPr>
                              <w:spacing w:before="100" w:after="0"/>
                              <w:ind w:firstLine="0"/>
                              <w:jc w:val="center"/>
                              <w:rPr>
                                <w:rFonts w:ascii="Arial" w:hAnsi="Arial" w:cs="Arial"/>
                                <w:lang w:val="es-ES"/>
                              </w:rPr>
                            </w:pPr>
                            <w:r w:rsidRPr="00D05EAF">
                              <w:rPr>
                                <w:rFonts w:ascii="Arial" w:hAnsi="Arial" w:cs="Arial"/>
                                <w:lang w:val="es-ES"/>
                              </w:rPr>
                              <w:t>Sector Público Local</w:t>
                            </w:r>
                          </w:p>
                          <w:p w:rsidR="00422AD9" w:rsidRPr="00D05EAF" w:rsidRDefault="00422AD9" w:rsidP="00EC4F97">
                            <w:pPr>
                              <w:spacing w:before="100" w:after="0"/>
                              <w:ind w:firstLine="0"/>
                              <w:jc w:val="center"/>
                              <w:rPr>
                                <w:rFonts w:ascii="Arial" w:hAnsi="Arial" w:cs="Arial"/>
                                <w:lang w:val="es-ES"/>
                              </w:rPr>
                            </w:pPr>
                            <w:r w:rsidRPr="00D05EAF">
                              <w:rPr>
                                <w:rFonts w:ascii="Arial" w:hAnsi="Arial" w:cs="Arial"/>
                                <w:lang w:val="es-ES"/>
                              </w:rPr>
                              <w:t>de Navarra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15" o:spid="_x0000_s1027" style="position:absolute;left:0;text-align:left;margin-left:170.8pt;margin-top:4.65pt;width:130.4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" strokeweight=".25pt">
                <v:textbox inset="1pt,1pt,1pt,1pt">
                  <w:txbxContent>
                    <w:p w:rsidR="00422AD9" w:rsidRDefault="00422AD9" w:rsidP="00EC4F97">
                      <w:pPr>
                        <w:spacing w:before="100" w:after="0"/>
                        <w:ind w:firstLine="0"/>
                        <w:jc w:val="center"/>
                        <w:rPr>
                          <w:rFonts w:ascii="Arial" w:hAnsi="Arial" w:cs="Arial"/>
                          <w:lang w:val="es-ES"/>
                        </w:rPr>
                      </w:pPr>
                      <w:r w:rsidRPr="00D05EAF">
                        <w:rPr>
                          <w:rFonts w:ascii="Arial" w:hAnsi="Arial" w:cs="Arial"/>
                          <w:lang w:val="es-ES"/>
                        </w:rPr>
                        <w:t>Sector Público Local</w:t>
                      </w:r>
                    </w:p>
                    <w:p w:rsidR="00422AD9" w:rsidRPr="00D05EAF" w:rsidRDefault="00422AD9" w:rsidP="00EC4F97">
                      <w:pPr>
                        <w:spacing w:before="100" w:after="0"/>
                        <w:ind w:firstLine="0"/>
                        <w:jc w:val="center"/>
                        <w:rPr>
                          <w:rFonts w:ascii="Arial" w:hAnsi="Arial" w:cs="Arial"/>
                          <w:lang w:val="es-ES"/>
                        </w:rPr>
                      </w:pPr>
                      <w:proofErr w:type="gramStart"/>
                      <w:r w:rsidRPr="00D05EAF">
                        <w:rPr>
                          <w:rFonts w:ascii="Arial" w:hAnsi="Arial" w:cs="Arial"/>
                          <w:lang w:val="es-ES"/>
                        </w:rPr>
                        <w:t>de</w:t>
                      </w:r>
                      <w:proofErr w:type="gramEnd"/>
                      <w:r w:rsidRPr="00D05EAF">
                        <w:rPr>
                          <w:rFonts w:ascii="Arial" w:hAnsi="Arial" w:cs="Arial"/>
                          <w:lang w:val="es-ES"/>
                        </w:rPr>
                        <w:t xml:space="preserve"> Navarra</w:t>
                      </w:r>
                    </w:p>
                  </w:txbxContent>
                </v:textbox>
              </v:rect>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r>
        <w:rPr>
          <w:noProof/>
          <w:lang w:val="es-ES" w:eastAsia="es-ES"/>
        </w:rPr>
        <mc:AlternateContent>
          <mc:Choice Requires="wps">
            <w:drawing>
              <wp:anchor distT="0" distB="0" distL="114300" distR="114300" simplePos="0" relativeHeight="251660800" behindDoc="0" locked="0" layoutInCell="1" allowOverlap="1" wp14:anchorId="3FC24A4E" wp14:editId="1BA97791">
                <wp:simplePos x="0" y="0"/>
                <wp:positionH relativeFrom="column">
                  <wp:posOffset>3058160</wp:posOffset>
                </wp:positionH>
                <wp:positionV relativeFrom="paragraph">
                  <wp:posOffset>222250</wp:posOffset>
                </wp:positionV>
                <wp:extent cx="8255" cy="1061085"/>
                <wp:effectExtent l="0" t="0" r="29845" b="24765"/>
                <wp:wrapNone/>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06108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8pt,17.5pt" to="241.4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" strokeweight=".25pt">
                <v:stroke startarrowwidth="narrow" startarrowlength="short" endarrowwidth="narrow" endarrowlength="short"/>
              </v:line>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r>
        <w:rPr>
          <w:noProof/>
          <w:lang w:val="es-ES" w:eastAsia="es-ES"/>
        </w:rPr>
        <mc:AlternateContent>
          <mc:Choice Requires="wps">
            <w:drawing>
              <wp:anchor distT="0" distB="0" distL="114299" distR="114299" simplePos="0" relativeHeight="251662848" behindDoc="0" locked="0" layoutInCell="1" allowOverlap="1" wp14:anchorId="4F5CB85D" wp14:editId="33199496">
                <wp:simplePos x="0" y="0"/>
                <wp:positionH relativeFrom="column">
                  <wp:posOffset>768350</wp:posOffset>
                </wp:positionH>
                <wp:positionV relativeFrom="paragraph">
                  <wp:posOffset>242570</wp:posOffset>
                </wp:positionV>
                <wp:extent cx="3810" cy="1000760"/>
                <wp:effectExtent l="0" t="0" r="34290" b="2794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0007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10"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5pt,19.1pt" to="60.8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" strokeweight=".25pt"/>
            </w:pict>
          </mc:Fallback>
        </mc:AlternateContent>
      </w:r>
      <w:r>
        <w:rPr>
          <w:noProof/>
          <w:lang w:val="es-ES" w:eastAsia="es-ES"/>
        </w:rPr>
        <mc:AlternateContent>
          <mc:Choice Requires="wps">
            <w:drawing>
              <wp:anchor distT="0" distB="0" distL="114300" distR="114300" simplePos="0" relativeHeight="251663872" behindDoc="0" locked="0" layoutInCell="1" allowOverlap="1" wp14:anchorId="77661F4C" wp14:editId="23CB9A87">
                <wp:simplePos x="0" y="0"/>
                <wp:positionH relativeFrom="column">
                  <wp:posOffset>5198745</wp:posOffset>
                </wp:positionH>
                <wp:positionV relativeFrom="paragraph">
                  <wp:posOffset>240030</wp:posOffset>
                </wp:positionV>
                <wp:extent cx="6985" cy="388620"/>
                <wp:effectExtent l="0" t="0" r="31115" b="1143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38862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1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35pt,18.9pt" to="409.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" strokeweight=".25pt">
                <v:stroke startarrowwidth="narrow" startarrowlength="short" endarrowwidth="narrow" endarrowlength="short"/>
              </v:line>
            </w:pict>
          </mc:Fallback>
        </mc:AlternateContent>
      </w:r>
      <w:r>
        <w:rPr>
          <w:noProof/>
          <w:lang w:val="es-ES" w:eastAsia="es-ES"/>
        </w:rPr>
        <mc:AlternateContent>
          <mc:Choice Requires="wps">
            <w:drawing>
              <wp:anchor distT="4294967295" distB="4294967295" distL="114300" distR="114300" simplePos="0" relativeHeight="251661824" behindDoc="0" locked="0" layoutInCell="1" allowOverlap="1" wp14:anchorId="54F3E085" wp14:editId="2AF91FFD">
                <wp:simplePos x="0" y="0"/>
                <wp:positionH relativeFrom="column">
                  <wp:posOffset>772160</wp:posOffset>
                </wp:positionH>
                <wp:positionV relativeFrom="paragraph">
                  <wp:posOffset>244474</wp:posOffset>
                </wp:positionV>
                <wp:extent cx="4426585" cy="0"/>
                <wp:effectExtent l="0" t="0" r="12065" b="19050"/>
                <wp:wrapNone/>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6585" cy="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8pt,19.25pt" to="409.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" strokeweight=".25pt">
                <v:stroke startarrowwidth="narrow" startarrowlength="short" endarrowwidth="narrow" endarrowlength="short"/>
              </v:line>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r>
        <w:rPr>
          <w:noProof/>
          <w:lang w:val="es-ES" w:eastAsia="es-ES"/>
        </w:rPr>
        <mc:AlternateContent>
          <mc:Choice Requires="wps">
            <w:drawing>
              <wp:anchor distT="0" distB="0" distL="114300" distR="114300" simplePos="0" relativeHeight="251668992" behindDoc="0" locked="0" layoutInCell="1" allowOverlap="1" wp14:anchorId="324D064D" wp14:editId="4FF78632">
                <wp:simplePos x="0" y="0"/>
                <wp:positionH relativeFrom="column">
                  <wp:posOffset>342881</wp:posOffset>
                </wp:positionH>
                <wp:positionV relativeFrom="paragraph">
                  <wp:posOffset>273685</wp:posOffset>
                </wp:positionV>
                <wp:extent cx="841375" cy="370840"/>
                <wp:effectExtent l="0" t="0" r="15875"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370840"/>
                        </a:xfrm>
                        <a:prstGeom prst="rect">
                          <a:avLst/>
                        </a:prstGeom>
                        <a:solidFill>
                          <a:srgbClr val="FFFFFF"/>
                        </a:solidFill>
                        <a:ln w="3175">
                          <a:solidFill>
                            <a:srgbClr val="000000"/>
                          </a:solidFill>
                          <a:miter lim="800000"/>
                          <a:headEnd/>
                          <a:tailEnd/>
                        </a:ln>
                      </wps:spPr>
                      <wps:txbx>
                        <w:txbxContent>
                          <w:p w:rsidR="00422AD9" w:rsidRPr="00D05EAF" w:rsidRDefault="00422AD9" w:rsidP="00EC4F97">
                            <w:pPr>
                              <w:spacing w:before="140" w:after="100"/>
                              <w:ind w:firstLine="0"/>
                              <w:jc w:val="center"/>
                              <w:rPr>
                                <w:rFonts w:ascii="Arial Narrow" w:hAnsi="Arial Narrow" w:cs="GillSans"/>
                                <w:sz w:val="18"/>
                                <w:szCs w:val="18"/>
                              </w:rPr>
                            </w:pPr>
                            <w:r w:rsidRPr="00D05EAF">
                              <w:rPr>
                                <w:rFonts w:ascii="Arial Narrow" w:hAnsi="Arial Narrow" w:cs="GillSans"/>
                                <w:sz w:val="18"/>
                                <w:szCs w:val="18"/>
                              </w:rPr>
                              <w:t>Municipios: 272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18" o:spid="_x0000_s1028" style="position:absolute;left:0;text-align:left;margin-left:27pt;margin-top:21.55pt;width:66.25pt;height:29.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" strokeweight=".25pt">
                <v:textbox inset="1pt,1pt,1pt,1pt">
                  <w:txbxContent>
                    <w:p w:rsidR="00422AD9" w:rsidRPr="00D05EAF" w:rsidRDefault="00422AD9" w:rsidP="00EC4F97">
                      <w:pPr>
                        <w:spacing w:before="140" w:after="100"/>
                        <w:ind w:firstLine="0"/>
                        <w:jc w:val="center"/>
                        <w:rPr>
                          <w:rFonts w:ascii="Arial Narrow" w:hAnsi="Arial Narrow" w:cs="GillSans"/>
                          <w:sz w:val="18"/>
                          <w:szCs w:val="18"/>
                        </w:rPr>
                      </w:pPr>
                      <w:r w:rsidRPr="00D05EAF">
                        <w:rPr>
                          <w:rFonts w:ascii="Arial Narrow" w:hAnsi="Arial Narrow" w:cs="GillSans"/>
                          <w:sz w:val="18"/>
                          <w:szCs w:val="18"/>
                        </w:rPr>
                        <w:t>Municipios: 272</w:t>
                      </w:r>
                    </w:p>
                  </w:txbxContent>
                </v:textbox>
              </v:rect>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10"/>
          <w:szCs w:val="10"/>
          <w:highlight w:val="yellow"/>
        </w:rPr>
      </w:pPr>
      <w:r>
        <w:rPr>
          <w:noProof/>
          <w:lang w:val="es-ES" w:eastAsia="es-ES"/>
        </w:rPr>
        <mc:AlternateContent>
          <mc:Choice Requires="wps">
            <w:drawing>
              <wp:anchor distT="0" distB="0" distL="114300" distR="114300" simplePos="0" relativeHeight="251667968" behindDoc="0" locked="0" layoutInCell="1" allowOverlap="1" wp14:anchorId="65E41E47" wp14:editId="7B6A7C21">
                <wp:simplePos x="0" y="0"/>
                <wp:positionH relativeFrom="column">
                  <wp:posOffset>2566035</wp:posOffset>
                </wp:positionH>
                <wp:positionV relativeFrom="paragraph">
                  <wp:posOffset>12700</wp:posOffset>
                </wp:positionV>
                <wp:extent cx="1019175" cy="370205"/>
                <wp:effectExtent l="0" t="0" r="28575" b="107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70205"/>
                        </a:xfrm>
                        <a:prstGeom prst="rect">
                          <a:avLst/>
                        </a:prstGeom>
                        <a:solidFill>
                          <a:srgbClr val="FFFFFF"/>
                        </a:solidFill>
                        <a:ln w="3175">
                          <a:solidFill>
                            <a:srgbClr val="000000"/>
                          </a:solidFill>
                          <a:miter lim="800000"/>
                          <a:headEnd/>
                          <a:tailEnd/>
                        </a:ln>
                      </wps:spPr>
                      <wps:txbx>
                        <w:txbxContent>
                          <w:p w:rsidR="00422AD9" w:rsidRPr="00D05EAF" w:rsidRDefault="00422AD9" w:rsidP="00EC4F97">
                            <w:pPr>
                              <w:spacing w:before="60" w:after="0"/>
                              <w:ind w:firstLine="0"/>
                              <w:jc w:val="center"/>
                              <w:rPr>
                                <w:rFonts w:ascii="Arial Narrow" w:hAnsi="Arial Narrow" w:cs="GillSans"/>
                                <w:sz w:val="18"/>
                                <w:szCs w:val="18"/>
                              </w:rPr>
                            </w:pPr>
                            <w:r w:rsidRPr="00D05EAF">
                              <w:rPr>
                                <w:rFonts w:ascii="Arial Narrow" w:hAnsi="Arial Narrow" w:cs="GillSans"/>
                                <w:sz w:val="18"/>
                                <w:szCs w:val="18"/>
                              </w:rPr>
                              <w:t xml:space="preserve">Entidades </w:t>
                            </w:r>
                          </w:p>
                          <w:p w:rsidR="00422AD9" w:rsidRPr="00D05EAF" w:rsidRDefault="00422AD9" w:rsidP="00EC4F97">
                            <w:pPr>
                              <w:spacing w:after="100"/>
                              <w:ind w:firstLine="0"/>
                              <w:jc w:val="center"/>
                              <w:rPr>
                                <w:rFonts w:ascii="Arial Narrow" w:hAnsi="Arial Narrow" w:cs="GillSans"/>
                                <w:sz w:val="18"/>
                                <w:szCs w:val="18"/>
                              </w:rPr>
                            </w:pPr>
                            <w:r w:rsidRPr="00D05EAF">
                              <w:rPr>
                                <w:rFonts w:ascii="Arial Narrow" w:hAnsi="Arial Narrow" w:cs="GillSans"/>
                                <w:sz w:val="18"/>
                                <w:szCs w:val="18"/>
                              </w:rPr>
                              <w:t xml:space="preserve"> supramunicipales: </w:t>
                            </w:r>
                            <w:r>
                              <w:rPr>
                                <w:rFonts w:ascii="Arial Narrow" w:hAnsi="Arial Narrow" w:cs="GillSans"/>
                                <w:sz w:val="18"/>
                                <w:szCs w:val="18"/>
                              </w:rPr>
                              <w:t>85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17" o:spid="_x0000_s1029" style="position:absolute;left:0;text-align:left;margin-left:202.05pt;margin-top:1pt;width:80.25pt;height:29.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" strokeweight=".25pt">
                <v:textbox inset="1pt,1pt,1pt,1pt">
                  <w:txbxContent>
                    <w:p w:rsidR="00422AD9" w:rsidRPr="00D05EAF" w:rsidRDefault="00422AD9" w:rsidP="00EC4F97">
                      <w:pPr>
                        <w:spacing w:before="60" w:after="0"/>
                        <w:ind w:firstLine="0"/>
                        <w:jc w:val="center"/>
                        <w:rPr>
                          <w:rFonts w:ascii="Arial Narrow" w:hAnsi="Arial Narrow" w:cs="GillSans"/>
                          <w:sz w:val="18"/>
                          <w:szCs w:val="18"/>
                        </w:rPr>
                      </w:pPr>
                      <w:r w:rsidRPr="00D05EAF">
                        <w:rPr>
                          <w:rFonts w:ascii="Arial Narrow" w:hAnsi="Arial Narrow" w:cs="GillSans"/>
                          <w:sz w:val="18"/>
                          <w:szCs w:val="18"/>
                        </w:rPr>
                        <w:t xml:space="preserve">Entidades </w:t>
                      </w:r>
                    </w:p>
                    <w:p w:rsidR="00422AD9" w:rsidRPr="00D05EAF" w:rsidRDefault="00422AD9" w:rsidP="00EC4F97">
                      <w:pPr>
                        <w:spacing w:after="100"/>
                        <w:ind w:firstLine="0"/>
                        <w:jc w:val="center"/>
                        <w:rPr>
                          <w:rFonts w:ascii="Arial Narrow" w:hAnsi="Arial Narrow" w:cs="GillSans"/>
                          <w:sz w:val="18"/>
                          <w:szCs w:val="18"/>
                        </w:rPr>
                      </w:pPr>
                      <w:r w:rsidRPr="00D05EAF">
                        <w:rPr>
                          <w:rFonts w:ascii="Arial Narrow" w:hAnsi="Arial Narrow" w:cs="GillSans"/>
                          <w:sz w:val="18"/>
                          <w:szCs w:val="18"/>
                        </w:rPr>
                        <w:t xml:space="preserve"> </w:t>
                      </w:r>
                      <w:proofErr w:type="gramStart"/>
                      <w:r w:rsidRPr="00D05EAF">
                        <w:rPr>
                          <w:rFonts w:ascii="Arial Narrow" w:hAnsi="Arial Narrow" w:cs="GillSans"/>
                          <w:sz w:val="18"/>
                          <w:szCs w:val="18"/>
                        </w:rPr>
                        <w:t>supramunicipales</w:t>
                      </w:r>
                      <w:proofErr w:type="gramEnd"/>
                      <w:r w:rsidRPr="00D05EAF">
                        <w:rPr>
                          <w:rFonts w:ascii="Arial Narrow" w:hAnsi="Arial Narrow" w:cs="GillSans"/>
                          <w:sz w:val="18"/>
                          <w:szCs w:val="18"/>
                        </w:rPr>
                        <w:t xml:space="preserve">: </w:t>
                      </w:r>
                      <w:r>
                        <w:rPr>
                          <w:rFonts w:ascii="Arial Narrow" w:hAnsi="Arial Narrow" w:cs="GillSans"/>
                          <w:sz w:val="18"/>
                          <w:szCs w:val="18"/>
                        </w:rPr>
                        <w:t>85</w:t>
                      </w:r>
                    </w:p>
                  </w:txbxContent>
                </v:textbox>
              </v:rect>
            </w:pict>
          </mc:Fallback>
        </mc:AlternateContent>
      </w:r>
      <w:r>
        <w:rPr>
          <w:noProof/>
          <w:lang w:val="es-ES" w:eastAsia="es-ES"/>
        </w:rPr>
        <mc:AlternateContent>
          <mc:Choice Requires="wps">
            <w:drawing>
              <wp:anchor distT="0" distB="0" distL="114300" distR="114300" simplePos="0" relativeHeight="251666944" behindDoc="0" locked="0" layoutInCell="1" allowOverlap="1" wp14:anchorId="3F29053C" wp14:editId="23BAA365">
                <wp:simplePos x="0" y="0"/>
                <wp:positionH relativeFrom="column">
                  <wp:posOffset>4740910</wp:posOffset>
                </wp:positionH>
                <wp:positionV relativeFrom="paragraph">
                  <wp:posOffset>8890</wp:posOffset>
                </wp:positionV>
                <wp:extent cx="842010" cy="369570"/>
                <wp:effectExtent l="0" t="0" r="15240" b="1143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 cy="369570"/>
                        </a:xfrm>
                        <a:prstGeom prst="rect">
                          <a:avLst/>
                        </a:prstGeom>
                        <a:solidFill>
                          <a:srgbClr val="FFFFFF"/>
                        </a:solidFill>
                        <a:ln w="3175">
                          <a:solidFill>
                            <a:srgbClr val="000000"/>
                          </a:solidFill>
                          <a:miter lim="800000"/>
                          <a:headEnd/>
                          <a:tailEnd/>
                        </a:ln>
                      </wps:spPr>
                      <wps:txbx>
                        <w:txbxContent>
                          <w:p w:rsidR="00422AD9" w:rsidRPr="00D05EAF" w:rsidRDefault="00422AD9" w:rsidP="00EC4F97">
                            <w:pPr>
                              <w:spacing w:before="140" w:after="100"/>
                              <w:ind w:firstLine="0"/>
                              <w:jc w:val="center"/>
                              <w:rPr>
                                <w:rFonts w:ascii="Arial Narrow" w:hAnsi="Arial Narrow" w:cs="GillSans"/>
                                <w:sz w:val="18"/>
                                <w:szCs w:val="18"/>
                              </w:rPr>
                            </w:pPr>
                            <w:r w:rsidRPr="00D05EAF">
                              <w:rPr>
                                <w:rFonts w:ascii="Arial Narrow" w:hAnsi="Arial Narrow" w:cs="GillSans"/>
                                <w:sz w:val="18"/>
                                <w:szCs w:val="18"/>
                              </w:rPr>
                              <w:t>Concejos: 34</w:t>
                            </w:r>
                            <w:r>
                              <w:rPr>
                                <w:rFonts w:ascii="Arial Narrow" w:hAnsi="Arial Narrow" w:cs="GillSans"/>
                                <w:sz w:val="18"/>
                                <w:szCs w:val="18"/>
                              </w:rPr>
                              <w:t>6</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16" o:spid="_x0000_s1030" style="position:absolute;left:0;text-align:left;margin-left:373.3pt;margin-top:.7pt;width:66.3pt;height:29.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" strokeweight=".25pt">
                <v:textbox inset="1pt,1pt,1pt,1pt">
                  <w:txbxContent>
                    <w:p w:rsidR="00422AD9" w:rsidRPr="00D05EAF" w:rsidRDefault="00422AD9" w:rsidP="00EC4F97">
                      <w:pPr>
                        <w:spacing w:before="140" w:after="100"/>
                        <w:ind w:firstLine="0"/>
                        <w:jc w:val="center"/>
                        <w:rPr>
                          <w:rFonts w:ascii="Arial Narrow" w:hAnsi="Arial Narrow" w:cs="GillSans"/>
                          <w:sz w:val="18"/>
                          <w:szCs w:val="18"/>
                        </w:rPr>
                      </w:pPr>
                      <w:r w:rsidRPr="00D05EAF">
                        <w:rPr>
                          <w:rFonts w:ascii="Arial Narrow" w:hAnsi="Arial Narrow" w:cs="GillSans"/>
                          <w:sz w:val="18"/>
                          <w:szCs w:val="18"/>
                        </w:rPr>
                        <w:t>Concejos: 34</w:t>
                      </w:r>
                      <w:r>
                        <w:rPr>
                          <w:rFonts w:ascii="Arial Narrow" w:hAnsi="Arial Narrow" w:cs="GillSans"/>
                          <w:sz w:val="18"/>
                          <w:szCs w:val="18"/>
                        </w:rPr>
                        <w:t>6</w:t>
                      </w:r>
                    </w:p>
                  </w:txbxContent>
                </v:textbox>
              </v:rect>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r>
        <w:rPr>
          <w:rFonts w:ascii="Gill Sans MT" w:hAnsi="Gill Sans MT"/>
          <w:noProof/>
          <w:color w:val="000000"/>
          <w:spacing w:val="6"/>
          <w:sz w:val="26"/>
          <w:szCs w:val="24"/>
          <w:lang w:val="es-ES" w:eastAsia="es-ES"/>
        </w:rPr>
        <mc:AlternateContent>
          <mc:Choice Requires="wps">
            <w:drawing>
              <wp:anchor distT="0" distB="0" distL="114300" distR="114300" simplePos="0" relativeHeight="251675136" behindDoc="0" locked="0" layoutInCell="1" allowOverlap="1" wp14:anchorId="4A1B0FF0" wp14:editId="0B3F5783">
                <wp:simplePos x="0" y="0"/>
                <wp:positionH relativeFrom="column">
                  <wp:posOffset>3064820</wp:posOffset>
                </wp:positionH>
                <wp:positionV relativeFrom="paragraph">
                  <wp:posOffset>208205</wp:posOffset>
                </wp:positionV>
                <wp:extent cx="0" cy="109752"/>
                <wp:effectExtent l="0" t="0" r="19050" b="24130"/>
                <wp:wrapNone/>
                <wp:docPr id="7" name="7 Conector recto"/>
                <wp:cNvGraphicFramePr/>
                <a:graphic xmlns:a="http://schemas.openxmlformats.org/drawingml/2006/main">
                  <a:graphicData uri="http://schemas.microsoft.com/office/word/2010/wordprocessingShape">
                    <wps:wsp>
                      <wps:cNvCnPr/>
                      <wps:spPr>
                        <a:xfrm>
                          <a:off x="0" y="0"/>
                          <a:ext cx="0" cy="1097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id="7 Conector recto"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241.3pt,16.4pt" to="241.3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" strokecolor="#4579b8 [3044]"/>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r>
        <w:rPr>
          <w:noProof/>
          <w:lang w:val="es-ES" w:eastAsia="es-ES"/>
        </w:rPr>
        <mc:AlternateContent>
          <mc:Choice Requires="wps">
            <w:drawing>
              <wp:anchor distT="0" distB="0" distL="114300" distR="114300" simplePos="0" relativeHeight="251670016" behindDoc="0" locked="0" layoutInCell="1" allowOverlap="1" wp14:anchorId="180CF098" wp14:editId="4376ACF1">
                <wp:simplePos x="0" y="0"/>
                <wp:positionH relativeFrom="column">
                  <wp:posOffset>61595</wp:posOffset>
                </wp:positionH>
                <wp:positionV relativeFrom="paragraph">
                  <wp:posOffset>144780</wp:posOffset>
                </wp:positionV>
                <wp:extent cx="1433195" cy="623570"/>
                <wp:effectExtent l="0" t="0" r="14605" b="24130"/>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195" cy="623570"/>
                        </a:xfrm>
                        <a:prstGeom prst="rect">
                          <a:avLst/>
                        </a:prstGeom>
                        <a:solidFill>
                          <a:srgbClr val="FFFFFF"/>
                        </a:solidFill>
                        <a:ln w="3175">
                          <a:solidFill>
                            <a:srgbClr val="000000"/>
                          </a:solidFill>
                          <a:miter lim="800000"/>
                          <a:headEnd/>
                          <a:tailEnd/>
                        </a:ln>
                      </wps:spPr>
                      <wps:txbx>
                        <w:txbxContent>
                          <w:p w:rsidR="00422AD9" w:rsidRPr="00D05EAF" w:rsidRDefault="00422AD9" w:rsidP="00EC4F97">
                            <w:pPr>
                              <w:spacing w:before="20" w:after="0"/>
                              <w:ind w:left="14" w:firstLine="0"/>
                              <w:jc w:val="center"/>
                              <w:rPr>
                                <w:rFonts w:ascii="Arial Narrow" w:hAnsi="Arial Narrow" w:cs="GillSans Light"/>
                                <w:sz w:val="18"/>
                                <w:szCs w:val="18"/>
                                <w:highlight w:val="yellow"/>
                              </w:rPr>
                            </w:pPr>
                            <w:r w:rsidRPr="00D05EAF">
                              <w:rPr>
                                <w:rFonts w:ascii="Arial Narrow" w:hAnsi="Arial Narrow" w:cs="GillSans Light"/>
                                <w:sz w:val="18"/>
                                <w:szCs w:val="18"/>
                              </w:rPr>
                              <w:t>Organismos autónomos: 6</w:t>
                            </w:r>
                            <w:r>
                              <w:rPr>
                                <w:rFonts w:ascii="Arial Narrow" w:hAnsi="Arial Narrow" w:cs="GillSans Light"/>
                                <w:sz w:val="18"/>
                                <w:szCs w:val="18"/>
                              </w:rPr>
                              <w:t>0</w:t>
                            </w:r>
                          </w:p>
                          <w:p w:rsidR="00422AD9" w:rsidRPr="00D05EAF" w:rsidRDefault="00422AD9" w:rsidP="00EC4F97">
                            <w:pPr>
                              <w:spacing w:before="20" w:after="0"/>
                              <w:ind w:left="14" w:firstLine="0"/>
                              <w:jc w:val="center"/>
                              <w:rPr>
                                <w:rFonts w:ascii="Arial Narrow" w:hAnsi="Arial Narrow" w:cs="GillSans Light"/>
                                <w:sz w:val="18"/>
                                <w:szCs w:val="18"/>
                              </w:rPr>
                            </w:pPr>
                            <w:r w:rsidRPr="00D05EAF">
                              <w:rPr>
                                <w:rFonts w:ascii="Arial Narrow" w:hAnsi="Arial Narrow" w:cs="GillSans Light"/>
                                <w:sz w:val="18"/>
                                <w:szCs w:val="18"/>
                              </w:rPr>
                              <w:t>Sociedades mercantiles: 4</w:t>
                            </w:r>
                            <w:r>
                              <w:rPr>
                                <w:rFonts w:ascii="Arial Narrow" w:hAnsi="Arial Narrow" w:cs="GillSans Light"/>
                                <w:sz w:val="18"/>
                                <w:szCs w:val="18"/>
                              </w:rPr>
                              <w:t>6</w:t>
                            </w:r>
                          </w:p>
                          <w:p w:rsidR="00422AD9" w:rsidRDefault="00422AD9" w:rsidP="00EC4F97">
                            <w:pPr>
                              <w:spacing w:after="0"/>
                              <w:ind w:left="14" w:firstLine="0"/>
                              <w:jc w:val="center"/>
                              <w:rPr>
                                <w:rFonts w:ascii="Arial Narrow" w:hAnsi="Arial Narrow" w:cs="GillSans Light"/>
                                <w:sz w:val="18"/>
                                <w:szCs w:val="18"/>
                              </w:rPr>
                            </w:pPr>
                            <w:r w:rsidRPr="00D05EAF">
                              <w:rPr>
                                <w:rFonts w:ascii="Arial Narrow" w:hAnsi="Arial Narrow" w:cs="GillSans Light"/>
                                <w:sz w:val="18"/>
                                <w:szCs w:val="18"/>
                              </w:rPr>
                              <w:t xml:space="preserve">Fundaciones: </w:t>
                            </w:r>
                            <w:r>
                              <w:rPr>
                                <w:rFonts w:ascii="Arial Narrow" w:hAnsi="Arial Narrow" w:cs="GillSans Light"/>
                                <w:sz w:val="18"/>
                                <w:szCs w:val="18"/>
                              </w:rPr>
                              <w:t>8</w:t>
                            </w:r>
                          </w:p>
                          <w:p w:rsidR="00422AD9" w:rsidRPr="00D05EAF" w:rsidRDefault="00422AD9" w:rsidP="00EC4F97">
                            <w:pPr>
                              <w:spacing w:after="0"/>
                              <w:ind w:left="14" w:firstLine="0"/>
                              <w:jc w:val="center"/>
                              <w:rPr>
                                <w:rFonts w:ascii="Arial Narrow" w:hAnsi="Arial Narrow" w:cs="GillSans Light"/>
                                <w:sz w:val="18"/>
                                <w:szCs w:val="18"/>
                              </w:rPr>
                            </w:pPr>
                            <w:r>
                              <w:rPr>
                                <w:rFonts w:ascii="Arial Narrow" w:hAnsi="Arial Narrow" w:cs="GillSans Light"/>
                                <w:sz w:val="18"/>
                                <w:szCs w:val="18"/>
                              </w:rPr>
                              <w:t>Consorcios: 17</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19" o:spid="_x0000_s1031" style="position:absolute;left:0;text-align:left;margin-left:4.85pt;margin-top:11.4pt;width:112.85pt;height:49.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2FgJwIAAFAEAAAOAAAAZHJzL2Uyb0RvYy54bWysVMGO0zAQvSPxD5bvNElL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" strokeweight=".25pt">
                <v:textbox inset="1pt,1pt,1pt,1pt">
                  <w:txbxContent>
                    <w:p w:rsidR="00422AD9" w:rsidRPr="00D05EAF" w:rsidRDefault="00422AD9" w:rsidP="00EC4F97">
                      <w:pPr>
                        <w:spacing w:before="20" w:after="0"/>
                        <w:ind w:left="14" w:firstLine="0"/>
                        <w:jc w:val="center"/>
                        <w:rPr>
                          <w:rFonts w:ascii="Arial Narrow" w:hAnsi="Arial Narrow" w:cs="GillSans Light"/>
                          <w:sz w:val="18"/>
                          <w:szCs w:val="18"/>
                          <w:highlight w:val="yellow"/>
                        </w:rPr>
                      </w:pPr>
                      <w:r w:rsidRPr="00D05EAF">
                        <w:rPr>
                          <w:rFonts w:ascii="Arial Narrow" w:hAnsi="Arial Narrow" w:cs="GillSans Light"/>
                          <w:sz w:val="18"/>
                          <w:szCs w:val="18"/>
                        </w:rPr>
                        <w:t>Organismos autónomos: 6</w:t>
                      </w:r>
                      <w:r>
                        <w:rPr>
                          <w:rFonts w:ascii="Arial Narrow" w:hAnsi="Arial Narrow" w:cs="GillSans Light"/>
                          <w:sz w:val="18"/>
                          <w:szCs w:val="18"/>
                        </w:rPr>
                        <w:t>0</w:t>
                      </w:r>
                    </w:p>
                    <w:p w:rsidR="00422AD9" w:rsidRPr="00D05EAF" w:rsidRDefault="00422AD9" w:rsidP="00EC4F97">
                      <w:pPr>
                        <w:spacing w:before="20" w:after="0"/>
                        <w:ind w:left="14" w:firstLine="0"/>
                        <w:jc w:val="center"/>
                        <w:rPr>
                          <w:rFonts w:ascii="Arial Narrow" w:hAnsi="Arial Narrow" w:cs="GillSans Light"/>
                          <w:sz w:val="18"/>
                          <w:szCs w:val="18"/>
                        </w:rPr>
                      </w:pPr>
                      <w:r w:rsidRPr="00D05EAF">
                        <w:rPr>
                          <w:rFonts w:ascii="Arial Narrow" w:hAnsi="Arial Narrow" w:cs="GillSans Light"/>
                          <w:sz w:val="18"/>
                          <w:szCs w:val="18"/>
                        </w:rPr>
                        <w:t>Sociedades mercantiles: 4</w:t>
                      </w:r>
                      <w:r>
                        <w:rPr>
                          <w:rFonts w:ascii="Arial Narrow" w:hAnsi="Arial Narrow" w:cs="GillSans Light"/>
                          <w:sz w:val="18"/>
                          <w:szCs w:val="18"/>
                        </w:rPr>
                        <w:t>6</w:t>
                      </w:r>
                    </w:p>
                    <w:p w:rsidR="00422AD9" w:rsidRDefault="00422AD9" w:rsidP="00EC4F97">
                      <w:pPr>
                        <w:spacing w:after="0"/>
                        <w:ind w:left="14" w:firstLine="0"/>
                        <w:jc w:val="center"/>
                        <w:rPr>
                          <w:rFonts w:ascii="Arial Narrow" w:hAnsi="Arial Narrow" w:cs="GillSans Light"/>
                          <w:sz w:val="18"/>
                          <w:szCs w:val="18"/>
                        </w:rPr>
                      </w:pPr>
                      <w:r w:rsidRPr="00D05EAF">
                        <w:rPr>
                          <w:rFonts w:ascii="Arial Narrow" w:hAnsi="Arial Narrow" w:cs="GillSans Light"/>
                          <w:sz w:val="18"/>
                          <w:szCs w:val="18"/>
                        </w:rPr>
                        <w:t xml:space="preserve">Fundaciones: </w:t>
                      </w:r>
                      <w:r>
                        <w:rPr>
                          <w:rFonts w:ascii="Arial Narrow" w:hAnsi="Arial Narrow" w:cs="GillSans Light"/>
                          <w:sz w:val="18"/>
                          <w:szCs w:val="18"/>
                        </w:rPr>
                        <w:t>8</w:t>
                      </w:r>
                    </w:p>
                    <w:p w:rsidR="00422AD9" w:rsidRPr="00D05EAF" w:rsidRDefault="00422AD9" w:rsidP="00EC4F97">
                      <w:pPr>
                        <w:spacing w:after="0"/>
                        <w:ind w:left="14" w:firstLine="0"/>
                        <w:jc w:val="center"/>
                        <w:rPr>
                          <w:rFonts w:ascii="Arial Narrow" w:hAnsi="Arial Narrow" w:cs="GillSans Light"/>
                          <w:sz w:val="18"/>
                          <w:szCs w:val="18"/>
                        </w:rPr>
                      </w:pPr>
                      <w:r>
                        <w:rPr>
                          <w:rFonts w:ascii="Arial Narrow" w:hAnsi="Arial Narrow" w:cs="GillSans Light"/>
                          <w:sz w:val="18"/>
                          <w:szCs w:val="18"/>
                        </w:rPr>
                        <w:t>Consorcios: 17</w:t>
                      </w:r>
                    </w:p>
                  </w:txbxContent>
                </v:textbox>
              </v:rect>
            </w:pict>
          </mc:Fallback>
        </mc:AlternateContent>
      </w:r>
      <w:r>
        <w:rPr>
          <w:noProof/>
          <w:lang w:val="es-ES" w:eastAsia="es-ES"/>
        </w:rPr>
        <mc:AlternateContent>
          <mc:Choice Requires="wps">
            <w:drawing>
              <wp:anchor distT="4294967295" distB="4294967295" distL="114300" distR="114300" simplePos="0" relativeHeight="251664896" behindDoc="0" locked="0" layoutInCell="1" allowOverlap="1" wp14:anchorId="3AD57C75" wp14:editId="2B14655A">
                <wp:simplePos x="0" y="0"/>
                <wp:positionH relativeFrom="column">
                  <wp:posOffset>2292350</wp:posOffset>
                </wp:positionH>
                <wp:positionV relativeFrom="paragraph">
                  <wp:posOffset>2540</wp:posOffset>
                </wp:positionV>
                <wp:extent cx="1560830" cy="5080"/>
                <wp:effectExtent l="0" t="0" r="20320" b="3302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0830" cy="508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14" o:spid="_x0000_s1026" style="position:absolute;flip:y;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5pt,.2pt" to="30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" strokeweight=".25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59776" behindDoc="0" locked="0" layoutInCell="1" allowOverlap="1" wp14:anchorId="48810729" wp14:editId="18FC8517">
                <wp:simplePos x="0" y="0"/>
                <wp:positionH relativeFrom="column">
                  <wp:posOffset>2290445</wp:posOffset>
                </wp:positionH>
                <wp:positionV relativeFrom="paragraph">
                  <wp:posOffset>7620</wp:posOffset>
                </wp:positionV>
                <wp:extent cx="0" cy="859790"/>
                <wp:effectExtent l="0" t="0" r="19050" b="16510"/>
                <wp:wrapNone/>
                <wp:docPr id="2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5979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22"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5pt,.6pt" to="180.35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" strokeweight=".25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72064" behindDoc="0" locked="0" layoutInCell="1" allowOverlap="1" wp14:anchorId="2A8A8AFD" wp14:editId="2002D844">
                <wp:simplePos x="0" y="0"/>
                <wp:positionH relativeFrom="column">
                  <wp:posOffset>3848735</wp:posOffset>
                </wp:positionH>
                <wp:positionV relativeFrom="paragraph">
                  <wp:posOffset>4445</wp:posOffset>
                </wp:positionV>
                <wp:extent cx="6350" cy="409575"/>
                <wp:effectExtent l="0" t="0" r="31750" b="28575"/>
                <wp:wrapNone/>
                <wp:docPr id="1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0957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2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05pt,.35pt" to="303.5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" strokeweight=".25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74112" behindDoc="0" locked="0" layoutInCell="1" allowOverlap="1" wp14:anchorId="282F5FB4" wp14:editId="3C773C4E">
                <wp:simplePos x="0" y="0"/>
                <wp:positionH relativeFrom="column">
                  <wp:posOffset>3266440</wp:posOffset>
                </wp:positionH>
                <wp:positionV relativeFrom="paragraph">
                  <wp:posOffset>167005</wp:posOffset>
                </wp:positionV>
                <wp:extent cx="1229995" cy="368935"/>
                <wp:effectExtent l="0" t="0" r="27305" b="12065"/>
                <wp:wrapNone/>
                <wp:docPr id="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368935"/>
                        </a:xfrm>
                        <a:prstGeom prst="rect">
                          <a:avLst/>
                        </a:prstGeom>
                        <a:solidFill>
                          <a:srgbClr val="FFFFFF"/>
                        </a:solidFill>
                        <a:ln w="3175">
                          <a:solidFill>
                            <a:srgbClr val="000000"/>
                          </a:solidFill>
                          <a:miter lim="800000"/>
                          <a:headEnd/>
                          <a:tailEnd/>
                        </a:ln>
                      </wps:spPr>
                      <wps:txbx>
                        <w:txbxContent>
                          <w:p w:rsidR="00422AD9" w:rsidRPr="006B60F8" w:rsidRDefault="00422AD9" w:rsidP="00EC4F97">
                            <w:pPr>
                              <w:spacing w:before="140" w:after="100"/>
                              <w:ind w:firstLine="0"/>
                              <w:jc w:val="center"/>
                              <w:rPr>
                                <w:rFonts w:ascii="Arial Narrow" w:hAnsi="Arial Narrow" w:cs="GillSans"/>
                                <w:sz w:val="18"/>
                                <w:szCs w:val="18"/>
                              </w:rPr>
                            </w:pPr>
                            <w:r w:rsidRPr="006B60F8">
                              <w:rPr>
                                <w:rFonts w:ascii="Arial Narrow" w:hAnsi="Arial Narrow" w:cs="GillSans"/>
                                <w:sz w:val="18"/>
                                <w:szCs w:val="18"/>
                              </w:rPr>
                              <w:t xml:space="preserve">Agrupaciones municipios: </w:t>
                            </w:r>
                            <w:r>
                              <w:rPr>
                                <w:rFonts w:ascii="Arial Narrow" w:hAnsi="Arial Narrow" w:cs="GillSans"/>
                                <w:sz w:val="18"/>
                                <w:szCs w:val="18"/>
                              </w:rPr>
                              <w:t>23</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24" o:spid="_x0000_s1032" style="position:absolute;left:0;text-align:left;margin-left:257.2pt;margin-top:13.15pt;width:96.85pt;height:29.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" strokeweight=".25pt">
                <v:textbox inset="1pt,1pt,1pt,1pt">
                  <w:txbxContent>
                    <w:p w:rsidR="00422AD9" w:rsidRPr="006B60F8" w:rsidRDefault="00422AD9" w:rsidP="00EC4F97">
                      <w:pPr>
                        <w:spacing w:before="140" w:after="100"/>
                        <w:ind w:firstLine="0"/>
                        <w:jc w:val="center"/>
                        <w:rPr>
                          <w:rFonts w:ascii="Arial Narrow" w:hAnsi="Arial Narrow" w:cs="GillSans"/>
                          <w:sz w:val="18"/>
                          <w:szCs w:val="18"/>
                        </w:rPr>
                      </w:pPr>
                      <w:r w:rsidRPr="006B60F8">
                        <w:rPr>
                          <w:rFonts w:ascii="Arial Narrow" w:hAnsi="Arial Narrow" w:cs="GillSans"/>
                          <w:sz w:val="18"/>
                          <w:szCs w:val="18"/>
                        </w:rPr>
                        <w:t xml:space="preserve">Agrupaciones municipios: </w:t>
                      </w:r>
                      <w:r>
                        <w:rPr>
                          <w:rFonts w:ascii="Arial Narrow" w:hAnsi="Arial Narrow" w:cs="GillSans"/>
                          <w:sz w:val="18"/>
                          <w:szCs w:val="18"/>
                        </w:rPr>
                        <w:t>23</w:t>
                      </w:r>
                    </w:p>
                  </w:txbxContent>
                </v:textbox>
              </v:rect>
            </w:pict>
          </mc:Fallback>
        </mc:AlternateContent>
      </w:r>
      <w:r>
        <w:rPr>
          <w:noProof/>
          <w:lang w:val="es-ES" w:eastAsia="es-ES"/>
        </w:rPr>
        <mc:AlternateContent>
          <mc:Choice Requires="wps">
            <w:drawing>
              <wp:anchor distT="0" distB="0" distL="114300" distR="114300" simplePos="0" relativeHeight="251673088" behindDoc="0" locked="0" layoutInCell="1" allowOverlap="1" wp14:anchorId="455153DA" wp14:editId="5C0AB207">
                <wp:simplePos x="0" y="0"/>
                <wp:positionH relativeFrom="column">
                  <wp:posOffset>1784350</wp:posOffset>
                </wp:positionH>
                <wp:positionV relativeFrom="paragraph">
                  <wp:posOffset>165100</wp:posOffset>
                </wp:positionV>
                <wp:extent cx="1192530" cy="368935"/>
                <wp:effectExtent l="0" t="0" r="26670" b="12065"/>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368935"/>
                        </a:xfrm>
                        <a:prstGeom prst="rect">
                          <a:avLst/>
                        </a:prstGeom>
                        <a:solidFill>
                          <a:srgbClr val="FFFFFF"/>
                        </a:solidFill>
                        <a:ln w="3175">
                          <a:solidFill>
                            <a:srgbClr val="000000"/>
                          </a:solidFill>
                          <a:miter lim="800000"/>
                          <a:headEnd/>
                          <a:tailEnd/>
                        </a:ln>
                      </wps:spPr>
                      <wps:txbx>
                        <w:txbxContent>
                          <w:p w:rsidR="00422AD9" w:rsidRPr="006B60F8" w:rsidRDefault="00422AD9" w:rsidP="00EC4F97">
                            <w:pPr>
                              <w:spacing w:before="140" w:after="100"/>
                              <w:ind w:firstLine="0"/>
                              <w:jc w:val="center"/>
                              <w:rPr>
                                <w:rFonts w:ascii="Arial Narrow" w:hAnsi="Arial Narrow" w:cs="GillSans"/>
                                <w:sz w:val="18"/>
                                <w:szCs w:val="18"/>
                              </w:rPr>
                            </w:pPr>
                            <w:r w:rsidRPr="006B60F8">
                              <w:rPr>
                                <w:rFonts w:ascii="Arial Narrow" w:hAnsi="Arial Narrow" w:cs="GillSans"/>
                                <w:sz w:val="18"/>
                                <w:szCs w:val="18"/>
                              </w:rPr>
                              <w:t>Mancomunidades: 6</w:t>
                            </w:r>
                            <w:r>
                              <w:rPr>
                                <w:rFonts w:ascii="Arial Narrow" w:hAnsi="Arial Narrow" w:cs="GillSans"/>
                                <w:sz w:val="18"/>
                                <w:szCs w:val="18"/>
                              </w:rPr>
                              <w:t>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23" o:spid="_x0000_s1033" style="position:absolute;left:0;text-align:left;margin-left:140.5pt;margin-top:13pt;width:93.9pt;height:29.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" strokeweight=".25pt">
                <v:textbox inset="1pt,1pt,1pt,1pt">
                  <w:txbxContent>
                    <w:p w:rsidR="00422AD9" w:rsidRPr="006B60F8" w:rsidRDefault="00422AD9" w:rsidP="00EC4F97">
                      <w:pPr>
                        <w:spacing w:before="140" w:after="100"/>
                        <w:ind w:firstLine="0"/>
                        <w:jc w:val="center"/>
                        <w:rPr>
                          <w:rFonts w:ascii="Arial Narrow" w:hAnsi="Arial Narrow" w:cs="GillSans"/>
                          <w:sz w:val="18"/>
                          <w:szCs w:val="18"/>
                        </w:rPr>
                      </w:pPr>
                      <w:r w:rsidRPr="006B60F8">
                        <w:rPr>
                          <w:rFonts w:ascii="Arial Narrow" w:hAnsi="Arial Narrow" w:cs="GillSans"/>
                          <w:sz w:val="18"/>
                          <w:szCs w:val="18"/>
                        </w:rPr>
                        <w:t>Mancomunidades: 6</w:t>
                      </w:r>
                      <w:r>
                        <w:rPr>
                          <w:rFonts w:ascii="Arial Narrow" w:hAnsi="Arial Narrow" w:cs="GillSans"/>
                          <w:sz w:val="18"/>
                          <w:szCs w:val="18"/>
                        </w:rPr>
                        <w:t>2</w:t>
                      </w:r>
                    </w:p>
                  </w:txbxContent>
                </v:textbox>
              </v:rect>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r>
        <w:rPr>
          <w:noProof/>
          <w:lang w:val="es-ES" w:eastAsia="es-ES"/>
        </w:rPr>
        <mc:AlternateContent>
          <mc:Choice Requires="wps">
            <w:drawing>
              <wp:anchor distT="0" distB="0" distL="114300" distR="114300" simplePos="0" relativeHeight="251671040" behindDoc="0" locked="0" layoutInCell="1" allowOverlap="1" wp14:anchorId="215C9C99" wp14:editId="78F05C31">
                <wp:simplePos x="0" y="0"/>
                <wp:positionH relativeFrom="column">
                  <wp:posOffset>1657702</wp:posOffset>
                </wp:positionH>
                <wp:positionV relativeFrom="paragraph">
                  <wp:posOffset>247242</wp:posOffset>
                </wp:positionV>
                <wp:extent cx="1413974" cy="345440"/>
                <wp:effectExtent l="0" t="0" r="15240" b="16510"/>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974" cy="345440"/>
                        </a:xfrm>
                        <a:prstGeom prst="rect">
                          <a:avLst/>
                        </a:prstGeom>
                        <a:solidFill>
                          <a:srgbClr val="FFFFFF"/>
                        </a:solidFill>
                        <a:ln w="3175">
                          <a:solidFill>
                            <a:srgbClr val="000000"/>
                          </a:solidFill>
                          <a:miter lim="800000"/>
                          <a:headEnd/>
                          <a:tailEnd/>
                        </a:ln>
                      </wps:spPr>
                      <wps:txbx>
                        <w:txbxContent>
                          <w:p w:rsidR="00422AD9" w:rsidRPr="00D05EAF" w:rsidRDefault="00422AD9" w:rsidP="00EC4F97">
                            <w:pPr>
                              <w:spacing w:before="60" w:after="0"/>
                              <w:ind w:firstLine="0"/>
                              <w:jc w:val="center"/>
                              <w:rPr>
                                <w:rFonts w:ascii="Arial Narrow" w:hAnsi="Arial Narrow" w:cs="GillSans Light"/>
                                <w:sz w:val="18"/>
                                <w:szCs w:val="18"/>
                              </w:rPr>
                            </w:pPr>
                            <w:r w:rsidRPr="00D05EAF">
                              <w:rPr>
                                <w:rFonts w:ascii="Arial Narrow" w:hAnsi="Arial Narrow" w:cs="GillSans Light"/>
                                <w:sz w:val="18"/>
                                <w:szCs w:val="18"/>
                              </w:rPr>
                              <w:t xml:space="preserve">Organismos autónomos: </w:t>
                            </w:r>
                            <w:r>
                              <w:rPr>
                                <w:rFonts w:ascii="Arial Narrow" w:hAnsi="Arial Narrow" w:cs="GillSans Light"/>
                                <w:sz w:val="18"/>
                                <w:szCs w:val="18"/>
                              </w:rPr>
                              <w:t>3</w:t>
                            </w:r>
                          </w:p>
                          <w:p w:rsidR="00422AD9" w:rsidRPr="00D05EAF" w:rsidRDefault="00422AD9" w:rsidP="00EC4F97">
                            <w:pPr>
                              <w:spacing w:after="0"/>
                              <w:ind w:firstLine="0"/>
                              <w:jc w:val="center"/>
                              <w:rPr>
                                <w:rFonts w:ascii="Arial Narrow" w:hAnsi="Arial Narrow" w:cs="GillSans Light"/>
                                <w:sz w:val="18"/>
                                <w:szCs w:val="18"/>
                              </w:rPr>
                            </w:pPr>
                            <w:r w:rsidRPr="00D05EAF">
                              <w:rPr>
                                <w:rFonts w:ascii="Arial Narrow" w:hAnsi="Arial Narrow" w:cs="GillSans Light"/>
                                <w:sz w:val="18"/>
                                <w:szCs w:val="18"/>
                              </w:rPr>
                              <w:t>Sociedades mercantiles: 7</w:t>
                            </w:r>
                          </w:p>
                          <w:p w:rsidR="00422AD9" w:rsidRPr="00D05EAF" w:rsidRDefault="00422AD9" w:rsidP="00EC4F97">
                            <w:pPr>
                              <w:spacing w:before="140" w:after="100"/>
                              <w:jc w:val="center"/>
                              <w:rPr>
                                <w:rFonts w:ascii="Gill Sans MT" w:hAnsi="Gill Sans MT" w:cs="GillSans"/>
                                <w:sz w:val="18"/>
                                <w:szCs w:val="18"/>
                              </w:rPr>
                            </w:pPr>
                          </w:p>
                          <w:p w:rsidR="00422AD9" w:rsidRPr="00725B83" w:rsidRDefault="00422AD9" w:rsidP="00EC4F97">
                            <w:pPr>
                              <w:spacing w:before="140" w:after="100"/>
                              <w:jc w:val="center"/>
                              <w:rPr>
                                <w:rFonts w:ascii="Gill Sans MT" w:hAnsi="Gill Sans MT" w:cs="GillSans"/>
                                <w:sz w:val="16"/>
                                <w:szCs w:val="16"/>
                              </w:rPr>
                            </w:pPr>
                            <w:r w:rsidRPr="00725B83">
                              <w:rPr>
                                <w:rFonts w:ascii="Gill Sans MT" w:hAnsi="Gill Sans MT" w:cs="GillSans"/>
                                <w:sz w:val="14"/>
                                <w:szCs w:val="14"/>
                              </w:rPr>
                              <w:t>Socied. mercantiles: 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20" o:spid="_x0000_s1034" style="position:absolute;left:0;text-align:left;margin-left:130.55pt;margin-top:19.45pt;width:111.35pt;height:27.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" strokeweight=".25pt">
                <v:textbox inset="1pt,1pt,1pt,1pt">
                  <w:txbxContent>
                    <w:p w:rsidR="00422AD9" w:rsidRPr="00D05EAF" w:rsidRDefault="00422AD9" w:rsidP="00EC4F97">
                      <w:pPr>
                        <w:spacing w:before="60" w:after="0"/>
                        <w:ind w:firstLine="0"/>
                        <w:jc w:val="center"/>
                        <w:rPr>
                          <w:rFonts w:ascii="Arial Narrow" w:hAnsi="Arial Narrow" w:cs="GillSans Light"/>
                          <w:sz w:val="18"/>
                          <w:szCs w:val="18"/>
                        </w:rPr>
                      </w:pPr>
                      <w:r w:rsidRPr="00D05EAF">
                        <w:rPr>
                          <w:rFonts w:ascii="Arial Narrow" w:hAnsi="Arial Narrow" w:cs="GillSans Light"/>
                          <w:sz w:val="18"/>
                          <w:szCs w:val="18"/>
                        </w:rPr>
                        <w:t xml:space="preserve">Organismos autónomos: </w:t>
                      </w:r>
                      <w:r>
                        <w:rPr>
                          <w:rFonts w:ascii="Arial Narrow" w:hAnsi="Arial Narrow" w:cs="GillSans Light"/>
                          <w:sz w:val="18"/>
                          <w:szCs w:val="18"/>
                        </w:rPr>
                        <w:t>3</w:t>
                      </w:r>
                    </w:p>
                    <w:p w:rsidR="00422AD9" w:rsidRPr="00D05EAF" w:rsidRDefault="00422AD9" w:rsidP="00EC4F97">
                      <w:pPr>
                        <w:spacing w:after="0"/>
                        <w:ind w:firstLine="0"/>
                        <w:jc w:val="center"/>
                        <w:rPr>
                          <w:rFonts w:ascii="Arial Narrow" w:hAnsi="Arial Narrow" w:cs="GillSans Light"/>
                          <w:sz w:val="18"/>
                          <w:szCs w:val="18"/>
                        </w:rPr>
                      </w:pPr>
                      <w:r w:rsidRPr="00D05EAF">
                        <w:rPr>
                          <w:rFonts w:ascii="Arial Narrow" w:hAnsi="Arial Narrow" w:cs="GillSans Light"/>
                          <w:sz w:val="18"/>
                          <w:szCs w:val="18"/>
                        </w:rPr>
                        <w:t>Sociedades mercantiles: 7</w:t>
                      </w:r>
                    </w:p>
                    <w:p w:rsidR="00422AD9" w:rsidRPr="00D05EAF" w:rsidRDefault="00422AD9" w:rsidP="00EC4F97">
                      <w:pPr>
                        <w:spacing w:before="140" w:after="100"/>
                        <w:jc w:val="center"/>
                        <w:rPr>
                          <w:rFonts w:ascii="Gill Sans MT" w:hAnsi="Gill Sans MT" w:cs="GillSans"/>
                          <w:sz w:val="18"/>
                          <w:szCs w:val="18"/>
                        </w:rPr>
                      </w:pPr>
                    </w:p>
                    <w:p w:rsidR="00422AD9" w:rsidRPr="00725B83" w:rsidRDefault="00422AD9" w:rsidP="00EC4F97">
                      <w:pPr>
                        <w:spacing w:before="140" w:after="100"/>
                        <w:jc w:val="center"/>
                        <w:rPr>
                          <w:rFonts w:ascii="Gill Sans MT" w:hAnsi="Gill Sans MT" w:cs="GillSans"/>
                          <w:sz w:val="16"/>
                          <w:szCs w:val="16"/>
                        </w:rPr>
                      </w:pPr>
                      <w:proofErr w:type="spellStart"/>
                      <w:r w:rsidRPr="00725B83">
                        <w:rPr>
                          <w:rFonts w:ascii="Gill Sans MT" w:hAnsi="Gill Sans MT" w:cs="GillSans"/>
                          <w:sz w:val="14"/>
                          <w:szCs w:val="14"/>
                        </w:rPr>
                        <w:t>Socied</w:t>
                      </w:r>
                      <w:proofErr w:type="spellEnd"/>
                      <w:r w:rsidRPr="00725B83">
                        <w:rPr>
                          <w:rFonts w:ascii="Gill Sans MT" w:hAnsi="Gill Sans MT" w:cs="GillSans"/>
                          <w:sz w:val="14"/>
                          <w:szCs w:val="14"/>
                        </w:rPr>
                        <w:t xml:space="preserve">. </w:t>
                      </w:r>
                      <w:proofErr w:type="gramStart"/>
                      <w:r w:rsidRPr="00725B83">
                        <w:rPr>
                          <w:rFonts w:ascii="Gill Sans MT" w:hAnsi="Gill Sans MT" w:cs="GillSans"/>
                          <w:sz w:val="14"/>
                          <w:szCs w:val="14"/>
                        </w:rPr>
                        <w:t>mercantiles</w:t>
                      </w:r>
                      <w:proofErr w:type="gramEnd"/>
                      <w:r w:rsidRPr="00725B83">
                        <w:rPr>
                          <w:rFonts w:ascii="Gill Sans MT" w:hAnsi="Gill Sans MT" w:cs="GillSans"/>
                          <w:sz w:val="14"/>
                          <w:szCs w:val="14"/>
                        </w:rPr>
                        <w:t>: 5</w:t>
                      </w:r>
                    </w:p>
                  </w:txbxContent>
                </v:textbox>
              </v:rect>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p>
    <w:p w:rsidR="00EC4F97" w:rsidRPr="001E6B7A" w:rsidRDefault="00EC4F97" w:rsidP="00EC4F97">
      <w:pPr>
        <w:tabs>
          <w:tab w:val="center" w:pos="2835"/>
          <w:tab w:val="center" w:pos="3969"/>
          <w:tab w:val="center" w:pos="5103"/>
          <w:tab w:val="center" w:pos="6237"/>
          <w:tab w:val="center" w:pos="7371"/>
        </w:tabs>
        <w:suppressAutoHyphens/>
        <w:spacing w:after="100"/>
        <w:ind w:left="-378" w:firstLine="284"/>
        <w:rPr>
          <w:rFonts w:ascii="Gill Sans MT" w:hAnsi="Gill Sans MT"/>
          <w:spacing w:val="6"/>
          <w:sz w:val="16"/>
          <w:szCs w:val="16"/>
          <w:highlight w:val="yellow"/>
        </w:rPr>
      </w:pPr>
    </w:p>
    <w:p w:rsidR="00EC4F97" w:rsidRDefault="00EC4F97" w:rsidP="00EC4F97">
      <w:pPr>
        <w:spacing w:after="0"/>
        <w:ind w:firstLine="0"/>
        <w:jc w:val="left"/>
        <w:rPr>
          <w:spacing w:val="6"/>
          <w:sz w:val="26"/>
          <w:szCs w:val="24"/>
        </w:rPr>
      </w:pPr>
    </w:p>
    <w:p w:rsidR="00EC4F97" w:rsidRDefault="00EC4F97" w:rsidP="00EC4F97">
      <w:pPr>
        <w:pStyle w:val="texto"/>
        <w:spacing w:after="240"/>
      </w:pPr>
      <w:r w:rsidRPr="00F35BDD">
        <w:t>La población a 1 de enero de 201</w:t>
      </w:r>
      <w:r>
        <w:t>7</w:t>
      </w:r>
      <w:r w:rsidRPr="00F35BDD">
        <w:t xml:space="preserve"> de los 272 municipios de Navarra, 64</w:t>
      </w:r>
      <w:r>
        <w:t>3</w:t>
      </w:r>
      <w:r w:rsidRPr="00F35BDD">
        <w:t>.</w:t>
      </w:r>
      <w:r>
        <w:t>234</w:t>
      </w:r>
      <w:r w:rsidRPr="00F35BDD">
        <w:t xml:space="preserve"> habitantes según datos del censo oficial, presentaba la siguiente distr</w:t>
      </w:r>
      <w:r w:rsidRPr="00F35BDD">
        <w:t>i</w:t>
      </w:r>
      <w:r w:rsidRPr="00F35BDD">
        <w:t>bución:</w:t>
      </w:r>
    </w:p>
    <w:tbl>
      <w:tblPr>
        <w:tblW w:w="8735" w:type="dxa"/>
        <w:jc w:val="center"/>
        <w:tblInd w:w="-1655" w:type="dxa"/>
        <w:tblCellMar>
          <w:left w:w="70" w:type="dxa"/>
          <w:right w:w="70" w:type="dxa"/>
        </w:tblCellMar>
        <w:tblLook w:val="00A0" w:firstRow="1" w:lastRow="0" w:firstColumn="1" w:lastColumn="0" w:noHBand="0" w:noVBand="0"/>
      </w:tblPr>
      <w:tblGrid>
        <w:gridCol w:w="3555"/>
        <w:gridCol w:w="1420"/>
        <w:gridCol w:w="1360"/>
        <w:gridCol w:w="1200"/>
        <w:gridCol w:w="1200"/>
      </w:tblGrid>
      <w:tr w:rsidR="00EC4F97" w:rsidRPr="007A66D2" w:rsidTr="00422AD9">
        <w:trPr>
          <w:trHeight w:val="635"/>
          <w:jc w:val="center"/>
        </w:trPr>
        <w:tc>
          <w:tcPr>
            <w:tcW w:w="3555"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left"/>
              <w:rPr>
                <w:rFonts w:ascii="Arial" w:hAnsi="Arial" w:cs="Arial"/>
                <w:color w:val="000000"/>
                <w:sz w:val="18"/>
                <w:szCs w:val="18"/>
                <w:lang w:val="es-ES" w:eastAsia="es-ES"/>
              </w:rPr>
            </w:pPr>
            <w:r w:rsidRPr="007A66D2">
              <w:rPr>
                <w:rFonts w:ascii="Arial" w:hAnsi="Arial" w:cs="Arial"/>
                <w:color w:val="000000"/>
                <w:sz w:val="18"/>
                <w:szCs w:val="18"/>
                <w:lang w:eastAsia="es-ES"/>
              </w:rPr>
              <w:t>Tramo de población</w:t>
            </w:r>
          </w:p>
        </w:tc>
        <w:tc>
          <w:tcPr>
            <w:tcW w:w="142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center"/>
              <w:rPr>
                <w:rFonts w:ascii="Arial" w:hAnsi="Arial" w:cs="Arial"/>
                <w:color w:val="000000"/>
                <w:sz w:val="18"/>
                <w:szCs w:val="18"/>
                <w:lang w:val="es-ES" w:eastAsia="es-ES"/>
              </w:rPr>
            </w:pPr>
            <w:r w:rsidRPr="007A66D2">
              <w:rPr>
                <w:rFonts w:ascii="Arial" w:hAnsi="Arial" w:cs="Arial"/>
                <w:color w:val="000000"/>
                <w:sz w:val="18"/>
                <w:szCs w:val="18"/>
                <w:lang w:eastAsia="es-ES"/>
              </w:rPr>
              <w:t>Número de</w:t>
            </w:r>
            <w:r>
              <w:rPr>
                <w:rFonts w:ascii="Arial" w:hAnsi="Arial" w:cs="Arial"/>
                <w:color w:val="000000"/>
                <w:sz w:val="18"/>
                <w:szCs w:val="18"/>
                <w:lang w:eastAsia="es-ES"/>
              </w:rPr>
              <w:t xml:space="preserve"> </w:t>
            </w:r>
            <w:r w:rsidRPr="007A66D2">
              <w:rPr>
                <w:rFonts w:ascii="Arial" w:hAnsi="Arial" w:cs="Arial"/>
                <w:color w:val="000000"/>
                <w:sz w:val="18"/>
                <w:szCs w:val="18"/>
                <w:lang w:eastAsia="es-ES"/>
              </w:rPr>
              <w:t>munic</w:t>
            </w:r>
            <w:r>
              <w:rPr>
                <w:rFonts w:ascii="Arial" w:hAnsi="Arial" w:cs="Arial"/>
                <w:color w:val="000000"/>
                <w:sz w:val="18"/>
                <w:szCs w:val="18"/>
                <w:lang w:eastAsia="es-ES"/>
              </w:rPr>
              <w:t>i</w:t>
            </w:r>
            <w:r w:rsidRPr="007A66D2">
              <w:rPr>
                <w:rFonts w:ascii="Arial" w:hAnsi="Arial" w:cs="Arial"/>
                <w:color w:val="000000"/>
                <w:sz w:val="18"/>
                <w:szCs w:val="18"/>
                <w:lang w:eastAsia="es-ES"/>
              </w:rPr>
              <w:t>pios</w:t>
            </w:r>
          </w:p>
        </w:tc>
        <w:tc>
          <w:tcPr>
            <w:tcW w:w="136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right"/>
              <w:rPr>
                <w:rFonts w:ascii="Arial" w:hAnsi="Arial" w:cs="Arial"/>
                <w:color w:val="000000"/>
                <w:sz w:val="18"/>
                <w:szCs w:val="18"/>
                <w:lang w:val="es-ES" w:eastAsia="es-ES"/>
              </w:rPr>
            </w:pPr>
            <w:r w:rsidRPr="007A66D2">
              <w:rPr>
                <w:rFonts w:ascii="Arial" w:hAnsi="Arial" w:cs="Arial"/>
                <w:color w:val="000000"/>
                <w:sz w:val="18"/>
                <w:szCs w:val="18"/>
                <w:lang w:eastAsia="es-ES"/>
              </w:rPr>
              <w:t>% municipios sobre total</w:t>
            </w:r>
          </w:p>
        </w:tc>
        <w:tc>
          <w:tcPr>
            <w:tcW w:w="120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right"/>
              <w:rPr>
                <w:rFonts w:ascii="Arial" w:hAnsi="Arial" w:cs="Arial"/>
                <w:color w:val="000000"/>
                <w:sz w:val="18"/>
                <w:szCs w:val="18"/>
                <w:lang w:val="es-ES" w:eastAsia="es-ES"/>
              </w:rPr>
            </w:pPr>
            <w:r w:rsidRPr="007A66D2">
              <w:rPr>
                <w:rFonts w:ascii="Arial" w:hAnsi="Arial" w:cs="Arial"/>
                <w:color w:val="000000"/>
                <w:sz w:val="18"/>
                <w:szCs w:val="18"/>
                <w:lang w:eastAsia="es-ES"/>
              </w:rPr>
              <w:t>Población</w:t>
            </w:r>
          </w:p>
        </w:tc>
        <w:tc>
          <w:tcPr>
            <w:tcW w:w="120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right"/>
              <w:rPr>
                <w:rFonts w:ascii="Arial" w:hAnsi="Arial" w:cs="Arial"/>
                <w:color w:val="000000"/>
                <w:sz w:val="18"/>
                <w:szCs w:val="18"/>
                <w:lang w:val="es-ES" w:eastAsia="es-ES"/>
              </w:rPr>
            </w:pPr>
            <w:r w:rsidRPr="007A66D2">
              <w:rPr>
                <w:rFonts w:ascii="Arial" w:hAnsi="Arial" w:cs="Arial"/>
                <w:color w:val="000000"/>
                <w:sz w:val="18"/>
                <w:szCs w:val="18"/>
                <w:lang w:eastAsia="es-ES"/>
              </w:rPr>
              <w:t>% población</w:t>
            </w:r>
            <w:r>
              <w:rPr>
                <w:rFonts w:ascii="Arial" w:hAnsi="Arial" w:cs="Arial"/>
                <w:color w:val="000000"/>
                <w:sz w:val="18"/>
                <w:szCs w:val="18"/>
                <w:lang w:eastAsia="es-ES"/>
              </w:rPr>
              <w:t xml:space="preserve"> </w:t>
            </w:r>
            <w:r w:rsidRPr="007A66D2">
              <w:rPr>
                <w:rFonts w:ascii="Arial" w:hAnsi="Arial" w:cs="Arial"/>
                <w:color w:val="000000"/>
                <w:sz w:val="18"/>
                <w:szCs w:val="18"/>
                <w:lang w:eastAsia="es-ES"/>
              </w:rPr>
              <w:t>sobre total</w:t>
            </w:r>
          </w:p>
        </w:tc>
      </w:tr>
      <w:tr w:rsidR="00EC4F97" w:rsidRPr="007A66D2" w:rsidTr="00422AD9">
        <w:trPr>
          <w:trHeight w:val="315"/>
          <w:jc w:val="center"/>
        </w:trPr>
        <w:tc>
          <w:tcPr>
            <w:tcW w:w="3555" w:type="dxa"/>
            <w:tcBorders>
              <w:top w:val="single" w:sz="4"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lang w:val="es-ES" w:eastAsia="es-ES"/>
              </w:rPr>
            </w:pPr>
            <w:r w:rsidRPr="007A66D2">
              <w:rPr>
                <w:rFonts w:ascii="Arial Narrow" w:hAnsi="Arial Narrow"/>
                <w:color w:val="000000"/>
                <w:spacing w:val="6"/>
                <w:lang w:eastAsia="es-ES"/>
              </w:rPr>
              <w:t>&lt;100</w:t>
            </w:r>
          </w:p>
        </w:tc>
        <w:tc>
          <w:tcPr>
            <w:tcW w:w="1420" w:type="dxa"/>
            <w:tcBorders>
              <w:top w:val="single" w:sz="4"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lang w:val="es-ES" w:eastAsia="es-ES"/>
              </w:rPr>
            </w:pPr>
            <w:r w:rsidRPr="007A66D2">
              <w:rPr>
                <w:rFonts w:ascii="Arial Narrow" w:hAnsi="Arial Narrow"/>
                <w:color w:val="000000"/>
                <w:lang w:val="es-ES" w:eastAsia="es-ES"/>
              </w:rPr>
              <w:t>42</w:t>
            </w:r>
          </w:p>
        </w:tc>
        <w:tc>
          <w:tcPr>
            <w:tcW w:w="1360" w:type="dxa"/>
            <w:tcBorders>
              <w:top w:val="single" w:sz="4"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15</w:t>
            </w:r>
          </w:p>
        </w:tc>
        <w:tc>
          <w:tcPr>
            <w:tcW w:w="1200" w:type="dxa"/>
            <w:tcBorders>
              <w:top w:val="single" w:sz="4"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val="es-ES" w:eastAsia="es-ES"/>
              </w:rPr>
              <w:t>2</w:t>
            </w:r>
            <w:r>
              <w:rPr>
                <w:rFonts w:ascii="Arial Narrow" w:hAnsi="Arial Narrow"/>
                <w:color w:val="000000"/>
                <w:lang w:val="es-ES" w:eastAsia="es-ES"/>
              </w:rPr>
              <w:t>.</w:t>
            </w:r>
            <w:r w:rsidRPr="007A66D2">
              <w:rPr>
                <w:rFonts w:ascii="Arial Narrow" w:hAnsi="Arial Narrow"/>
                <w:color w:val="000000"/>
                <w:lang w:val="es-ES" w:eastAsia="es-ES"/>
              </w:rPr>
              <w:t>542</w:t>
            </w:r>
          </w:p>
        </w:tc>
        <w:tc>
          <w:tcPr>
            <w:tcW w:w="1200" w:type="dxa"/>
            <w:tcBorders>
              <w:top w:val="single" w:sz="4"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0,4</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lang w:val="es-ES" w:eastAsia="es-ES"/>
              </w:rPr>
            </w:pPr>
            <w:r w:rsidRPr="007A66D2">
              <w:rPr>
                <w:rFonts w:ascii="Arial Narrow" w:hAnsi="Arial Narrow"/>
                <w:color w:val="000000"/>
                <w:spacing w:val="6"/>
                <w:lang w:eastAsia="es-ES"/>
              </w:rPr>
              <w:t>100-200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lang w:val="es-ES" w:eastAsia="es-ES"/>
              </w:rPr>
            </w:pPr>
            <w:r w:rsidRPr="007A66D2">
              <w:rPr>
                <w:rFonts w:ascii="Arial Narrow" w:hAnsi="Arial Narrow"/>
                <w:color w:val="000000"/>
                <w:lang w:val="es-ES" w:eastAsia="es-ES"/>
              </w:rPr>
              <w:t>54</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20</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val="es-ES" w:eastAsia="es-ES"/>
              </w:rPr>
              <w:t>7</w:t>
            </w:r>
            <w:r>
              <w:rPr>
                <w:rFonts w:ascii="Arial Narrow" w:hAnsi="Arial Narrow"/>
                <w:color w:val="000000"/>
                <w:lang w:val="es-ES" w:eastAsia="es-ES"/>
              </w:rPr>
              <w:t>.</w:t>
            </w:r>
            <w:r w:rsidRPr="007A66D2">
              <w:rPr>
                <w:rFonts w:ascii="Arial Narrow" w:hAnsi="Arial Narrow"/>
                <w:color w:val="000000"/>
                <w:lang w:val="es-ES" w:eastAsia="es-ES"/>
              </w:rPr>
              <w:t>658</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1,2</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lang w:val="es-ES" w:eastAsia="es-ES"/>
              </w:rPr>
            </w:pPr>
            <w:r w:rsidRPr="007A66D2">
              <w:rPr>
                <w:rFonts w:ascii="Arial Narrow" w:hAnsi="Arial Narrow"/>
                <w:color w:val="000000"/>
                <w:spacing w:val="6"/>
                <w:lang w:eastAsia="es-ES"/>
              </w:rPr>
              <w:t>201-500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lang w:val="es-ES" w:eastAsia="es-ES"/>
              </w:rPr>
            </w:pPr>
            <w:r w:rsidRPr="007A66D2">
              <w:rPr>
                <w:rFonts w:ascii="Arial Narrow" w:hAnsi="Arial Narrow"/>
                <w:color w:val="000000"/>
                <w:lang w:val="es-ES" w:eastAsia="es-ES"/>
              </w:rPr>
              <w:t>57</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21</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val="es-ES" w:eastAsia="es-ES"/>
              </w:rPr>
              <w:t>18</w:t>
            </w:r>
            <w:r>
              <w:rPr>
                <w:rFonts w:ascii="Arial Narrow" w:hAnsi="Arial Narrow"/>
                <w:color w:val="000000"/>
                <w:lang w:val="es-ES" w:eastAsia="es-ES"/>
              </w:rPr>
              <w:t>.</w:t>
            </w:r>
            <w:r w:rsidRPr="007A66D2">
              <w:rPr>
                <w:rFonts w:ascii="Arial Narrow" w:hAnsi="Arial Narrow"/>
                <w:color w:val="000000"/>
                <w:lang w:val="es-ES" w:eastAsia="es-ES"/>
              </w:rPr>
              <w:t>654</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2,9</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lang w:val="es-ES" w:eastAsia="es-ES"/>
              </w:rPr>
            </w:pPr>
            <w:r w:rsidRPr="007A66D2">
              <w:rPr>
                <w:rFonts w:ascii="Arial Narrow" w:hAnsi="Arial Narrow"/>
                <w:color w:val="000000"/>
                <w:spacing w:val="6"/>
                <w:lang w:eastAsia="es-ES"/>
              </w:rPr>
              <w:t>501-1.000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lang w:val="es-ES" w:eastAsia="es-ES"/>
              </w:rPr>
            </w:pPr>
            <w:r w:rsidRPr="007A66D2">
              <w:rPr>
                <w:rFonts w:ascii="Arial Narrow" w:hAnsi="Arial Narrow"/>
                <w:color w:val="000000"/>
                <w:lang w:val="es-ES" w:eastAsia="es-ES"/>
              </w:rPr>
              <w:t>36</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13</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val="es-ES" w:eastAsia="es-ES"/>
              </w:rPr>
              <w:t>26</w:t>
            </w:r>
            <w:r>
              <w:rPr>
                <w:rFonts w:ascii="Arial Narrow" w:hAnsi="Arial Narrow"/>
                <w:color w:val="000000"/>
                <w:lang w:val="es-ES" w:eastAsia="es-ES"/>
              </w:rPr>
              <w:t>.</w:t>
            </w:r>
            <w:r w:rsidRPr="007A66D2">
              <w:rPr>
                <w:rFonts w:ascii="Arial Narrow" w:hAnsi="Arial Narrow"/>
                <w:color w:val="000000"/>
                <w:lang w:val="es-ES" w:eastAsia="es-ES"/>
              </w:rPr>
              <w:t>226</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4,1</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lang w:val="es-ES" w:eastAsia="es-ES"/>
              </w:rPr>
            </w:pPr>
            <w:r w:rsidRPr="007A66D2">
              <w:rPr>
                <w:rFonts w:ascii="Arial Narrow" w:hAnsi="Arial Narrow"/>
                <w:color w:val="000000"/>
                <w:spacing w:val="6"/>
                <w:lang w:eastAsia="es-ES"/>
              </w:rPr>
              <w:t>1.001-2.000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lang w:val="es-ES" w:eastAsia="es-ES"/>
              </w:rPr>
            </w:pPr>
            <w:r w:rsidRPr="007A66D2">
              <w:rPr>
                <w:rFonts w:ascii="Arial Narrow" w:hAnsi="Arial Narrow"/>
                <w:color w:val="000000"/>
                <w:lang w:val="es-ES" w:eastAsia="es-ES"/>
              </w:rPr>
              <w:t>22</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8</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val="es-ES" w:eastAsia="es-ES"/>
              </w:rPr>
              <w:t>30</w:t>
            </w:r>
            <w:r>
              <w:rPr>
                <w:rFonts w:ascii="Arial Narrow" w:hAnsi="Arial Narrow"/>
                <w:color w:val="000000"/>
                <w:lang w:val="es-ES" w:eastAsia="es-ES"/>
              </w:rPr>
              <w:t>.</w:t>
            </w:r>
            <w:r w:rsidRPr="007A66D2">
              <w:rPr>
                <w:rFonts w:ascii="Arial Narrow" w:hAnsi="Arial Narrow"/>
                <w:color w:val="000000"/>
                <w:lang w:val="es-ES" w:eastAsia="es-ES"/>
              </w:rPr>
              <w:t>117</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4,7</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lang w:val="es-ES" w:eastAsia="es-ES"/>
              </w:rPr>
            </w:pPr>
            <w:r w:rsidRPr="007A66D2">
              <w:rPr>
                <w:rFonts w:ascii="Arial Narrow" w:hAnsi="Arial Narrow"/>
                <w:color w:val="000000"/>
                <w:spacing w:val="6"/>
                <w:lang w:eastAsia="es-ES"/>
              </w:rPr>
              <w:t>2.001-3.000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lang w:val="es-ES" w:eastAsia="es-ES"/>
              </w:rPr>
            </w:pPr>
            <w:r w:rsidRPr="007A66D2">
              <w:rPr>
                <w:rFonts w:ascii="Arial Narrow" w:hAnsi="Arial Narrow"/>
                <w:color w:val="000000"/>
                <w:lang w:val="es-ES" w:eastAsia="es-ES"/>
              </w:rPr>
              <w:t>24</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9</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val="es-ES" w:eastAsia="es-ES"/>
              </w:rPr>
              <w:t>59</w:t>
            </w:r>
            <w:r>
              <w:rPr>
                <w:rFonts w:ascii="Arial Narrow" w:hAnsi="Arial Narrow"/>
                <w:color w:val="000000"/>
                <w:lang w:val="es-ES" w:eastAsia="es-ES"/>
              </w:rPr>
              <w:t>.</w:t>
            </w:r>
            <w:r w:rsidRPr="007A66D2">
              <w:rPr>
                <w:rFonts w:ascii="Arial Narrow" w:hAnsi="Arial Narrow"/>
                <w:color w:val="000000"/>
                <w:lang w:val="es-ES" w:eastAsia="es-ES"/>
              </w:rPr>
              <w:t>194</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9,2</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lang w:val="es-ES" w:eastAsia="es-ES"/>
              </w:rPr>
            </w:pPr>
            <w:r w:rsidRPr="007A66D2">
              <w:rPr>
                <w:rFonts w:ascii="Arial Narrow" w:hAnsi="Arial Narrow"/>
                <w:color w:val="000000"/>
                <w:spacing w:val="6"/>
                <w:lang w:eastAsia="es-ES"/>
              </w:rPr>
              <w:t>3.001-5.000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lang w:val="es-ES" w:eastAsia="es-ES"/>
              </w:rPr>
            </w:pPr>
            <w:r w:rsidRPr="007A66D2">
              <w:rPr>
                <w:rFonts w:ascii="Arial Narrow" w:hAnsi="Arial Narrow"/>
                <w:color w:val="000000"/>
                <w:lang w:val="es-ES" w:eastAsia="es-ES"/>
              </w:rPr>
              <w:t>15</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6</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val="es-ES" w:eastAsia="es-ES"/>
              </w:rPr>
              <w:t>57</w:t>
            </w:r>
            <w:r>
              <w:rPr>
                <w:rFonts w:ascii="Arial Narrow" w:hAnsi="Arial Narrow"/>
                <w:color w:val="000000"/>
                <w:lang w:val="es-ES" w:eastAsia="es-ES"/>
              </w:rPr>
              <w:t>.</w:t>
            </w:r>
            <w:r w:rsidRPr="007A66D2">
              <w:rPr>
                <w:rFonts w:ascii="Arial Narrow" w:hAnsi="Arial Narrow"/>
                <w:color w:val="000000"/>
                <w:lang w:val="es-ES" w:eastAsia="es-ES"/>
              </w:rPr>
              <w:t>580</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9,0</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lang w:val="es-ES" w:eastAsia="es-ES"/>
              </w:rPr>
            </w:pPr>
            <w:r w:rsidRPr="007A66D2">
              <w:rPr>
                <w:rFonts w:ascii="Arial Narrow" w:hAnsi="Arial Narrow"/>
                <w:color w:val="000000"/>
                <w:spacing w:val="6"/>
                <w:lang w:eastAsia="es-ES"/>
              </w:rPr>
              <w:t>5.001-10.000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lang w:val="es-ES" w:eastAsia="es-ES"/>
              </w:rPr>
            </w:pPr>
            <w:r w:rsidRPr="007A66D2">
              <w:rPr>
                <w:rFonts w:ascii="Arial Narrow" w:hAnsi="Arial Narrow"/>
                <w:color w:val="000000"/>
                <w:lang w:val="es-ES" w:eastAsia="es-ES"/>
              </w:rPr>
              <w:t>11</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4</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val="es-ES" w:eastAsia="es-ES"/>
              </w:rPr>
              <w:t>79</w:t>
            </w:r>
            <w:r>
              <w:rPr>
                <w:rFonts w:ascii="Arial Narrow" w:hAnsi="Arial Narrow"/>
                <w:color w:val="000000"/>
                <w:lang w:val="es-ES" w:eastAsia="es-ES"/>
              </w:rPr>
              <w:t>.</w:t>
            </w:r>
            <w:r w:rsidRPr="007A66D2">
              <w:rPr>
                <w:rFonts w:ascii="Arial Narrow" w:hAnsi="Arial Narrow"/>
                <w:color w:val="000000"/>
                <w:lang w:val="es-ES" w:eastAsia="es-ES"/>
              </w:rPr>
              <w:t>456</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12,4</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lang w:val="es-ES" w:eastAsia="es-ES"/>
              </w:rPr>
            </w:pPr>
            <w:r w:rsidRPr="007A66D2">
              <w:rPr>
                <w:rFonts w:ascii="Arial Narrow" w:hAnsi="Arial Narrow"/>
                <w:color w:val="000000"/>
                <w:spacing w:val="6"/>
                <w:lang w:eastAsia="es-ES"/>
              </w:rPr>
              <w:t>10.001-20.000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lang w:val="es-ES" w:eastAsia="es-ES"/>
              </w:rPr>
            </w:pPr>
            <w:r w:rsidRPr="007A66D2">
              <w:rPr>
                <w:rFonts w:ascii="Arial Narrow" w:hAnsi="Arial Narrow"/>
                <w:color w:val="000000"/>
                <w:lang w:val="es-ES" w:eastAsia="es-ES"/>
              </w:rPr>
              <w:t>7</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3</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val="es-ES" w:eastAsia="es-ES"/>
              </w:rPr>
              <w:t>88</w:t>
            </w:r>
            <w:r>
              <w:rPr>
                <w:rFonts w:ascii="Arial Narrow" w:hAnsi="Arial Narrow"/>
                <w:color w:val="000000"/>
                <w:lang w:val="es-ES" w:eastAsia="es-ES"/>
              </w:rPr>
              <w:t>.</w:t>
            </w:r>
            <w:r w:rsidRPr="007A66D2">
              <w:rPr>
                <w:rFonts w:ascii="Arial Narrow" w:hAnsi="Arial Narrow"/>
                <w:color w:val="000000"/>
                <w:lang w:val="es-ES" w:eastAsia="es-ES"/>
              </w:rPr>
              <w:t>830</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13,8</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lang w:val="es-ES" w:eastAsia="es-ES"/>
              </w:rPr>
            </w:pPr>
            <w:r w:rsidRPr="007A66D2">
              <w:rPr>
                <w:rFonts w:ascii="Arial Narrow" w:hAnsi="Arial Narrow"/>
                <w:color w:val="000000"/>
                <w:spacing w:val="6"/>
                <w:lang w:eastAsia="es-ES"/>
              </w:rPr>
              <w:t>20.001-30.000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lang w:val="es-ES" w:eastAsia="es-ES"/>
              </w:rPr>
            </w:pPr>
            <w:r w:rsidRPr="007A66D2">
              <w:rPr>
                <w:rFonts w:ascii="Arial Narrow" w:hAnsi="Arial Narrow"/>
                <w:color w:val="000000"/>
                <w:lang w:val="es-ES" w:eastAsia="es-ES"/>
              </w:rPr>
              <w:t>2</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1</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val="es-ES" w:eastAsia="es-ES"/>
              </w:rPr>
              <w:t>40</w:t>
            </w:r>
            <w:r>
              <w:rPr>
                <w:rFonts w:ascii="Arial Narrow" w:hAnsi="Arial Narrow"/>
                <w:color w:val="000000"/>
                <w:lang w:val="es-ES" w:eastAsia="es-ES"/>
              </w:rPr>
              <w:t>.</w:t>
            </w:r>
            <w:r w:rsidRPr="007A66D2">
              <w:rPr>
                <w:rFonts w:ascii="Arial Narrow" w:hAnsi="Arial Narrow"/>
                <w:color w:val="000000"/>
                <w:lang w:val="es-ES" w:eastAsia="es-ES"/>
              </w:rPr>
              <w:t>541</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6,3</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lang w:val="es-ES" w:eastAsia="es-ES"/>
              </w:rPr>
            </w:pPr>
            <w:r w:rsidRPr="007A66D2">
              <w:rPr>
                <w:rFonts w:ascii="Arial Narrow" w:hAnsi="Arial Narrow"/>
                <w:color w:val="000000"/>
                <w:lang w:val="es-ES" w:eastAsia="es-ES"/>
              </w:rPr>
              <w:t>30.001-50.000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lang w:val="es-ES" w:eastAsia="es-ES"/>
              </w:rPr>
            </w:pPr>
            <w:r w:rsidRPr="007A66D2">
              <w:rPr>
                <w:rFonts w:ascii="Arial Narrow" w:hAnsi="Arial Narrow"/>
                <w:color w:val="000000"/>
                <w:lang w:val="es-ES" w:eastAsia="es-ES"/>
              </w:rPr>
              <w:t>1</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val="es-ES" w:eastAsia="es-ES"/>
              </w:rPr>
              <w:t>0</w:t>
            </w:r>
            <w:r>
              <w:rPr>
                <w:rFonts w:ascii="Arial Narrow" w:hAnsi="Arial Narrow"/>
                <w:color w:val="000000"/>
                <w:lang w:val="es-ES" w:eastAsia="es-ES"/>
              </w:rPr>
              <w:t>,4</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val="es-ES" w:eastAsia="es-ES"/>
              </w:rPr>
              <w:t>35</w:t>
            </w:r>
            <w:r>
              <w:rPr>
                <w:rFonts w:ascii="Arial Narrow" w:hAnsi="Arial Narrow"/>
                <w:color w:val="000000"/>
                <w:lang w:val="es-ES" w:eastAsia="es-ES"/>
              </w:rPr>
              <w:t>.</w:t>
            </w:r>
            <w:r w:rsidRPr="007A66D2">
              <w:rPr>
                <w:rFonts w:ascii="Arial Narrow" w:hAnsi="Arial Narrow"/>
                <w:color w:val="000000"/>
                <w:lang w:val="es-ES" w:eastAsia="es-ES"/>
              </w:rPr>
              <w:t>298</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val="es-ES" w:eastAsia="es-ES"/>
              </w:rPr>
              <w:t>5,5</w:t>
            </w:r>
          </w:p>
        </w:tc>
      </w:tr>
      <w:tr w:rsidR="00EC4F97" w:rsidRPr="007A66D2" w:rsidTr="00422AD9">
        <w:trPr>
          <w:trHeight w:val="315"/>
          <w:jc w:val="center"/>
        </w:trPr>
        <w:tc>
          <w:tcPr>
            <w:tcW w:w="3555" w:type="dxa"/>
            <w:tcBorders>
              <w:top w:val="single" w:sz="2" w:space="0" w:color="auto"/>
              <w:left w:val="nil"/>
              <w:bottom w:val="single" w:sz="4"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lang w:val="es-ES" w:eastAsia="es-ES"/>
              </w:rPr>
            </w:pPr>
            <w:r w:rsidRPr="007A66D2">
              <w:rPr>
                <w:rFonts w:ascii="Arial Narrow" w:hAnsi="Arial Narrow"/>
                <w:color w:val="000000"/>
                <w:spacing w:val="6"/>
                <w:lang w:eastAsia="es-ES"/>
              </w:rPr>
              <w:t>Más de 50.000</w:t>
            </w:r>
          </w:p>
        </w:tc>
        <w:tc>
          <w:tcPr>
            <w:tcW w:w="1420" w:type="dxa"/>
            <w:tcBorders>
              <w:top w:val="single" w:sz="2" w:space="0" w:color="auto"/>
              <w:left w:val="nil"/>
              <w:bottom w:val="single" w:sz="4"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lang w:val="es-ES" w:eastAsia="es-ES"/>
              </w:rPr>
            </w:pPr>
            <w:r w:rsidRPr="007A66D2">
              <w:rPr>
                <w:rFonts w:ascii="Arial Narrow" w:hAnsi="Arial Narrow"/>
                <w:color w:val="000000"/>
                <w:lang w:val="es-ES" w:eastAsia="es-ES"/>
              </w:rPr>
              <w:t>1</w:t>
            </w:r>
          </w:p>
        </w:tc>
        <w:tc>
          <w:tcPr>
            <w:tcW w:w="1360" w:type="dxa"/>
            <w:tcBorders>
              <w:top w:val="single" w:sz="2" w:space="0" w:color="auto"/>
              <w:left w:val="nil"/>
              <w:bottom w:val="single" w:sz="4"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0</w:t>
            </w:r>
            <w:r>
              <w:rPr>
                <w:rFonts w:ascii="Arial Narrow" w:hAnsi="Arial Narrow"/>
                <w:color w:val="000000"/>
                <w:lang w:eastAsia="es-ES"/>
              </w:rPr>
              <w:t>,4</w:t>
            </w:r>
          </w:p>
        </w:tc>
        <w:tc>
          <w:tcPr>
            <w:tcW w:w="1200" w:type="dxa"/>
            <w:tcBorders>
              <w:top w:val="single" w:sz="2" w:space="0" w:color="auto"/>
              <w:left w:val="nil"/>
              <w:bottom w:val="single" w:sz="4"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val="es-ES" w:eastAsia="es-ES"/>
              </w:rPr>
              <w:t>197</w:t>
            </w:r>
            <w:r>
              <w:rPr>
                <w:rFonts w:ascii="Arial Narrow" w:hAnsi="Arial Narrow"/>
                <w:color w:val="000000"/>
                <w:lang w:val="es-ES" w:eastAsia="es-ES"/>
              </w:rPr>
              <w:t>.</w:t>
            </w:r>
            <w:r w:rsidRPr="007A66D2">
              <w:rPr>
                <w:rFonts w:ascii="Arial Narrow" w:hAnsi="Arial Narrow"/>
                <w:color w:val="000000"/>
                <w:lang w:val="es-ES" w:eastAsia="es-ES"/>
              </w:rPr>
              <w:t>138</w:t>
            </w:r>
          </w:p>
        </w:tc>
        <w:tc>
          <w:tcPr>
            <w:tcW w:w="1200" w:type="dxa"/>
            <w:tcBorders>
              <w:top w:val="single" w:sz="2" w:space="0" w:color="auto"/>
              <w:left w:val="nil"/>
              <w:bottom w:val="single" w:sz="4"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lang w:val="es-ES" w:eastAsia="es-ES"/>
              </w:rPr>
            </w:pPr>
            <w:r w:rsidRPr="007A66D2">
              <w:rPr>
                <w:rFonts w:ascii="Arial Narrow" w:hAnsi="Arial Narrow"/>
                <w:color w:val="000000"/>
                <w:lang w:eastAsia="es-ES"/>
              </w:rPr>
              <w:t>30,6</w:t>
            </w:r>
          </w:p>
        </w:tc>
      </w:tr>
      <w:tr w:rsidR="00EC4F97" w:rsidRPr="007A66D2" w:rsidTr="00422AD9">
        <w:trPr>
          <w:trHeight w:val="315"/>
          <w:jc w:val="center"/>
        </w:trPr>
        <w:tc>
          <w:tcPr>
            <w:tcW w:w="3555"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left"/>
              <w:rPr>
                <w:rFonts w:ascii="Arial" w:hAnsi="Arial" w:cs="Arial"/>
                <w:color w:val="000000"/>
                <w:sz w:val="18"/>
                <w:szCs w:val="18"/>
                <w:lang w:val="es-ES" w:eastAsia="es-ES"/>
              </w:rPr>
            </w:pPr>
            <w:r w:rsidRPr="007A66D2">
              <w:rPr>
                <w:rFonts w:ascii="Arial" w:hAnsi="Arial" w:cs="Arial"/>
                <w:color w:val="000000"/>
                <w:sz w:val="18"/>
                <w:szCs w:val="18"/>
                <w:lang w:eastAsia="es-ES"/>
              </w:rPr>
              <w:t>Total</w:t>
            </w:r>
          </w:p>
        </w:tc>
        <w:tc>
          <w:tcPr>
            <w:tcW w:w="142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right="418" w:firstLine="0"/>
              <w:jc w:val="right"/>
              <w:rPr>
                <w:rFonts w:ascii="Arial" w:hAnsi="Arial" w:cs="Arial"/>
                <w:color w:val="000000"/>
                <w:sz w:val="18"/>
                <w:szCs w:val="18"/>
                <w:lang w:val="es-ES" w:eastAsia="es-ES"/>
              </w:rPr>
            </w:pPr>
            <w:r w:rsidRPr="007A66D2">
              <w:rPr>
                <w:rFonts w:ascii="Arial" w:hAnsi="Arial" w:cs="Arial"/>
                <w:color w:val="000000"/>
                <w:sz w:val="18"/>
                <w:szCs w:val="18"/>
                <w:lang w:eastAsia="es-ES"/>
              </w:rPr>
              <w:t>272</w:t>
            </w:r>
          </w:p>
        </w:tc>
        <w:tc>
          <w:tcPr>
            <w:tcW w:w="136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right"/>
              <w:rPr>
                <w:rFonts w:ascii="Arial" w:hAnsi="Arial" w:cs="Arial"/>
                <w:color w:val="000000"/>
                <w:sz w:val="18"/>
                <w:szCs w:val="18"/>
                <w:lang w:val="es-ES" w:eastAsia="es-ES"/>
              </w:rPr>
            </w:pPr>
            <w:r w:rsidRPr="007A66D2">
              <w:rPr>
                <w:rFonts w:ascii="Arial" w:hAnsi="Arial" w:cs="Arial"/>
                <w:color w:val="000000"/>
                <w:sz w:val="18"/>
                <w:szCs w:val="18"/>
                <w:lang w:eastAsia="es-ES"/>
              </w:rPr>
              <w:t>100</w:t>
            </w:r>
          </w:p>
        </w:tc>
        <w:tc>
          <w:tcPr>
            <w:tcW w:w="120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right"/>
              <w:rPr>
                <w:rFonts w:ascii="Arial" w:hAnsi="Arial" w:cs="Arial"/>
                <w:color w:val="000000"/>
                <w:sz w:val="18"/>
                <w:szCs w:val="18"/>
                <w:lang w:val="es-ES" w:eastAsia="es-ES"/>
              </w:rPr>
            </w:pPr>
            <w:r w:rsidRPr="007A66D2">
              <w:rPr>
                <w:rFonts w:ascii="Arial" w:hAnsi="Arial" w:cs="Arial"/>
                <w:color w:val="000000"/>
                <w:sz w:val="18"/>
                <w:szCs w:val="18"/>
                <w:lang w:val="es-ES" w:eastAsia="es-ES"/>
              </w:rPr>
              <w:t>643.234</w:t>
            </w:r>
          </w:p>
        </w:tc>
        <w:tc>
          <w:tcPr>
            <w:tcW w:w="120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right"/>
              <w:rPr>
                <w:rFonts w:ascii="Arial" w:hAnsi="Arial" w:cs="Arial"/>
                <w:color w:val="000000"/>
                <w:sz w:val="18"/>
                <w:szCs w:val="18"/>
                <w:lang w:val="es-ES" w:eastAsia="es-ES"/>
              </w:rPr>
            </w:pPr>
            <w:r w:rsidRPr="007A66D2">
              <w:rPr>
                <w:rFonts w:ascii="Arial" w:hAnsi="Arial" w:cs="Arial"/>
                <w:color w:val="000000"/>
                <w:sz w:val="18"/>
                <w:szCs w:val="18"/>
                <w:lang w:eastAsia="es-ES"/>
              </w:rPr>
              <w:t>100</w:t>
            </w:r>
          </w:p>
        </w:tc>
      </w:tr>
    </w:tbl>
    <w:p w:rsidR="00EC4F97" w:rsidRPr="001E6B7A" w:rsidRDefault="00EC4F97" w:rsidP="00EC4F97">
      <w:pPr>
        <w:pStyle w:val="texto"/>
        <w:spacing w:before="240"/>
      </w:pPr>
      <w:r>
        <w:lastRenderedPageBreak/>
        <w:t>De los datos anteriores destacamos que e</w:t>
      </w:r>
      <w:r w:rsidRPr="001E6B7A">
        <w:t xml:space="preserve">l </w:t>
      </w:r>
      <w:r>
        <w:t xml:space="preserve">69 </w:t>
      </w:r>
      <w:r w:rsidRPr="001E6B7A">
        <w:t>por ciento de los municipios de Navarra (18</w:t>
      </w:r>
      <w:r>
        <w:t>9</w:t>
      </w:r>
      <w:r w:rsidRPr="001E6B7A">
        <w:t xml:space="preserve"> municipios) tiene me</w:t>
      </w:r>
      <w:r>
        <w:t>nos de 1.000 habitantes, y que e</w:t>
      </w:r>
      <w:r w:rsidRPr="009522A3">
        <w:t xml:space="preserve">l </w:t>
      </w:r>
      <w:r w:rsidRPr="001E6B7A">
        <w:t>30,</w:t>
      </w:r>
      <w:r>
        <w:t>6</w:t>
      </w:r>
      <w:r w:rsidRPr="001E6B7A">
        <w:t xml:space="preserve"> por ciento del total</w:t>
      </w:r>
      <w:r>
        <w:t xml:space="preserve"> de población</w:t>
      </w:r>
      <w:r w:rsidRPr="001E6B7A">
        <w:t xml:space="preserve"> corresponde a Pamplona.</w:t>
      </w:r>
    </w:p>
    <w:p w:rsidR="00EC4F97" w:rsidRPr="001E6B7A" w:rsidRDefault="00EC4F97" w:rsidP="00EC4F97">
      <w:pPr>
        <w:pStyle w:val="texto"/>
      </w:pPr>
      <w:r w:rsidRPr="001E6B7A">
        <w:t>Tal y como viene reiterando esta Cámara en sus informes, la reducida d</w:t>
      </w:r>
      <w:r w:rsidRPr="001E6B7A">
        <w:t>i</w:t>
      </w:r>
      <w:r w:rsidRPr="001E6B7A">
        <w:t>mensión poblacional suele conllevar unos recursos limitados, humanos y fina</w:t>
      </w:r>
      <w:r w:rsidRPr="001E6B7A">
        <w:t>n</w:t>
      </w:r>
      <w:r w:rsidRPr="001E6B7A">
        <w:t>cieros y la ausencia de una estructura administrativa adecuada y suficiente para la gestión de sus competencias, lo cual dificulta la prestación de servicios con eficiencia, economía, eficacia y calidad.</w:t>
      </w:r>
    </w:p>
    <w:p w:rsidR="00EC4F97" w:rsidRPr="00F35BDD" w:rsidRDefault="00EC4F97" w:rsidP="00EC4F97">
      <w:pPr>
        <w:pStyle w:val="atitulo2"/>
        <w:spacing w:before="240"/>
        <w:rPr>
          <w:bCs w:val="0"/>
          <w:iCs w:val="0"/>
        </w:rPr>
      </w:pPr>
      <w:bookmarkStart w:id="23" w:name="_Toc399916261"/>
      <w:bookmarkStart w:id="24" w:name="_Toc465686684"/>
      <w:bookmarkStart w:id="25" w:name="_Toc529773878"/>
      <w:bookmarkStart w:id="26" w:name="_Toc24100138"/>
      <w:bookmarkStart w:id="27" w:name="_Toc24451736"/>
      <w:r w:rsidRPr="002E4F72">
        <w:rPr>
          <w:bCs w:val="0"/>
          <w:iCs w:val="0"/>
        </w:rPr>
        <w:t>II.2. Medidas legislativas planteadas para la racionalización del sector</w:t>
      </w:r>
      <w:r w:rsidRPr="00F35BDD">
        <w:rPr>
          <w:bCs w:val="0"/>
          <w:iCs w:val="0"/>
        </w:rPr>
        <w:t xml:space="preserve"> público local</w:t>
      </w:r>
      <w:bookmarkEnd w:id="23"/>
      <w:bookmarkEnd w:id="24"/>
      <w:bookmarkEnd w:id="25"/>
      <w:bookmarkEnd w:id="26"/>
      <w:bookmarkEnd w:id="27"/>
      <w:r w:rsidRPr="00F35BDD">
        <w:rPr>
          <w:bCs w:val="0"/>
          <w:iCs w:val="0"/>
        </w:rPr>
        <w:t xml:space="preserve"> </w:t>
      </w:r>
    </w:p>
    <w:p w:rsidR="00EC4F97" w:rsidRDefault="00EC4F97" w:rsidP="00EC4F97">
      <w:pPr>
        <w:pStyle w:val="texto"/>
        <w:rPr>
          <w:szCs w:val="26"/>
        </w:rPr>
      </w:pPr>
      <w:bookmarkStart w:id="28" w:name="_Toc291067878"/>
      <w:bookmarkStart w:id="29" w:name="_Toc399916262"/>
      <w:bookmarkStart w:id="30" w:name="_Toc465686685"/>
      <w:r w:rsidRPr="00365D06">
        <w:rPr>
          <w:szCs w:val="26"/>
        </w:rPr>
        <w:t>Se mantien</w:t>
      </w:r>
      <w:r>
        <w:rPr>
          <w:szCs w:val="26"/>
        </w:rPr>
        <w:t>en</w:t>
      </w:r>
      <w:r w:rsidRPr="00365D06">
        <w:rPr>
          <w:szCs w:val="26"/>
        </w:rPr>
        <w:t xml:space="preserve"> vigentes los antecedentes que sobre esta cuestión se incluía</w:t>
      </w:r>
      <w:r>
        <w:rPr>
          <w:szCs w:val="26"/>
        </w:rPr>
        <w:t>n</w:t>
      </w:r>
      <w:r w:rsidRPr="00365D06">
        <w:rPr>
          <w:szCs w:val="26"/>
        </w:rPr>
        <w:t xml:space="preserve"> en el informe de esta Cámara sobre el Sector Público Local de 201</w:t>
      </w:r>
      <w:r>
        <w:rPr>
          <w:szCs w:val="26"/>
        </w:rPr>
        <w:t>6</w:t>
      </w:r>
      <w:r w:rsidRPr="00365D06">
        <w:rPr>
          <w:szCs w:val="26"/>
        </w:rPr>
        <w:t xml:space="preserve"> al que</w:t>
      </w:r>
      <w:r>
        <w:rPr>
          <w:szCs w:val="26"/>
        </w:rPr>
        <w:t xml:space="preserve"> nos</w:t>
      </w:r>
      <w:r w:rsidRPr="00365D06">
        <w:rPr>
          <w:szCs w:val="26"/>
        </w:rPr>
        <w:t xml:space="preserve"> remitimos.</w:t>
      </w:r>
    </w:p>
    <w:p w:rsidR="00EC4F97" w:rsidRDefault="00EC4F97" w:rsidP="00EC4F97">
      <w:pPr>
        <w:pStyle w:val="texto"/>
        <w:rPr>
          <w:szCs w:val="26"/>
        </w:rPr>
      </w:pPr>
      <w:r w:rsidRPr="00365D06">
        <w:rPr>
          <w:szCs w:val="26"/>
        </w:rPr>
        <w:t xml:space="preserve">En febrero de 2016, el Gobierno de Navarra </w:t>
      </w:r>
      <w:r>
        <w:rPr>
          <w:szCs w:val="26"/>
        </w:rPr>
        <w:t>inició</w:t>
      </w:r>
      <w:r w:rsidRPr="00365D06">
        <w:rPr>
          <w:szCs w:val="26"/>
        </w:rPr>
        <w:t xml:space="preserve"> un proceso de particip</w:t>
      </w:r>
      <w:r w:rsidRPr="00365D06">
        <w:rPr>
          <w:szCs w:val="26"/>
        </w:rPr>
        <w:t>a</w:t>
      </w:r>
      <w:r w:rsidRPr="00365D06">
        <w:rPr>
          <w:szCs w:val="26"/>
        </w:rPr>
        <w:t>ción para definir la nueva organización de la Administración Local de Navarra</w:t>
      </w:r>
      <w:r>
        <w:rPr>
          <w:szCs w:val="26"/>
        </w:rPr>
        <w:t>. En dicho proceso participaron la Dirección de Administración Local, las ent</w:t>
      </w:r>
      <w:r>
        <w:rPr>
          <w:szCs w:val="26"/>
        </w:rPr>
        <w:t>i</w:t>
      </w:r>
      <w:r>
        <w:rPr>
          <w:szCs w:val="26"/>
        </w:rPr>
        <w:t>dades locales con la Federación Navarra de Municipios y Concejos (FNMC), los grupos parlamentarios y varios expertos y asesores en la materia.</w:t>
      </w:r>
    </w:p>
    <w:p w:rsidR="00EC4F97" w:rsidRDefault="00EC4F97" w:rsidP="00EC4F97">
      <w:pPr>
        <w:pStyle w:val="texto"/>
        <w:tabs>
          <w:tab w:val="clear" w:pos="2835"/>
          <w:tab w:val="clear" w:pos="3969"/>
          <w:tab w:val="clear" w:pos="5103"/>
          <w:tab w:val="clear" w:pos="6237"/>
          <w:tab w:val="clear" w:pos="7371"/>
        </w:tabs>
        <w:rPr>
          <w:szCs w:val="26"/>
        </w:rPr>
      </w:pPr>
      <w:r>
        <w:rPr>
          <w:szCs w:val="26"/>
        </w:rPr>
        <w:t>Como resultado del anterior proceso, la Orden Foral 406/2017, de 24 de o</w:t>
      </w:r>
      <w:r>
        <w:rPr>
          <w:szCs w:val="26"/>
        </w:rPr>
        <w:t>c</w:t>
      </w:r>
      <w:r>
        <w:rPr>
          <w:szCs w:val="26"/>
        </w:rPr>
        <w:t xml:space="preserve">tubre, de la </w:t>
      </w:r>
      <w:r w:rsidRPr="00D30C84">
        <w:rPr>
          <w:szCs w:val="26"/>
        </w:rPr>
        <w:t>Consejera de Desarrollo Rural, Medio Ambiente y Administración Loca</w:t>
      </w:r>
      <w:r>
        <w:rPr>
          <w:szCs w:val="26"/>
        </w:rPr>
        <w:t>l, inició el procedimiento de elaboración del anteproyecto de Ley Foral de Reforma de la Administración Local de Navarra y finalmente, el 4 de julio de 2018 se remitió al Parlamento el proyecto de ley foral correspondiente.</w:t>
      </w:r>
    </w:p>
    <w:p w:rsidR="00EC4F97" w:rsidRDefault="00EC4F97" w:rsidP="00EC4F97">
      <w:pPr>
        <w:pStyle w:val="texto"/>
        <w:rPr>
          <w:szCs w:val="26"/>
        </w:rPr>
      </w:pPr>
      <w:r>
        <w:rPr>
          <w:szCs w:val="26"/>
        </w:rPr>
        <w:t>Este proceso ha dado lugar a la aprobación, en febrero de 2019, de la Ley Foral 4/2019, de Reforma de la Administración Local de Navarra.</w:t>
      </w:r>
    </w:p>
    <w:p w:rsidR="00EC4F97" w:rsidRDefault="00EC4F97" w:rsidP="00EC4F97">
      <w:pPr>
        <w:pStyle w:val="texto"/>
        <w:rPr>
          <w:szCs w:val="26"/>
        </w:rPr>
      </w:pPr>
      <w:r>
        <w:rPr>
          <w:szCs w:val="26"/>
        </w:rPr>
        <w:t>Dicha ley concreta una nueva planta local en la que aparecen nuevos tipos de entidades locales y desaparecen otros existentes hasta el momento. La novedad más relevante es la creación de las comarcas como entidades locales de carácter supramunicipal que asumirán algunas competencias que actualmente se prestan por las mancomunidades. El plazo fijado para iniciar los trámites para la cre</w:t>
      </w:r>
      <w:r>
        <w:rPr>
          <w:szCs w:val="26"/>
        </w:rPr>
        <w:t>a</w:t>
      </w:r>
      <w:r>
        <w:rPr>
          <w:szCs w:val="26"/>
        </w:rPr>
        <w:t>ción de las mismas es a partir del 6 de agosto de 2020.</w:t>
      </w:r>
    </w:p>
    <w:p w:rsidR="00EC4F97" w:rsidRDefault="00EC4F97" w:rsidP="00EC4F97">
      <w:pPr>
        <w:pStyle w:val="texto"/>
        <w:rPr>
          <w:szCs w:val="26"/>
        </w:rPr>
      </w:pPr>
      <w:r>
        <w:rPr>
          <w:szCs w:val="26"/>
        </w:rPr>
        <w:t>Con la reforma desaparecen las agrupaciones de servicios administrativos, los distritos administrativos y los consorcios locales, estos últimos serán ent</w:t>
      </w:r>
      <w:r>
        <w:rPr>
          <w:szCs w:val="26"/>
        </w:rPr>
        <w:t>i</w:t>
      </w:r>
      <w:r>
        <w:rPr>
          <w:szCs w:val="26"/>
        </w:rPr>
        <w:t>dades públicas.</w:t>
      </w:r>
    </w:p>
    <w:p w:rsidR="00EC4F97" w:rsidRDefault="00EC4F97" w:rsidP="00EC4F97">
      <w:pPr>
        <w:pStyle w:val="texto"/>
        <w:rPr>
          <w:szCs w:val="26"/>
        </w:rPr>
      </w:pPr>
      <w:r>
        <w:rPr>
          <w:szCs w:val="26"/>
        </w:rPr>
        <w:t>En cualquier caso, la aprobación de esta norma abre un periodo de elabor</w:t>
      </w:r>
      <w:r>
        <w:rPr>
          <w:szCs w:val="26"/>
        </w:rPr>
        <w:t>a</w:t>
      </w:r>
      <w:r>
        <w:rPr>
          <w:szCs w:val="26"/>
        </w:rPr>
        <w:t>ción de modificaciones normativas que irán concretando la forma definitiva de esta reforma local.</w:t>
      </w:r>
    </w:p>
    <w:p w:rsidR="00EC4F97" w:rsidRDefault="00EC4F97" w:rsidP="00EC4F97">
      <w:pPr>
        <w:pStyle w:val="atitulo2"/>
        <w:spacing w:before="240"/>
        <w:rPr>
          <w:bCs w:val="0"/>
          <w:iCs w:val="0"/>
        </w:rPr>
      </w:pPr>
      <w:bookmarkStart w:id="31" w:name="_Toc24100139"/>
      <w:bookmarkStart w:id="32" w:name="_Toc24451737"/>
      <w:r w:rsidRPr="002E4F72">
        <w:rPr>
          <w:bCs w:val="0"/>
          <w:iCs w:val="0"/>
        </w:rPr>
        <w:lastRenderedPageBreak/>
        <w:t>II.</w:t>
      </w:r>
      <w:r>
        <w:rPr>
          <w:bCs w:val="0"/>
          <w:iCs w:val="0"/>
        </w:rPr>
        <w:t>3</w:t>
      </w:r>
      <w:r w:rsidRPr="002E4F72">
        <w:rPr>
          <w:bCs w:val="0"/>
          <w:iCs w:val="0"/>
        </w:rPr>
        <w:t xml:space="preserve">. </w:t>
      </w:r>
      <w:r>
        <w:rPr>
          <w:bCs w:val="0"/>
          <w:iCs w:val="0"/>
        </w:rPr>
        <w:t>Normativa aprobada en 2017</w:t>
      </w:r>
      <w:bookmarkEnd w:id="31"/>
      <w:bookmarkEnd w:id="32"/>
    </w:p>
    <w:p w:rsidR="00EC4F97" w:rsidRPr="006A7B61" w:rsidRDefault="00EC4F97" w:rsidP="00EC4F97">
      <w:pPr>
        <w:pStyle w:val="texto"/>
        <w:rPr>
          <w:szCs w:val="26"/>
        </w:rPr>
      </w:pPr>
      <w:r w:rsidRPr="006A7B61">
        <w:rPr>
          <w:szCs w:val="26"/>
        </w:rPr>
        <w:t>La normativa aplicable a las entidades que componen el sector público local de Navarra consta en el Anexo 1 que acompaña a este informe. A continuación detallamos las normas más significativas aprobadas en 2017 aplicables a este sector.</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443AD8">
        <w:rPr>
          <w:szCs w:val="26"/>
        </w:rPr>
        <w:t>Decreto Foral</w:t>
      </w:r>
      <w:r>
        <w:rPr>
          <w:szCs w:val="26"/>
        </w:rPr>
        <w:t xml:space="preserve"> Legislativo 1/2017 de 26 de julio, por el que se aprueba el Texto Refundido de la Ley Foral de Ordenación del Territorio y Urbanismo.</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Pr>
          <w:szCs w:val="26"/>
        </w:rPr>
        <w:t xml:space="preserve">Ley Foral </w:t>
      </w:r>
      <w:r w:rsidRPr="007D240E">
        <w:rPr>
          <w:bCs/>
          <w:iCs/>
        </w:rPr>
        <w:t>20/2017, de 28 de diciembre, de Presupuestos Generales de N</w:t>
      </w:r>
      <w:r w:rsidRPr="007D240E">
        <w:rPr>
          <w:bCs/>
          <w:iCs/>
        </w:rPr>
        <w:t>a</w:t>
      </w:r>
      <w:r w:rsidRPr="007D240E">
        <w:rPr>
          <w:bCs/>
          <w:iCs/>
        </w:rPr>
        <w:t>varra para el año 2018.</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Pr>
          <w:szCs w:val="26"/>
        </w:rPr>
        <w:t>Ley Foral 18/2017, de 27 de diciembre, por la que se establece la cuantía y reparto del Fondo de Participación de las Haciendas Locales en los tributos de Navarra por transferencias corrientes para los años 2018 y 2019.</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7D240E">
        <w:rPr>
          <w:szCs w:val="26"/>
        </w:rPr>
        <w:t>Ley Foral 19/2017, de 27 de diciembre, por la que se modifica la Ley Foral 2/1995, de 10 de marzo, de Haciendas Locales de Navarra</w:t>
      </w:r>
      <w:r>
        <w:rPr>
          <w:szCs w:val="26"/>
        </w:rPr>
        <w:t>.</w:t>
      </w:r>
    </w:p>
    <w:p w:rsidR="00EC4F97" w:rsidRPr="007D240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7D240E">
        <w:rPr>
          <w:szCs w:val="26"/>
        </w:rPr>
        <w:t xml:space="preserve">Decreto Foral 21/2017, de 29 de marzo, por el que se modifica el Decreto Foral 158/1984, de 4 de julio, por el que se aprueba el Reglamento Provisional de Retribuciones del Personal al servicio de las Administraciones </w:t>
      </w:r>
      <w:r>
        <w:rPr>
          <w:szCs w:val="26"/>
        </w:rPr>
        <w:t>Públicas de Navarra.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54238C">
        <w:rPr>
          <w:szCs w:val="26"/>
        </w:rPr>
        <w:t>Decreto Foral 29/2017, de 17 de mayo, por el que se modifica el Decreto Foral 215/1985, de 6 de noviembre, por el que se aprueba el Reglamento de Provisión de puestos de trabajo en las Administraciones Públicas de Navarra.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Pr>
          <w:szCs w:val="26"/>
        </w:rPr>
        <w:t xml:space="preserve">Orden Foral 84/2017, de la Consejera de </w:t>
      </w:r>
      <w:r w:rsidRPr="00480A6F">
        <w:rPr>
          <w:szCs w:val="26"/>
        </w:rPr>
        <w:t>Desarrollo Rural, Medio Ambie</w:t>
      </w:r>
      <w:r w:rsidRPr="00480A6F">
        <w:rPr>
          <w:szCs w:val="26"/>
        </w:rPr>
        <w:t>n</w:t>
      </w:r>
      <w:r w:rsidRPr="00480A6F">
        <w:rPr>
          <w:szCs w:val="26"/>
        </w:rPr>
        <w:t>te y Administración Local, por la que se regula la forma de aplicación de la cláusula</w:t>
      </w:r>
      <w:r>
        <w:rPr>
          <w:szCs w:val="26"/>
        </w:rPr>
        <w:t xml:space="preserve"> </w:t>
      </w:r>
      <w:r w:rsidRPr="00480A6F">
        <w:rPr>
          <w:szCs w:val="26"/>
        </w:rPr>
        <w:t>social prevista en el artículo 20 de la Ley Foral 18/2016, de 13 de d</w:t>
      </w:r>
      <w:r w:rsidRPr="00480A6F">
        <w:rPr>
          <w:szCs w:val="26"/>
        </w:rPr>
        <w:t>i</w:t>
      </w:r>
      <w:r w:rsidRPr="00480A6F">
        <w:rPr>
          <w:szCs w:val="26"/>
        </w:rPr>
        <w:t>ciembre, reguladora del Plan de Inversiones Locales 2017-2019</w:t>
      </w:r>
      <w:r>
        <w:rPr>
          <w:szCs w:val="26"/>
        </w:rPr>
        <w:t>.</w:t>
      </w:r>
    </w:p>
    <w:p w:rsidR="00EC4F97" w:rsidRPr="008B251C"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87283F">
        <w:rPr>
          <w:szCs w:val="26"/>
        </w:rPr>
        <w:t>Resolución de 4 de julio de 2017, de la Secretaría General del Tesoro y P</w:t>
      </w:r>
      <w:r w:rsidRPr="0087283F">
        <w:rPr>
          <w:szCs w:val="26"/>
        </w:rPr>
        <w:t>o</w:t>
      </w:r>
      <w:r w:rsidRPr="0087283F">
        <w:rPr>
          <w:szCs w:val="26"/>
        </w:rPr>
        <w:t>lítica Financiera, por la que se define el principio de prudencia financiera apl</w:t>
      </w:r>
      <w:r w:rsidRPr="0087283F">
        <w:rPr>
          <w:szCs w:val="26"/>
        </w:rPr>
        <w:t>i</w:t>
      </w:r>
      <w:r w:rsidRPr="0087283F">
        <w:rPr>
          <w:szCs w:val="26"/>
        </w:rPr>
        <w:t>cable a las operaciones de endeudamiento y derivados de las comunidades a</w:t>
      </w:r>
      <w:r w:rsidRPr="0087283F">
        <w:rPr>
          <w:szCs w:val="26"/>
        </w:rPr>
        <w:t>u</w:t>
      </w:r>
      <w:r w:rsidRPr="0087283F">
        <w:rPr>
          <w:szCs w:val="26"/>
        </w:rPr>
        <w:t>tónomas y entidades locales.</w:t>
      </w:r>
    </w:p>
    <w:p w:rsidR="00EC4F97" w:rsidRDefault="00EC4F97" w:rsidP="00EC4F97">
      <w:pPr>
        <w:spacing w:after="0"/>
        <w:ind w:firstLine="0"/>
        <w:jc w:val="left"/>
        <w:rPr>
          <w:spacing w:val="6"/>
          <w:sz w:val="26"/>
          <w:szCs w:val="26"/>
        </w:rPr>
      </w:pPr>
      <w:r>
        <w:rPr>
          <w:szCs w:val="26"/>
        </w:rPr>
        <w:br w:type="page"/>
      </w:r>
    </w:p>
    <w:p w:rsidR="00EC4F97" w:rsidRDefault="00EC4F97" w:rsidP="00EC4F97">
      <w:pPr>
        <w:pStyle w:val="atitulo1"/>
      </w:pPr>
      <w:bookmarkStart w:id="33" w:name="_Toc217455261"/>
      <w:bookmarkStart w:id="34" w:name="_Toc527634608"/>
      <w:bookmarkStart w:id="35" w:name="_Toc529773875"/>
      <w:bookmarkStart w:id="36" w:name="_Toc531088341"/>
      <w:bookmarkStart w:id="37" w:name="_Toc24100140"/>
      <w:bookmarkStart w:id="38" w:name="_Toc24451738"/>
      <w:bookmarkStart w:id="39" w:name="_Toc121292759"/>
      <w:bookmarkStart w:id="40" w:name="_Toc121293082"/>
      <w:bookmarkStart w:id="41" w:name="_Toc291067875"/>
      <w:bookmarkStart w:id="42" w:name="_Toc399916258"/>
      <w:bookmarkStart w:id="43" w:name="_Toc465686681"/>
      <w:r w:rsidRPr="006A47E6">
        <w:t>I</w:t>
      </w:r>
      <w:r>
        <w:t>I</w:t>
      </w:r>
      <w:r w:rsidRPr="006A47E6">
        <w:t>I. Objetivo</w:t>
      </w:r>
      <w:bookmarkEnd w:id="33"/>
      <w:r w:rsidRPr="006A47E6">
        <w:t>, alcance y limitaciones</w:t>
      </w:r>
      <w:bookmarkEnd w:id="34"/>
      <w:bookmarkEnd w:id="35"/>
      <w:bookmarkEnd w:id="36"/>
      <w:bookmarkEnd w:id="37"/>
      <w:bookmarkEnd w:id="38"/>
      <w:r w:rsidRPr="006A47E6">
        <w:t xml:space="preserve"> </w:t>
      </w:r>
    </w:p>
    <w:p w:rsidR="00EC4F97" w:rsidRPr="00E95961" w:rsidRDefault="00EC4F97" w:rsidP="00EC4F97">
      <w:pPr>
        <w:pStyle w:val="texto"/>
        <w:rPr>
          <w:szCs w:val="26"/>
        </w:rPr>
      </w:pPr>
      <w:r w:rsidRPr="00E95961">
        <w:rPr>
          <w:szCs w:val="26"/>
        </w:rPr>
        <w:t>Los objetivos de este trabajo son:</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E95961">
        <w:rPr>
          <w:szCs w:val="26"/>
        </w:rPr>
        <w:t xml:space="preserve">Realizar un </w:t>
      </w:r>
      <w:r>
        <w:rPr>
          <w:szCs w:val="26"/>
        </w:rPr>
        <w:t>resumen</w:t>
      </w:r>
      <w:r w:rsidRPr="00E95961">
        <w:rPr>
          <w:szCs w:val="26"/>
        </w:rPr>
        <w:t xml:space="preserve"> de las actuaciones de fiscalización que esta Cámara realizó en el ámbito de las </w:t>
      </w:r>
      <w:r>
        <w:rPr>
          <w:szCs w:val="26"/>
        </w:rPr>
        <w:t>e</w:t>
      </w:r>
      <w:r w:rsidRPr="00E95961">
        <w:rPr>
          <w:szCs w:val="26"/>
        </w:rPr>
        <w:t xml:space="preserve">ntidades </w:t>
      </w:r>
      <w:r>
        <w:rPr>
          <w:szCs w:val="26"/>
        </w:rPr>
        <w:t>l</w:t>
      </w:r>
      <w:r w:rsidRPr="00E95961">
        <w:rPr>
          <w:szCs w:val="26"/>
        </w:rPr>
        <w:t>ocales de Navarra en relación con el eje</w:t>
      </w:r>
      <w:r w:rsidRPr="00E95961">
        <w:rPr>
          <w:szCs w:val="26"/>
        </w:rPr>
        <w:t>r</w:t>
      </w:r>
      <w:r w:rsidRPr="00E95961">
        <w:rPr>
          <w:szCs w:val="26"/>
        </w:rPr>
        <w:t xml:space="preserve">cicio </w:t>
      </w:r>
      <w:r>
        <w:rPr>
          <w:szCs w:val="26"/>
        </w:rPr>
        <w:t>2017.</w:t>
      </w:r>
    </w:p>
    <w:p w:rsidR="00EC4F97" w:rsidRPr="00E95961"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Pr>
          <w:szCs w:val="26"/>
        </w:rPr>
        <w:t>Analizar la contratación de las entidades locales de Navarra en 2017.</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E95961">
        <w:rPr>
          <w:szCs w:val="26"/>
        </w:rPr>
        <w:t xml:space="preserve">Ofrecer al Parlamento, a las Administraciones Públicas y a la sociedad de Navarra una visión de la organización y de la situación financiera de las </w:t>
      </w:r>
      <w:r>
        <w:rPr>
          <w:szCs w:val="26"/>
        </w:rPr>
        <w:t>e</w:t>
      </w:r>
      <w:r w:rsidRPr="00E95961">
        <w:rPr>
          <w:szCs w:val="26"/>
        </w:rPr>
        <w:t>nt</w:t>
      </w:r>
      <w:r w:rsidRPr="00E95961">
        <w:rPr>
          <w:szCs w:val="26"/>
        </w:rPr>
        <w:t>i</w:t>
      </w:r>
      <w:r w:rsidRPr="00E95961">
        <w:rPr>
          <w:szCs w:val="26"/>
        </w:rPr>
        <w:t xml:space="preserve">dades </w:t>
      </w:r>
      <w:r>
        <w:rPr>
          <w:szCs w:val="26"/>
        </w:rPr>
        <w:t>l</w:t>
      </w:r>
      <w:r w:rsidRPr="00E95961">
        <w:rPr>
          <w:szCs w:val="26"/>
        </w:rPr>
        <w:t xml:space="preserve">ocales de Navarra en el año </w:t>
      </w:r>
      <w:r>
        <w:rPr>
          <w:szCs w:val="26"/>
        </w:rPr>
        <w:t>2017.</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Pr>
          <w:szCs w:val="26"/>
        </w:rPr>
        <w:t>Analizar la situación económico-financiera en 2017 de los ayuntamientos con población superior a 9.000 habitantes.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E95961">
        <w:rPr>
          <w:szCs w:val="26"/>
        </w:rPr>
        <w:t xml:space="preserve">Proponer al Parlamento, al Gobierno y a los </w:t>
      </w:r>
      <w:r>
        <w:rPr>
          <w:szCs w:val="26"/>
        </w:rPr>
        <w:t>e</w:t>
      </w:r>
      <w:r w:rsidRPr="00E95961">
        <w:rPr>
          <w:szCs w:val="26"/>
        </w:rPr>
        <w:t xml:space="preserve">ntes </w:t>
      </w:r>
      <w:r>
        <w:rPr>
          <w:szCs w:val="26"/>
        </w:rPr>
        <w:t>l</w:t>
      </w:r>
      <w:r w:rsidRPr="00E95961">
        <w:rPr>
          <w:szCs w:val="26"/>
        </w:rPr>
        <w:t>ocales de Navarra r</w:t>
      </w:r>
      <w:r w:rsidRPr="00E95961">
        <w:rPr>
          <w:szCs w:val="26"/>
        </w:rPr>
        <w:t>e</w:t>
      </w:r>
      <w:r w:rsidRPr="00E95961">
        <w:rPr>
          <w:szCs w:val="26"/>
        </w:rPr>
        <w:t>comendaciones para mejorar la gestión de las entidades locales.</w:t>
      </w:r>
    </w:p>
    <w:p w:rsidR="00EC4F97" w:rsidRPr="00E95961"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E95961">
        <w:rPr>
          <w:szCs w:val="26"/>
        </w:rPr>
        <w:t>El alcance del trabajo es la Cuenta General del ejercicio 201</w:t>
      </w:r>
      <w:r>
        <w:rPr>
          <w:szCs w:val="26"/>
        </w:rPr>
        <w:t>7</w:t>
      </w:r>
      <w:r w:rsidRPr="00E95961">
        <w:rPr>
          <w:szCs w:val="26"/>
        </w:rPr>
        <w:t xml:space="preserve"> de las ent</w:t>
      </w:r>
      <w:r w:rsidRPr="00E95961">
        <w:rPr>
          <w:szCs w:val="26"/>
        </w:rPr>
        <w:t>i</w:t>
      </w:r>
      <w:r w:rsidRPr="00E95961">
        <w:rPr>
          <w:szCs w:val="26"/>
        </w:rPr>
        <w:t>dades locales, integrada por:</w:t>
      </w:r>
    </w:p>
    <w:p w:rsidR="00EC4F97" w:rsidRPr="00E95961" w:rsidRDefault="00EC4F97" w:rsidP="00EC4F97">
      <w:pPr>
        <w:pStyle w:val="texto"/>
        <w:numPr>
          <w:ilvl w:val="0"/>
          <w:numId w:val="23"/>
        </w:numPr>
        <w:tabs>
          <w:tab w:val="clear" w:pos="2835"/>
          <w:tab w:val="clear" w:pos="3969"/>
          <w:tab w:val="clear" w:pos="5103"/>
          <w:tab w:val="clear" w:pos="6237"/>
          <w:tab w:val="clear" w:pos="7371"/>
          <w:tab w:val="left" w:pos="480"/>
        </w:tabs>
        <w:ind w:left="709" w:hanging="388"/>
        <w:rPr>
          <w:szCs w:val="26"/>
        </w:rPr>
      </w:pPr>
      <w:r w:rsidRPr="00E95961">
        <w:rPr>
          <w:szCs w:val="26"/>
        </w:rPr>
        <w:t xml:space="preserve">La de la propia entidad (municipio, concejo o mancomunidad), así como la de sus </w:t>
      </w:r>
      <w:r>
        <w:rPr>
          <w:szCs w:val="26"/>
        </w:rPr>
        <w:t>o</w:t>
      </w:r>
      <w:r w:rsidRPr="00E95961">
        <w:rPr>
          <w:szCs w:val="26"/>
        </w:rPr>
        <w:t xml:space="preserve">rganismos </w:t>
      </w:r>
      <w:r>
        <w:rPr>
          <w:szCs w:val="26"/>
        </w:rPr>
        <w:t>a</w:t>
      </w:r>
      <w:r w:rsidRPr="00E95961">
        <w:rPr>
          <w:szCs w:val="26"/>
        </w:rPr>
        <w:t>utónomos.</w:t>
      </w:r>
    </w:p>
    <w:p w:rsidR="00EC4F97" w:rsidRPr="00E95961" w:rsidRDefault="00EC4F97" w:rsidP="00EC4F97">
      <w:pPr>
        <w:pStyle w:val="texto"/>
        <w:numPr>
          <w:ilvl w:val="0"/>
          <w:numId w:val="23"/>
        </w:numPr>
        <w:tabs>
          <w:tab w:val="clear" w:pos="2835"/>
          <w:tab w:val="clear" w:pos="3969"/>
          <w:tab w:val="clear" w:pos="5103"/>
          <w:tab w:val="clear" w:pos="6237"/>
          <w:tab w:val="clear" w:pos="7371"/>
          <w:tab w:val="left" w:pos="480"/>
        </w:tabs>
        <w:ind w:left="709" w:hanging="388"/>
        <w:rPr>
          <w:szCs w:val="26"/>
        </w:rPr>
      </w:pPr>
      <w:r w:rsidRPr="00E95961">
        <w:rPr>
          <w:szCs w:val="26"/>
        </w:rPr>
        <w:t>La de las sociedades mercantiles de capital íntegramente propiedad de la entidad local.</w:t>
      </w:r>
    </w:p>
    <w:p w:rsidR="00EC4F97" w:rsidRPr="00E95961" w:rsidRDefault="00EC4F97" w:rsidP="00EC4F97">
      <w:pPr>
        <w:pStyle w:val="texto"/>
        <w:numPr>
          <w:ilvl w:val="0"/>
          <w:numId w:val="23"/>
        </w:numPr>
        <w:tabs>
          <w:tab w:val="clear" w:pos="2835"/>
          <w:tab w:val="clear" w:pos="3969"/>
          <w:tab w:val="clear" w:pos="5103"/>
          <w:tab w:val="clear" w:pos="6237"/>
          <w:tab w:val="clear" w:pos="7371"/>
          <w:tab w:val="left" w:pos="480"/>
        </w:tabs>
        <w:ind w:left="709" w:hanging="388"/>
        <w:rPr>
          <w:szCs w:val="26"/>
        </w:rPr>
      </w:pPr>
      <w:r w:rsidRPr="00E95961">
        <w:rPr>
          <w:szCs w:val="26"/>
        </w:rPr>
        <w:t>Los anexos.</w:t>
      </w:r>
    </w:p>
    <w:p w:rsidR="00EC4F97" w:rsidRPr="00E95961" w:rsidRDefault="00EC4F97" w:rsidP="00EC4F97">
      <w:pPr>
        <w:pStyle w:val="texto"/>
        <w:tabs>
          <w:tab w:val="clear" w:pos="2835"/>
          <w:tab w:val="clear" w:pos="3969"/>
          <w:tab w:val="clear" w:pos="5103"/>
          <w:tab w:val="clear" w:pos="6237"/>
          <w:tab w:val="clear" w:pos="7371"/>
          <w:tab w:val="left" w:pos="851"/>
        </w:tabs>
        <w:spacing w:before="120" w:after="120"/>
        <w:rPr>
          <w:szCs w:val="26"/>
        </w:rPr>
      </w:pPr>
      <w:r w:rsidRPr="00E95961">
        <w:rPr>
          <w:szCs w:val="26"/>
        </w:rPr>
        <w:t xml:space="preserve">Asimismo se </w:t>
      </w:r>
      <w:r>
        <w:rPr>
          <w:szCs w:val="26"/>
        </w:rPr>
        <w:t xml:space="preserve">ha </w:t>
      </w:r>
      <w:r w:rsidRPr="00E95961">
        <w:rPr>
          <w:szCs w:val="26"/>
        </w:rPr>
        <w:t>revisa</w:t>
      </w:r>
      <w:r>
        <w:rPr>
          <w:szCs w:val="26"/>
        </w:rPr>
        <w:t>do</w:t>
      </w:r>
      <w:r w:rsidRPr="00E95961">
        <w:rPr>
          <w:szCs w:val="26"/>
        </w:rPr>
        <w:t xml:space="preserve"> el informe sobre la situación financiera elaborado por el Departamento de </w:t>
      </w:r>
      <w:r>
        <w:rPr>
          <w:szCs w:val="26"/>
        </w:rPr>
        <w:t>Cohesión Territorial</w:t>
      </w:r>
      <w:r>
        <w:rPr>
          <w:rStyle w:val="Refdenotaalpie"/>
          <w:szCs w:val="26"/>
        </w:rPr>
        <w:footnoteReference w:id="1"/>
      </w:r>
      <w:r>
        <w:rPr>
          <w:szCs w:val="26"/>
        </w:rPr>
        <w:t>.</w:t>
      </w:r>
    </w:p>
    <w:p w:rsidR="00EC4F97" w:rsidRPr="002B5395" w:rsidRDefault="00EC4F97" w:rsidP="00EC4F97">
      <w:pPr>
        <w:pStyle w:val="texto"/>
      </w:pPr>
      <w:r w:rsidRPr="002B5395">
        <w:t>En el análisis de la situación financiera del sector público local, ha supuesto una limitación a nuestro trabajo la falta de información económico-financiera y presupuestaria sobre los entes locales que no habían remitido la Cuenta General del ejercicio 201</w:t>
      </w:r>
      <w:r>
        <w:t>7</w:t>
      </w:r>
      <w:r w:rsidRPr="002B5395">
        <w:t xml:space="preserve"> a la Dirección General de Administración Local </w:t>
      </w:r>
      <w:r>
        <w:t>y Despobl</w:t>
      </w:r>
      <w:r>
        <w:t>a</w:t>
      </w:r>
      <w:r>
        <w:t>ción a finales de junio de 2019</w:t>
      </w:r>
      <w:r w:rsidRPr="002B5395">
        <w:t xml:space="preserve"> que son:</w:t>
      </w:r>
    </w:p>
    <w:p w:rsidR="00EC4F97" w:rsidRPr="00B4430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 xml:space="preserve">De </w:t>
      </w:r>
      <w:r w:rsidRPr="00B4430A">
        <w:rPr>
          <w:rFonts w:cs="Arial"/>
        </w:rPr>
        <w:t xml:space="preserve">los 272 </w:t>
      </w:r>
      <w:r>
        <w:rPr>
          <w:rFonts w:cs="Arial"/>
        </w:rPr>
        <w:t>m</w:t>
      </w:r>
      <w:r w:rsidRPr="00B4430A">
        <w:rPr>
          <w:rFonts w:cs="Arial"/>
        </w:rPr>
        <w:t>unicipios</w:t>
      </w:r>
      <w:r>
        <w:rPr>
          <w:rFonts w:cs="Arial"/>
        </w:rPr>
        <w:t>, cuatro</w:t>
      </w:r>
      <w:r w:rsidRPr="00B4430A">
        <w:rPr>
          <w:rFonts w:cs="Arial"/>
        </w:rPr>
        <w:t xml:space="preserve">: </w:t>
      </w:r>
      <w:r>
        <w:rPr>
          <w:rFonts w:cs="Arial"/>
        </w:rPr>
        <w:t>Beintza-Labaien, Imotz, Orkoien, y Urzai</w:t>
      </w:r>
      <w:r>
        <w:rPr>
          <w:rFonts w:cs="Arial"/>
        </w:rPr>
        <w:t>n</w:t>
      </w:r>
      <w:r>
        <w:rPr>
          <w:rFonts w:cs="Arial"/>
        </w:rPr>
        <w:t>qui. La población de estos muni</w:t>
      </w:r>
      <w:r w:rsidRPr="00B4430A">
        <w:rPr>
          <w:rFonts w:cs="Arial"/>
        </w:rPr>
        <w:t xml:space="preserve">cipios </w:t>
      </w:r>
      <w:r>
        <w:rPr>
          <w:rFonts w:cs="Arial"/>
        </w:rPr>
        <w:t>asciende a 4.657 habitantes y representa el 0,72</w:t>
      </w:r>
      <w:r w:rsidRPr="00B4430A">
        <w:rPr>
          <w:rFonts w:cs="Arial"/>
        </w:rPr>
        <w:t xml:space="preserve"> por ciento de la población total.</w:t>
      </w:r>
      <w:r>
        <w:rPr>
          <w:rFonts w:cs="Arial"/>
        </w:rPr>
        <w:t xml:space="preserve"> </w:t>
      </w:r>
    </w:p>
    <w:p w:rsidR="00EC4F97" w:rsidRPr="00B4430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Un total de 24</w:t>
      </w:r>
      <w:r w:rsidRPr="00B4430A">
        <w:rPr>
          <w:rFonts w:cs="Arial"/>
        </w:rPr>
        <w:t xml:space="preserve"> de los 34</w:t>
      </w:r>
      <w:r>
        <w:rPr>
          <w:rFonts w:cs="Arial"/>
        </w:rPr>
        <w:t>6</w:t>
      </w:r>
      <w:r w:rsidRPr="00B4430A">
        <w:rPr>
          <w:rFonts w:cs="Arial"/>
        </w:rPr>
        <w:t xml:space="preserve"> </w:t>
      </w:r>
      <w:r>
        <w:rPr>
          <w:rFonts w:cs="Arial"/>
        </w:rPr>
        <w:t>c</w:t>
      </w:r>
      <w:r w:rsidRPr="00B4430A">
        <w:rPr>
          <w:rFonts w:cs="Arial"/>
        </w:rPr>
        <w:t>oncejos</w:t>
      </w:r>
      <w:r>
        <w:rPr>
          <w:rFonts w:cs="Arial"/>
        </w:rPr>
        <w:t xml:space="preserve"> existentes en 2017</w:t>
      </w:r>
      <w:r w:rsidRPr="00B4430A">
        <w:rPr>
          <w:rFonts w:cs="Arial"/>
        </w:rPr>
        <w:t>: An</w:t>
      </w:r>
      <w:r>
        <w:rPr>
          <w:rFonts w:cs="Arial"/>
        </w:rPr>
        <w:t>oz, Aos, A</w:t>
      </w:r>
      <w:r w:rsidRPr="00B4430A">
        <w:rPr>
          <w:rFonts w:cs="Arial"/>
        </w:rPr>
        <w:t>rlegui,</w:t>
      </w:r>
      <w:r>
        <w:rPr>
          <w:rFonts w:cs="Arial"/>
        </w:rPr>
        <w:t xml:space="preserve"> Astráin</w:t>
      </w:r>
      <w:r w:rsidRPr="00B4430A">
        <w:rPr>
          <w:rFonts w:cs="Arial"/>
        </w:rPr>
        <w:t>,</w:t>
      </w:r>
      <w:r>
        <w:rPr>
          <w:rFonts w:cs="Arial"/>
        </w:rPr>
        <w:t xml:space="preserve"> Bigüezal,</w:t>
      </w:r>
      <w:r w:rsidRPr="00B4430A">
        <w:rPr>
          <w:rFonts w:cs="Arial"/>
        </w:rPr>
        <w:t xml:space="preserve"> </w:t>
      </w:r>
      <w:r>
        <w:rPr>
          <w:rFonts w:cs="Arial"/>
        </w:rPr>
        <w:t xml:space="preserve">Cemboráin, Cizur Menor, </w:t>
      </w:r>
      <w:r w:rsidRPr="00B4430A">
        <w:rPr>
          <w:rFonts w:cs="Arial"/>
        </w:rPr>
        <w:t>E</w:t>
      </w:r>
      <w:r>
        <w:rPr>
          <w:rFonts w:cs="Arial"/>
        </w:rPr>
        <w:t xml:space="preserve">txaleku, Etxarri, </w:t>
      </w:r>
      <w:r w:rsidRPr="00B4430A">
        <w:rPr>
          <w:rFonts w:cs="Arial"/>
        </w:rPr>
        <w:t xml:space="preserve">Gazólaz, </w:t>
      </w:r>
      <w:r>
        <w:rPr>
          <w:rFonts w:cs="Arial"/>
        </w:rPr>
        <w:t>Gold</w:t>
      </w:r>
      <w:r>
        <w:rPr>
          <w:rFonts w:cs="Arial"/>
        </w:rPr>
        <w:t>a</w:t>
      </w:r>
      <w:r>
        <w:rPr>
          <w:rFonts w:cs="Arial"/>
        </w:rPr>
        <w:t>ratz, Jauntsarats, L</w:t>
      </w:r>
      <w:r w:rsidRPr="00B4430A">
        <w:rPr>
          <w:rFonts w:cs="Arial"/>
        </w:rPr>
        <w:t>apoblación, Larr</w:t>
      </w:r>
      <w:r>
        <w:rPr>
          <w:rFonts w:cs="Arial"/>
        </w:rPr>
        <w:t>áyoz</w:t>
      </w:r>
      <w:r w:rsidRPr="00B4430A">
        <w:rPr>
          <w:rFonts w:cs="Arial"/>
        </w:rPr>
        <w:t>,</w:t>
      </w:r>
      <w:r>
        <w:rPr>
          <w:rFonts w:cs="Arial"/>
        </w:rPr>
        <w:t xml:space="preserve"> Muskitz, </w:t>
      </w:r>
      <w:r w:rsidRPr="00B4430A">
        <w:rPr>
          <w:rFonts w:cs="Arial"/>
        </w:rPr>
        <w:t xml:space="preserve">Olaz, Olóriz, </w:t>
      </w:r>
      <w:r>
        <w:rPr>
          <w:rFonts w:cs="Arial"/>
        </w:rPr>
        <w:t>Oskotz, Pate</w:t>
      </w:r>
      <w:r>
        <w:rPr>
          <w:rFonts w:cs="Arial"/>
        </w:rPr>
        <w:t>r</w:t>
      </w:r>
      <w:r>
        <w:rPr>
          <w:rFonts w:cs="Arial"/>
        </w:rPr>
        <w:t xml:space="preserve">náin, Undiano, </w:t>
      </w:r>
      <w:r w:rsidRPr="00B4430A">
        <w:rPr>
          <w:rFonts w:cs="Arial"/>
        </w:rPr>
        <w:t>Unzu,</w:t>
      </w:r>
      <w:r>
        <w:rPr>
          <w:rFonts w:cs="Arial"/>
        </w:rPr>
        <w:t xml:space="preserve"> </w:t>
      </w:r>
      <w:r w:rsidRPr="00B4430A">
        <w:rPr>
          <w:rFonts w:cs="Arial"/>
        </w:rPr>
        <w:t>Zariquiegui</w:t>
      </w:r>
      <w:r>
        <w:rPr>
          <w:rFonts w:cs="Arial"/>
        </w:rPr>
        <w:t>, Zarrantz y Zubiri</w:t>
      </w:r>
      <w:r w:rsidRPr="00B4430A">
        <w:rPr>
          <w:rFonts w:cs="Arial"/>
        </w:rPr>
        <w:t xml:space="preserve">. La población de estos concejos </w:t>
      </w:r>
      <w:r>
        <w:rPr>
          <w:rFonts w:cs="Arial"/>
        </w:rPr>
        <w:t xml:space="preserve">es de 5.498 personas y </w:t>
      </w:r>
      <w:r w:rsidRPr="00B4430A">
        <w:rPr>
          <w:rFonts w:cs="Arial"/>
        </w:rPr>
        <w:t xml:space="preserve">representa el </w:t>
      </w:r>
      <w:r>
        <w:rPr>
          <w:rFonts w:cs="Arial"/>
        </w:rPr>
        <w:t>uno</w:t>
      </w:r>
      <w:r w:rsidRPr="00B4430A">
        <w:rPr>
          <w:rFonts w:cs="Arial"/>
        </w:rPr>
        <w:t xml:space="preserve"> por ciento de la población del total de Navarra.</w:t>
      </w:r>
    </w:p>
    <w:p w:rsidR="00EC4F97" w:rsidRPr="00033EB2"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33EB2">
        <w:rPr>
          <w:rFonts w:cs="Arial"/>
        </w:rPr>
        <w:t xml:space="preserve">De un total de </w:t>
      </w:r>
      <w:r w:rsidRPr="00F72ED5">
        <w:rPr>
          <w:rFonts w:cs="Arial"/>
        </w:rPr>
        <w:t>85 mancomunidades</w:t>
      </w:r>
      <w:r w:rsidRPr="00033EB2">
        <w:rPr>
          <w:rFonts w:cs="Arial"/>
        </w:rPr>
        <w:t xml:space="preserve"> y agrupaciones, </w:t>
      </w:r>
      <w:r>
        <w:rPr>
          <w:rFonts w:cs="Arial"/>
        </w:rPr>
        <w:t>cinco</w:t>
      </w:r>
      <w:r w:rsidRPr="00033EB2">
        <w:rPr>
          <w:rFonts w:cs="Arial"/>
        </w:rPr>
        <w:t xml:space="preserve"> entidades que son: </w:t>
      </w:r>
      <w:r>
        <w:rPr>
          <w:rFonts w:cs="Arial"/>
        </w:rPr>
        <w:t>Agrupación de Ayuntamientos Ezcabarte-Oláibar, Mancomunidad de Se</w:t>
      </w:r>
      <w:r>
        <w:rPr>
          <w:rFonts w:cs="Arial"/>
        </w:rPr>
        <w:t>r</w:t>
      </w:r>
      <w:r>
        <w:rPr>
          <w:rFonts w:cs="Arial"/>
        </w:rPr>
        <w:t>vicios Generales de Malerreka, Mancomunidad de Servicios Sociales de Base de la zona de Los Arcos, Mancomunidad Deportiva Araitz, Areso, Betelu, L</w:t>
      </w:r>
      <w:r>
        <w:rPr>
          <w:rFonts w:cs="Arial"/>
        </w:rPr>
        <w:t>a</w:t>
      </w:r>
      <w:r>
        <w:rPr>
          <w:rFonts w:cs="Arial"/>
        </w:rPr>
        <w:t>rraun y Lekunberri y Mancomunidad Deportiva Orreaga.</w:t>
      </w:r>
    </w:p>
    <w:p w:rsidR="00EC4F97" w:rsidRPr="00C420C2" w:rsidRDefault="00EC4F97" w:rsidP="00EC4F97">
      <w:pPr>
        <w:pStyle w:val="texto"/>
      </w:pPr>
      <w:r w:rsidRPr="00C420C2">
        <w:t>Por otra parte, conviene precisar que el citado análisis de la situación fina</w:t>
      </w:r>
      <w:r w:rsidRPr="00C420C2">
        <w:t>n</w:t>
      </w:r>
      <w:r w:rsidRPr="00C420C2">
        <w:t>ciera se elabora con los datos presupuestarios consolidados de las entidades l</w:t>
      </w:r>
      <w:r w:rsidRPr="00C420C2">
        <w:t>o</w:t>
      </w:r>
      <w:r w:rsidRPr="00C420C2">
        <w:t>cales y sus organismos autónomos. No se incluye información sobre las soci</w:t>
      </w:r>
      <w:r w:rsidRPr="00C420C2">
        <w:t>e</w:t>
      </w:r>
      <w:r w:rsidRPr="00C420C2">
        <w:t>dades públicas, las fundaciones públicas y los consorcios, excepto en el análisis del endeudamiento, donde sí se incluyen los datos correspondientes a las soci</w:t>
      </w:r>
      <w:r w:rsidRPr="00C420C2">
        <w:t>e</w:t>
      </w:r>
      <w:r w:rsidRPr="00C420C2">
        <w:t>dades dependientes de municipios y mancomunidades.</w:t>
      </w:r>
    </w:p>
    <w:p w:rsidR="00EC4F97" w:rsidRPr="002B5395" w:rsidRDefault="00EC4F97" w:rsidP="00EC4F97">
      <w:pPr>
        <w:pStyle w:val="texto"/>
      </w:pPr>
      <w:r>
        <w:t>Si bien ha</w:t>
      </w:r>
      <w:r w:rsidRPr="002B5395">
        <w:t xml:space="preserve"> existido </w:t>
      </w:r>
      <w:r>
        <w:t>e</w:t>
      </w:r>
      <w:r w:rsidRPr="002B5395">
        <w:t>sta</w:t>
      </w:r>
      <w:r>
        <w:t xml:space="preserve"> </w:t>
      </w:r>
      <w:r w:rsidRPr="002B5395">
        <w:t>limitaci</w:t>
      </w:r>
      <w:r>
        <w:t>ón</w:t>
      </w:r>
      <w:r w:rsidRPr="002B5395">
        <w:t xml:space="preserve"> al alcance por falta de información, cons</w:t>
      </w:r>
      <w:r w:rsidRPr="002B5395">
        <w:t>i</w:t>
      </w:r>
      <w:r w:rsidRPr="002B5395">
        <w:t>deramos que las conclusiones alcanzadas en nuestro trabajo, en caso de haber dispuesto de esos datos, no habrían variado significativamente.</w:t>
      </w:r>
    </w:p>
    <w:p w:rsidR="00EC4F97" w:rsidRDefault="00EC4F97" w:rsidP="00EC4F97">
      <w:pPr>
        <w:spacing w:after="0"/>
        <w:ind w:firstLine="0"/>
        <w:jc w:val="left"/>
        <w:rPr>
          <w:rFonts w:cs="Arial"/>
          <w:spacing w:val="6"/>
          <w:sz w:val="26"/>
          <w:szCs w:val="24"/>
        </w:rPr>
      </w:pPr>
      <w:r>
        <w:br w:type="page"/>
      </w:r>
      <w:bookmarkEnd w:id="39"/>
      <w:bookmarkEnd w:id="40"/>
      <w:bookmarkEnd w:id="41"/>
      <w:bookmarkEnd w:id="42"/>
      <w:bookmarkEnd w:id="43"/>
    </w:p>
    <w:p w:rsidR="00EC4F97" w:rsidRPr="007E3BFE" w:rsidRDefault="00EC4F97" w:rsidP="00EC4F97">
      <w:pPr>
        <w:pStyle w:val="atitulo1"/>
      </w:pPr>
      <w:bookmarkStart w:id="44" w:name="_Toc399916263"/>
      <w:bookmarkStart w:id="45" w:name="_Toc465686686"/>
      <w:bookmarkStart w:id="46" w:name="_Toc529773880"/>
      <w:bookmarkStart w:id="47" w:name="_Toc24100141"/>
      <w:bookmarkStart w:id="48" w:name="_Toc24451739"/>
      <w:bookmarkEnd w:id="28"/>
      <w:bookmarkEnd w:id="29"/>
      <w:bookmarkEnd w:id="30"/>
      <w:r w:rsidRPr="007E3BFE">
        <w:t>IV. Memoria-resumen de las actuaciones de fiscalización de entes locales</w:t>
      </w:r>
      <w:bookmarkEnd w:id="44"/>
      <w:bookmarkEnd w:id="45"/>
      <w:bookmarkEnd w:id="46"/>
      <w:bookmarkEnd w:id="47"/>
      <w:bookmarkEnd w:id="48"/>
    </w:p>
    <w:p w:rsidR="00EC4F97" w:rsidRPr="007E3BFE" w:rsidRDefault="00EC4F97" w:rsidP="00EC4F97">
      <w:pPr>
        <w:pStyle w:val="texto"/>
        <w:rPr>
          <w:lang w:val="es-ES"/>
        </w:rPr>
      </w:pPr>
      <w:r>
        <w:t>La Cámara de Comptos</w:t>
      </w:r>
      <w:r w:rsidRPr="007E3BFE">
        <w:t xml:space="preserve"> realizó la fiscalización de regularidad (financiera y de legalidad) de la cuenta general del año 201</w:t>
      </w:r>
      <w:r>
        <w:t>7</w:t>
      </w:r>
      <w:r w:rsidRPr="007E3BFE">
        <w:t xml:space="preserve"> de </w:t>
      </w:r>
      <w:r>
        <w:t>los siguientes tres ayunt</w:t>
      </w:r>
      <w:r>
        <w:t>a</w:t>
      </w:r>
      <w:r>
        <w:t>mientos</w:t>
      </w:r>
      <w:r w:rsidRPr="007E3BFE">
        <w:t xml:space="preserve">: </w:t>
      </w:r>
      <w:r>
        <w:t>Pamplona, Barañáin y Fitero.</w:t>
      </w:r>
    </w:p>
    <w:p w:rsidR="00EC4F97" w:rsidRDefault="00EC4F97" w:rsidP="00EC4F97">
      <w:pPr>
        <w:pStyle w:val="texto"/>
        <w:spacing w:after="240"/>
      </w:pPr>
      <w:r w:rsidRPr="007E3BFE">
        <w:t xml:space="preserve">A continuación se muestran algunos datos de </w:t>
      </w:r>
      <w:r>
        <w:t>estos</w:t>
      </w:r>
      <w:r w:rsidRPr="007E3BFE">
        <w:t xml:space="preserve"> entes locales:</w:t>
      </w:r>
    </w:p>
    <w:tbl>
      <w:tblPr>
        <w:tblW w:w="8789" w:type="dxa"/>
        <w:tblInd w:w="70" w:type="dxa"/>
        <w:tblCellMar>
          <w:left w:w="70" w:type="dxa"/>
          <w:right w:w="70" w:type="dxa"/>
        </w:tblCellMar>
        <w:tblLook w:val="00A0" w:firstRow="1" w:lastRow="0" w:firstColumn="1" w:lastColumn="0" w:noHBand="0" w:noVBand="0"/>
      </w:tblPr>
      <w:tblGrid>
        <w:gridCol w:w="851"/>
        <w:gridCol w:w="879"/>
        <w:gridCol w:w="964"/>
        <w:gridCol w:w="1134"/>
        <w:gridCol w:w="1003"/>
        <w:gridCol w:w="981"/>
        <w:gridCol w:w="603"/>
        <w:gridCol w:w="911"/>
        <w:gridCol w:w="719"/>
        <w:gridCol w:w="744"/>
      </w:tblGrid>
      <w:tr w:rsidR="00EC4F97" w:rsidRPr="004E5CA0" w:rsidTr="00422AD9">
        <w:trPr>
          <w:trHeight w:val="311"/>
        </w:trPr>
        <w:tc>
          <w:tcPr>
            <w:tcW w:w="851" w:type="dxa"/>
            <w:vMerge w:val="restart"/>
            <w:tcBorders>
              <w:top w:val="single" w:sz="4" w:space="0" w:color="auto"/>
              <w:left w:val="nil"/>
              <w:bottom w:val="single" w:sz="4" w:space="0" w:color="auto"/>
            </w:tcBorders>
            <w:shd w:val="clear" w:color="auto" w:fill="FBD4B4" w:themeFill="accent6" w:themeFillTint="66"/>
            <w:vAlign w:val="center"/>
          </w:tcPr>
          <w:p w:rsidR="00EC4F97" w:rsidRPr="004E5CA0" w:rsidRDefault="00EC4F97" w:rsidP="00422AD9">
            <w:pPr>
              <w:spacing w:after="0"/>
              <w:ind w:firstLine="0"/>
              <w:jc w:val="center"/>
              <w:rPr>
                <w:rFonts w:ascii="Arial" w:hAnsi="Arial" w:cs="Arial"/>
                <w:color w:val="000000"/>
                <w:sz w:val="16"/>
                <w:szCs w:val="16"/>
                <w:lang w:val="es-ES" w:eastAsia="es-ES"/>
              </w:rPr>
            </w:pPr>
            <w:r w:rsidRPr="004E5CA0">
              <w:rPr>
                <w:rFonts w:ascii="Arial" w:hAnsi="Arial" w:cs="Arial"/>
                <w:color w:val="000000"/>
                <w:sz w:val="16"/>
                <w:szCs w:val="16"/>
                <w:lang w:val="es-ES" w:eastAsia="es-ES"/>
              </w:rPr>
              <w:t>Entidad local</w:t>
            </w:r>
          </w:p>
        </w:tc>
        <w:tc>
          <w:tcPr>
            <w:tcW w:w="879" w:type="dxa"/>
            <w:vMerge w:val="restart"/>
            <w:tcBorders>
              <w:top w:val="single" w:sz="4" w:space="0" w:color="auto"/>
              <w:bottom w:val="single" w:sz="4" w:space="0" w:color="auto"/>
            </w:tcBorders>
            <w:shd w:val="clear" w:color="auto" w:fill="FBD4B4" w:themeFill="accent6" w:themeFillTint="66"/>
            <w:vAlign w:val="center"/>
          </w:tcPr>
          <w:p w:rsidR="00EC4F97" w:rsidRPr="004E5CA0" w:rsidRDefault="00EC4F97" w:rsidP="00422AD9">
            <w:pPr>
              <w:spacing w:after="0"/>
              <w:ind w:firstLine="0"/>
              <w:jc w:val="right"/>
              <w:rPr>
                <w:rFonts w:ascii="Arial" w:hAnsi="Arial" w:cs="Arial"/>
                <w:color w:val="000000"/>
                <w:sz w:val="16"/>
                <w:szCs w:val="16"/>
                <w:lang w:val="es-ES" w:eastAsia="es-ES"/>
              </w:rPr>
            </w:pPr>
            <w:r w:rsidRPr="004E5CA0">
              <w:rPr>
                <w:rFonts w:ascii="Arial" w:hAnsi="Arial" w:cs="Arial"/>
                <w:color w:val="000000"/>
                <w:sz w:val="16"/>
                <w:szCs w:val="16"/>
                <w:lang w:val="es-ES" w:eastAsia="es-ES"/>
              </w:rPr>
              <w:t>Fecha</w:t>
            </w:r>
            <w:r>
              <w:rPr>
                <w:rFonts w:ascii="Arial" w:hAnsi="Arial" w:cs="Arial"/>
                <w:color w:val="000000"/>
                <w:sz w:val="16"/>
                <w:szCs w:val="16"/>
                <w:lang w:val="es-ES" w:eastAsia="es-ES"/>
              </w:rPr>
              <w:t xml:space="preserve"> </w:t>
            </w:r>
            <w:r w:rsidRPr="004E5CA0">
              <w:rPr>
                <w:rFonts w:ascii="Arial" w:hAnsi="Arial" w:cs="Arial"/>
                <w:color w:val="000000"/>
                <w:sz w:val="16"/>
                <w:szCs w:val="16"/>
                <w:lang w:val="es-ES" w:eastAsia="es-ES"/>
              </w:rPr>
              <w:t xml:space="preserve">emisión </w:t>
            </w:r>
            <w:r>
              <w:rPr>
                <w:rFonts w:ascii="Arial" w:hAnsi="Arial" w:cs="Arial"/>
                <w:color w:val="000000"/>
                <w:sz w:val="16"/>
                <w:szCs w:val="16"/>
                <w:lang w:val="es-ES" w:eastAsia="es-ES"/>
              </w:rPr>
              <w:t xml:space="preserve"> </w:t>
            </w:r>
            <w:r w:rsidRPr="004E5CA0">
              <w:rPr>
                <w:rFonts w:ascii="Arial" w:hAnsi="Arial" w:cs="Arial"/>
                <w:color w:val="000000"/>
                <w:sz w:val="16"/>
                <w:szCs w:val="16"/>
                <w:lang w:val="es-ES" w:eastAsia="es-ES"/>
              </w:rPr>
              <w:t>informe</w:t>
            </w:r>
          </w:p>
        </w:tc>
        <w:tc>
          <w:tcPr>
            <w:tcW w:w="964" w:type="dxa"/>
            <w:vMerge w:val="restart"/>
            <w:tcBorders>
              <w:top w:val="single" w:sz="4" w:space="0" w:color="auto"/>
              <w:bottom w:val="single" w:sz="4" w:space="0" w:color="auto"/>
            </w:tcBorders>
            <w:shd w:val="clear" w:color="auto" w:fill="FBD4B4" w:themeFill="accent6" w:themeFillTint="66"/>
            <w:vAlign w:val="center"/>
          </w:tcPr>
          <w:p w:rsidR="00EC4F97" w:rsidRPr="004E5CA0" w:rsidRDefault="00EC4F97" w:rsidP="00422AD9">
            <w:pPr>
              <w:spacing w:after="0"/>
              <w:ind w:firstLine="0"/>
              <w:jc w:val="right"/>
              <w:rPr>
                <w:rFonts w:ascii="Arial" w:hAnsi="Arial" w:cs="Arial"/>
                <w:color w:val="000000"/>
                <w:sz w:val="16"/>
                <w:szCs w:val="16"/>
                <w:lang w:val="es-ES" w:eastAsia="es-ES"/>
              </w:rPr>
            </w:pPr>
            <w:r w:rsidRPr="004E5CA0">
              <w:rPr>
                <w:rFonts w:ascii="Arial" w:hAnsi="Arial" w:cs="Arial"/>
                <w:color w:val="000000"/>
                <w:sz w:val="16"/>
                <w:szCs w:val="16"/>
                <w:lang w:val="es-ES" w:eastAsia="es-ES"/>
              </w:rPr>
              <w:t>Población censo 01/01/201</w:t>
            </w:r>
            <w:r>
              <w:rPr>
                <w:rFonts w:ascii="Arial" w:hAnsi="Arial" w:cs="Arial"/>
                <w:color w:val="000000"/>
                <w:sz w:val="16"/>
                <w:szCs w:val="16"/>
                <w:lang w:val="es-ES" w:eastAsia="es-ES"/>
              </w:rPr>
              <w:t>7</w:t>
            </w:r>
          </w:p>
        </w:tc>
        <w:tc>
          <w:tcPr>
            <w:tcW w:w="1134" w:type="dxa"/>
            <w:vMerge w:val="restart"/>
            <w:tcBorders>
              <w:top w:val="single" w:sz="4" w:space="0" w:color="auto"/>
              <w:bottom w:val="single" w:sz="4" w:space="0" w:color="auto"/>
            </w:tcBorders>
            <w:shd w:val="clear" w:color="auto" w:fill="FBD4B4" w:themeFill="accent6" w:themeFillTint="66"/>
            <w:vAlign w:val="center"/>
          </w:tcPr>
          <w:p w:rsidR="00EC4F97" w:rsidRPr="004E5CA0" w:rsidRDefault="00EC4F97" w:rsidP="00422AD9">
            <w:pPr>
              <w:spacing w:after="0"/>
              <w:ind w:firstLine="0"/>
              <w:jc w:val="right"/>
              <w:rPr>
                <w:rFonts w:ascii="Arial" w:hAnsi="Arial" w:cs="Arial"/>
                <w:color w:val="000000"/>
                <w:sz w:val="16"/>
                <w:szCs w:val="16"/>
                <w:lang w:val="es-ES" w:eastAsia="es-ES"/>
              </w:rPr>
            </w:pPr>
            <w:r w:rsidRPr="004E5CA0">
              <w:rPr>
                <w:rFonts w:ascii="Arial" w:hAnsi="Arial" w:cs="Arial"/>
                <w:color w:val="000000"/>
                <w:sz w:val="16"/>
                <w:szCs w:val="16"/>
                <w:lang w:val="es-ES" w:eastAsia="es-ES"/>
              </w:rPr>
              <w:t>Obligaciones reconocidas</w:t>
            </w:r>
          </w:p>
        </w:tc>
        <w:tc>
          <w:tcPr>
            <w:tcW w:w="1003" w:type="dxa"/>
            <w:vMerge w:val="restart"/>
            <w:tcBorders>
              <w:top w:val="single" w:sz="4" w:space="0" w:color="auto"/>
              <w:bottom w:val="single" w:sz="4" w:space="0" w:color="auto"/>
            </w:tcBorders>
            <w:shd w:val="clear" w:color="auto" w:fill="FBD4B4" w:themeFill="accent6" w:themeFillTint="66"/>
            <w:vAlign w:val="center"/>
          </w:tcPr>
          <w:p w:rsidR="00EC4F97" w:rsidRPr="004E5CA0" w:rsidRDefault="00EC4F97" w:rsidP="00422AD9">
            <w:pPr>
              <w:spacing w:after="0"/>
              <w:ind w:firstLine="0"/>
              <w:jc w:val="right"/>
              <w:rPr>
                <w:rFonts w:ascii="Arial" w:hAnsi="Arial" w:cs="Arial"/>
                <w:color w:val="000000"/>
                <w:sz w:val="16"/>
                <w:szCs w:val="16"/>
                <w:lang w:val="es-ES" w:eastAsia="es-ES"/>
              </w:rPr>
            </w:pPr>
            <w:r w:rsidRPr="004E5CA0">
              <w:rPr>
                <w:rFonts w:ascii="Arial" w:hAnsi="Arial" w:cs="Arial"/>
                <w:color w:val="000000"/>
                <w:sz w:val="16"/>
                <w:szCs w:val="16"/>
                <w:lang w:val="es-ES" w:eastAsia="es-ES"/>
              </w:rPr>
              <w:t>Derechos reconocidos</w:t>
            </w:r>
          </w:p>
        </w:tc>
        <w:tc>
          <w:tcPr>
            <w:tcW w:w="981" w:type="dxa"/>
            <w:vMerge w:val="restart"/>
            <w:tcBorders>
              <w:top w:val="single" w:sz="4" w:space="0" w:color="auto"/>
              <w:bottom w:val="single" w:sz="4" w:space="0" w:color="auto"/>
            </w:tcBorders>
            <w:shd w:val="clear" w:color="auto" w:fill="FBD4B4" w:themeFill="accent6" w:themeFillTint="66"/>
            <w:vAlign w:val="center"/>
          </w:tcPr>
          <w:p w:rsidR="00EC4F97" w:rsidRPr="004E5CA0" w:rsidRDefault="00EC4F97" w:rsidP="00422AD9">
            <w:pPr>
              <w:spacing w:after="0"/>
              <w:ind w:left="-11" w:firstLine="11"/>
              <w:jc w:val="right"/>
              <w:rPr>
                <w:rFonts w:ascii="Arial" w:hAnsi="Arial" w:cs="Arial"/>
                <w:color w:val="000000"/>
                <w:sz w:val="16"/>
                <w:szCs w:val="16"/>
                <w:lang w:val="es-ES" w:eastAsia="es-ES"/>
              </w:rPr>
            </w:pPr>
            <w:r w:rsidRPr="004E5CA0">
              <w:rPr>
                <w:rFonts w:ascii="Arial" w:hAnsi="Arial" w:cs="Arial"/>
                <w:color w:val="000000"/>
                <w:sz w:val="16"/>
                <w:szCs w:val="16"/>
                <w:lang w:val="es-ES" w:eastAsia="es-ES"/>
              </w:rPr>
              <w:t>Personal a 31/12/201</w:t>
            </w:r>
            <w:r>
              <w:rPr>
                <w:rFonts w:ascii="Arial" w:hAnsi="Arial" w:cs="Arial"/>
                <w:color w:val="000000"/>
                <w:sz w:val="16"/>
                <w:szCs w:val="16"/>
                <w:lang w:val="es-ES" w:eastAsia="es-ES"/>
              </w:rPr>
              <w:t>7</w:t>
            </w:r>
          </w:p>
        </w:tc>
        <w:tc>
          <w:tcPr>
            <w:tcW w:w="2977" w:type="dxa"/>
            <w:gridSpan w:val="4"/>
            <w:tcBorders>
              <w:top w:val="single" w:sz="4" w:space="0" w:color="auto"/>
              <w:bottom w:val="single" w:sz="4" w:space="0" w:color="auto"/>
              <w:right w:val="nil"/>
            </w:tcBorders>
            <w:shd w:val="clear" w:color="auto" w:fill="FBD4B4" w:themeFill="accent6" w:themeFillTint="66"/>
            <w:vAlign w:val="center"/>
          </w:tcPr>
          <w:p w:rsidR="00EC4F97" w:rsidRPr="004E5CA0" w:rsidRDefault="00EC4F97" w:rsidP="00422AD9">
            <w:pPr>
              <w:spacing w:after="0"/>
              <w:ind w:firstLine="0"/>
              <w:jc w:val="center"/>
              <w:rPr>
                <w:rFonts w:ascii="Arial" w:hAnsi="Arial" w:cs="Arial"/>
                <w:color w:val="000000"/>
                <w:sz w:val="16"/>
                <w:szCs w:val="16"/>
                <w:lang w:val="es-ES" w:eastAsia="es-ES"/>
              </w:rPr>
            </w:pPr>
            <w:r w:rsidRPr="004E5CA0">
              <w:rPr>
                <w:rFonts w:ascii="Arial" w:hAnsi="Arial" w:cs="Arial"/>
                <w:color w:val="000000"/>
                <w:sz w:val="16"/>
                <w:szCs w:val="16"/>
                <w:lang w:val="es-ES" w:eastAsia="es-ES"/>
              </w:rPr>
              <w:t>Entes dependientes</w:t>
            </w:r>
          </w:p>
        </w:tc>
      </w:tr>
      <w:tr w:rsidR="00EC4F97" w:rsidRPr="004E5CA0" w:rsidTr="00422AD9">
        <w:trPr>
          <w:trHeight w:val="386"/>
        </w:trPr>
        <w:tc>
          <w:tcPr>
            <w:tcW w:w="851" w:type="dxa"/>
            <w:vMerge/>
            <w:tcBorders>
              <w:top w:val="single" w:sz="4" w:space="0" w:color="auto"/>
              <w:left w:val="nil"/>
              <w:bottom w:val="single" w:sz="4" w:space="0" w:color="auto"/>
            </w:tcBorders>
            <w:shd w:val="clear" w:color="auto" w:fill="FBD4B4" w:themeFill="accent6" w:themeFillTint="66"/>
            <w:vAlign w:val="center"/>
          </w:tcPr>
          <w:p w:rsidR="00EC4F97" w:rsidRPr="004E5CA0" w:rsidRDefault="00EC4F97" w:rsidP="00422AD9">
            <w:pPr>
              <w:spacing w:after="0"/>
              <w:ind w:firstLine="0"/>
              <w:jc w:val="left"/>
              <w:rPr>
                <w:rFonts w:ascii="Arial" w:hAnsi="Arial" w:cs="Arial"/>
                <w:color w:val="000000"/>
                <w:sz w:val="16"/>
                <w:szCs w:val="16"/>
                <w:lang w:val="es-ES" w:eastAsia="es-ES"/>
              </w:rPr>
            </w:pPr>
          </w:p>
        </w:tc>
        <w:tc>
          <w:tcPr>
            <w:tcW w:w="879" w:type="dxa"/>
            <w:vMerge/>
            <w:tcBorders>
              <w:top w:val="single" w:sz="4" w:space="0" w:color="auto"/>
              <w:bottom w:val="single" w:sz="4" w:space="0" w:color="auto"/>
            </w:tcBorders>
            <w:shd w:val="clear" w:color="auto" w:fill="FBD4B4" w:themeFill="accent6" w:themeFillTint="66"/>
            <w:vAlign w:val="center"/>
          </w:tcPr>
          <w:p w:rsidR="00EC4F97" w:rsidRPr="004E5CA0" w:rsidRDefault="00EC4F97" w:rsidP="00422AD9">
            <w:pPr>
              <w:spacing w:after="0"/>
              <w:ind w:firstLine="0"/>
              <w:jc w:val="left"/>
              <w:rPr>
                <w:rFonts w:ascii="Arial" w:hAnsi="Arial" w:cs="Arial"/>
                <w:color w:val="000000"/>
                <w:sz w:val="16"/>
                <w:szCs w:val="16"/>
                <w:lang w:val="es-ES" w:eastAsia="es-ES"/>
              </w:rPr>
            </w:pPr>
          </w:p>
        </w:tc>
        <w:tc>
          <w:tcPr>
            <w:tcW w:w="964" w:type="dxa"/>
            <w:vMerge/>
            <w:tcBorders>
              <w:top w:val="single" w:sz="4" w:space="0" w:color="auto"/>
              <w:bottom w:val="single" w:sz="4" w:space="0" w:color="auto"/>
            </w:tcBorders>
            <w:shd w:val="clear" w:color="auto" w:fill="FBD4B4" w:themeFill="accent6" w:themeFillTint="66"/>
            <w:vAlign w:val="center"/>
          </w:tcPr>
          <w:p w:rsidR="00EC4F97" w:rsidRPr="004E5CA0" w:rsidRDefault="00EC4F97" w:rsidP="00422AD9">
            <w:pPr>
              <w:spacing w:after="0"/>
              <w:ind w:firstLine="0"/>
              <w:jc w:val="left"/>
              <w:rPr>
                <w:rFonts w:ascii="Arial" w:hAnsi="Arial" w:cs="Arial"/>
                <w:color w:val="000000"/>
                <w:sz w:val="16"/>
                <w:szCs w:val="16"/>
                <w:lang w:val="es-ES" w:eastAsia="es-ES"/>
              </w:rPr>
            </w:pPr>
          </w:p>
        </w:tc>
        <w:tc>
          <w:tcPr>
            <w:tcW w:w="1134" w:type="dxa"/>
            <w:vMerge/>
            <w:tcBorders>
              <w:top w:val="single" w:sz="4" w:space="0" w:color="auto"/>
              <w:bottom w:val="single" w:sz="4" w:space="0" w:color="auto"/>
            </w:tcBorders>
            <w:shd w:val="clear" w:color="auto" w:fill="FBD4B4" w:themeFill="accent6" w:themeFillTint="66"/>
            <w:vAlign w:val="center"/>
          </w:tcPr>
          <w:p w:rsidR="00EC4F97" w:rsidRPr="004E5CA0" w:rsidRDefault="00EC4F97" w:rsidP="00422AD9">
            <w:pPr>
              <w:spacing w:after="0"/>
              <w:ind w:firstLine="0"/>
              <w:jc w:val="left"/>
              <w:rPr>
                <w:rFonts w:ascii="Arial" w:hAnsi="Arial" w:cs="Arial"/>
                <w:color w:val="000000"/>
                <w:sz w:val="16"/>
                <w:szCs w:val="16"/>
                <w:lang w:val="es-ES" w:eastAsia="es-ES"/>
              </w:rPr>
            </w:pPr>
          </w:p>
        </w:tc>
        <w:tc>
          <w:tcPr>
            <w:tcW w:w="1003" w:type="dxa"/>
            <w:vMerge/>
            <w:tcBorders>
              <w:top w:val="single" w:sz="4" w:space="0" w:color="auto"/>
              <w:bottom w:val="single" w:sz="4" w:space="0" w:color="auto"/>
            </w:tcBorders>
            <w:shd w:val="clear" w:color="auto" w:fill="FBD4B4" w:themeFill="accent6" w:themeFillTint="66"/>
            <w:vAlign w:val="center"/>
          </w:tcPr>
          <w:p w:rsidR="00EC4F97" w:rsidRPr="004E5CA0" w:rsidRDefault="00EC4F97" w:rsidP="00422AD9">
            <w:pPr>
              <w:spacing w:after="0"/>
              <w:ind w:firstLine="0"/>
              <w:jc w:val="left"/>
              <w:rPr>
                <w:rFonts w:ascii="Arial" w:hAnsi="Arial" w:cs="Arial"/>
                <w:color w:val="000000"/>
                <w:sz w:val="16"/>
                <w:szCs w:val="16"/>
                <w:lang w:val="es-ES" w:eastAsia="es-ES"/>
              </w:rPr>
            </w:pPr>
          </w:p>
        </w:tc>
        <w:tc>
          <w:tcPr>
            <w:tcW w:w="981" w:type="dxa"/>
            <w:vMerge/>
            <w:tcBorders>
              <w:top w:val="single" w:sz="4" w:space="0" w:color="auto"/>
              <w:bottom w:val="single" w:sz="4" w:space="0" w:color="auto"/>
            </w:tcBorders>
            <w:shd w:val="clear" w:color="auto" w:fill="FBD4B4" w:themeFill="accent6" w:themeFillTint="66"/>
            <w:vAlign w:val="center"/>
          </w:tcPr>
          <w:p w:rsidR="00EC4F97" w:rsidRPr="004E5CA0" w:rsidRDefault="00EC4F97" w:rsidP="00422AD9">
            <w:pPr>
              <w:spacing w:after="0"/>
              <w:ind w:firstLine="0"/>
              <w:jc w:val="left"/>
              <w:rPr>
                <w:rFonts w:ascii="Arial" w:hAnsi="Arial" w:cs="Arial"/>
                <w:color w:val="000000"/>
                <w:sz w:val="16"/>
                <w:szCs w:val="16"/>
                <w:lang w:val="es-ES" w:eastAsia="es-ES"/>
              </w:rPr>
            </w:pPr>
          </w:p>
        </w:tc>
        <w:tc>
          <w:tcPr>
            <w:tcW w:w="603" w:type="dxa"/>
            <w:tcBorders>
              <w:top w:val="single" w:sz="4" w:space="0" w:color="auto"/>
              <w:bottom w:val="single" w:sz="4" w:space="0" w:color="auto"/>
            </w:tcBorders>
            <w:shd w:val="clear" w:color="auto" w:fill="FBD4B4" w:themeFill="accent6" w:themeFillTint="66"/>
            <w:vAlign w:val="center"/>
          </w:tcPr>
          <w:p w:rsidR="00EC4F97" w:rsidRPr="004E5CA0" w:rsidRDefault="00EC4F97" w:rsidP="00422AD9">
            <w:pPr>
              <w:spacing w:after="0"/>
              <w:ind w:firstLine="0"/>
              <w:jc w:val="right"/>
              <w:rPr>
                <w:rFonts w:ascii="Arial" w:hAnsi="Arial" w:cs="Arial"/>
                <w:color w:val="000000"/>
                <w:sz w:val="16"/>
                <w:szCs w:val="16"/>
                <w:lang w:val="es-ES" w:eastAsia="es-ES"/>
              </w:rPr>
            </w:pPr>
            <w:r w:rsidRPr="004E5CA0">
              <w:rPr>
                <w:rFonts w:ascii="Arial" w:hAnsi="Arial" w:cs="Arial"/>
                <w:color w:val="000000"/>
                <w:sz w:val="16"/>
                <w:szCs w:val="16"/>
                <w:lang w:val="es-ES" w:eastAsia="es-ES"/>
              </w:rPr>
              <w:t>OOAA</w:t>
            </w:r>
          </w:p>
        </w:tc>
        <w:tc>
          <w:tcPr>
            <w:tcW w:w="911" w:type="dxa"/>
            <w:tcBorders>
              <w:top w:val="single" w:sz="4" w:space="0" w:color="auto"/>
              <w:bottom w:val="single" w:sz="4" w:space="0" w:color="auto"/>
            </w:tcBorders>
            <w:shd w:val="clear" w:color="auto" w:fill="FBD4B4" w:themeFill="accent6" w:themeFillTint="66"/>
            <w:vAlign w:val="center"/>
          </w:tcPr>
          <w:p w:rsidR="00EC4F97" w:rsidRPr="004E5CA0" w:rsidRDefault="00EC4F97" w:rsidP="00422AD9">
            <w:pPr>
              <w:spacing w:after="0"/>
              <w:ind w:firstLine="0"/>
              <w:jc w:val="right"/>
              <w:rPr>
                <w:rFonts w:ascii="Arial" w:hAnsi="Arial" w:cs="Arial"/>
                <w:color w:val="000000"/>
                <w:sz w:val="16"/>
                <w:szCs w:val="16"/>
                <w:lang w:val="es-ES" w:eastAsia="es-ES"/>
              </w:rPr>
            </w:pPr>
            <w:r w:rsidRPr="004E5CA0">
              <w:rPr>
                <w:rFonts w:ascii="Arial" w:hAnsi="Arial" w:cs="Arial"/>
                <w:color w:val="000000"/>
                <w:sz w:val="16"/>
                <w:szCs w:val="16"/>
                <w:lang w:val="es-ES" w:eastAsia="es-ES"/>
              </w:rPr>
              <w:t>Empresa</w:t>
            </w:r>
          </w:p>
        </w:tc>
        <w:tc>
          <w:tcPr>
            <w:tcW w:w="0" w:type="auto"/>
            <w:tcBorders>
              <w:top w:val="single" w:sz="4" w:space="0" w:color="auto"/>
              <w:bottom w:val="single" w:sz="4" w:space="0" w:color="auto"/>
            </w:tcBorders>
            <w:shd w:val="clear" w:color="auto" w:fill="FBD4B4" w:themeFill="accent6" w:themeFillTint="66"/>
            <w:vAlign w:val="center"/>
          </w:tcPr>
          <w:p w:rsidR="00EC4F97" w:rsidRPr="004E5CA0" w:rsidRDefault="00EC4F97" w:rsidP="00422AD9">
            <w:pPr>
              <w:spacing w:after="0"/>
              <w:ind w:firstLine="0"/>
              <w:jc w:val="right"/>
              <w:rPr>
                <w:rFonts w:ascii="Arial" w:hAnsi="Arial" w:cs="Arial"/>
                <w:color w:val="000000"/>
                <w:sz w:val="16"/>
                <w:szCs w:val="16"/>
                <w:lang w:val="es-ES" w:eastAsia="es-ES"/>
              </w:rPr>
            </w:pPr>
            <w:r w:rsidRPr="004E5CA0">
              <w:rPr>
                <w:rFonts w:ascii="Arial" w:hAnsi="Arial" w:cs="Arial"/>
                <w:color w:val="000000"/>
                <w:sz w:val="16"/>
                <w:szCs w:val="16"/>
                <w:lang w:val="es-ES" w:eastAsia="es-ES"/>
              </w:rPr>
              <w:t>Fundac.</w:t>
            </w:r>
          </w:p>
        </w:tc>
        <w:tc>
          <w:tcPr>
            <w:tcW w:w="744" w:type="dxa"/>
            <w:tcBorders>
              <w:top w:val="single" w:sz="4" w:space="0" w:color="auto"/>
              <w:bottom w:val="single" w:sz="4" w:space="0" w:color="auto"/>
              <w:right w:val="nil"/>
            </w:tcBorders>
            <w:shd w:val="clear" w:color="auto" w:fill="FBD4B4" w:themeFill="accent6" w:themeFillTint="66"/>
            <w:vAlign w:val="center"/>
          </w:tcPr>
          <w:p w:rsidR="00EC4F97" w:rsidRPr="004E5CA0" w:rsidRDefault="00EC4F97" w:rsidP="00422AD9">
            <w:pPr>
              <w:spacing w:after="0"/>
              <w:ind w:left="-160" w:right="-70"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 xml:space="preserve"> Ente públ</w:t>
            </w:r>
            <w:r w:rsidRPr="004E5CA0">
              <w:rPr>
                <w:rFonts w:ascii="Arial" w:hAnsi="Arial" w:cs="Arial"/>
                <w:color w:val="000000"/>
                <w:sz w:val="16"/>
                <w:szCs w:val="16"/>
                <w:lang w:val="es-ES" w:eastAsia="es-ES"/>
              </w:rPr>
              <w:t>. Empres</w:t>
            </w:r>
          </w:p>
        </w:tc>
      </w:tr>
      <w:tr w:rsidR="00EC4F97" w:rsidRPr="005618C1" w:rsidTr="00422AD9">
        <w:trPr>
          <w:trHeight w:val="262"/>
        </w:trPr>
        <w:tc>
          <w:tcPr>
            <w:tcW w:w="851" w:type="dxa"/>
            <w:tcBorders>
              <w:top w:val="single" w:sz="4" w:space="0" w:color="auto"/>
              <w:left w:val="nil"/>
              <w:bottom w:val="single" w:sz="2" w:space="0" w:color="auto"/>
            </w:tcBorders>
            <w:noWrap/>
            <w:vAlign w:val="center"/>
          </w:tcPr>
          <w:p w:rsidR="00EC4F97" w:rsidRPr="004E5CA0" w:rsidRDefault="00EC4F97" w:rsidP="00422AD9">
            <w:pPr>
              <w:spacing w:after="0"/>
              <w:ind w:firstLine="0"/>
              <w:jc w:val="left"/>
              <w:rPr>
                <w:rFonts w:ascii="Arial Narrow" w:hAnsi="Arial Narrow"/>
                <w:color w:val="000000"/>
                <w:sz w:val="18"/>
                <w:szCs w:val="18"/>
                <w:lang w:val="es-ES" w:eastAsia="es-ES"/>
              </w:rPr>
            </w:pPr>
            <w:r w:rsidRPr="004E5CA0">
              <w:rPr>
                <w:rFonts w:ascii="Arial Narrow" w:hAnsi="Arial Narrow"/>
                <w:color w:val="000000"/>
                <w:sz w:val="18"/>
                <w:szCs w:val="18"/>
                <w:lang w:val="es-ES" w:eastAsia="es-ES"/>
              </w:rPr>
              <w:t>Pamplona</w:t>
            </w:r>
          </w:p>
        </w:tc>
        <w:tc>
          <w:tcPr>
            <w:tcW w:w="879" w:type="dxa"/>
            <w:tcBorders>
              <w:top w:val="single" w:sz="4" w:space="0" w:color="auto"/>
              <w:bottom w:val="single" w:sz="2" w:space="0" w:color="auto"/>
            </w:tcBorders>
            <w:noWrap/>
            <w:vAlign w:val="center"/>
          </w:tcPr>
          <w:p w:rsidR="00EC4F97" w:rsidRPr="004E5CA0" w:rsidRDefault="00EC4F97" w:rsidP="00422AD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14/12/2018</w:t>
            </w:r>
          </w:p>
        </w:tc>
        <w:tc>
          <w:tcPr>
            <w:tcW w:w="964" w:type="dxa"/>
            <w:tcBorders>
              <w:top w:val="single" w:sz="4" w:space="0" w:color="auto"/>
              <w:bottom w:val="single" w:sz="2" w:space="0" w:color="auto"/>
            </w:tcBorders>
            <w:noWrap/>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197.138</w:t>
            </w:r>
          </w:p>
        </w:tc>
        <w:tc>
          <w:tcPr>
            <w:tcW w:w="1134" w:type="dxa"/>
            <w:tcBorders>
              <w:top w:val="single" w:sz="4" w:space="0" w:color="auto"/>
              <w:bottom w:val="single" w:sz="2" w:space="0" w:color="auto"/>
            </w:tcBorders>
            <w:noWrap/>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199.620.015</w:t>
            </w:r>
          </w:p>
        </w:tc>
        <w:tc>
          <w:tcPr>
            <w:tcW w:w="1003" w:type="dxa"/>
            <w:tcBorders>
              <w:top w:val="single" w:sz="4" w:space="0" w:color="auto"/>
              <w:bottom w:val="single" w:sz="2" w:space="0" w:color="auto"/>
            </w:tcBorders>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198.960.850</w:t>
            </w:r>
          </w:p>
        </w:tc>
        <w:tc>
          <w:tcPr>
            <w:tcW w:w="981" w:type="dxa"/>
            <w:tcBorders>
              <w:top w:val="single" w:sz="4" w:space="0" w:color="auto"/>
              <w:bottom w:val="single" w:sz="2" w:space="0" w:color="auto"/>
            </w:tcBorders>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1</w:t>
            </w:r>
            <w:r w:rsidR="00D00EF2">
              <w:rPr>
                <w:rFonts w:ascii="Arial Narrow" w:hAnsi="Arial Narrow"/>
                <w:color w:val="000000"/>
                <w:sz w:val="18"/>
                <w:szCs w:val="18"/>
                <w:lang w:val="es-ES" w:eastAsia="es-ES"/>
              </w:rPr>
              <w:t>.</w:t>
            </w:r>
            <w:r w:rsidRPr="005618C1">
              <w:rPr>
                <w:rFonts w:ascii="Arial Narrow" w:hAnsi="Arial Narrow"/>
                <w:color w:val="000000"/>
                <w:sz w:val="18"/>
                <w:szCs w:val="18"/>
                <w:lang w:val="es-ES" w:eastAsia="es-ES"/>
              </w:rPr>
              <w:t>881</w:t>
            </w:r>
          </w:p>
        </w:tc>
        <w:tc>
          <w:tcPr>
            <w:tcW w:w="603" w:type="dxa"/>
            <w:tcBorders>
              <w:top w:val="single" w:sz="4" w:space="0" w:color="auto"/>
              <w:bottom w:val="single" w:sz="2" w:space="0" w:color="auto"/>
            </w:tcBorders>
            <w:vAlign w:val="center"/>
          </w:tcPr>
          <w:p w:rsidR="00EC4F97" w:rsidRPr="004E5CA0" w:rsidRDefault="00EC4F97" w:rsidP="00422AD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2</w:t>
            </w:r>
          </w:p>
        </w:tc>
        <w:tc>
          <w:tcPr>
            <w:tcW w:w="911" w:type="dxa"/>
            <w:tcBorders>
              <w:top w:val="single" w:sz="4" w:space="0" w:color="auto"/>
              <w:bottom w:val="single" w:sz="2" w:space="0" w:color="auto"/>
            </w:tcBorders>
            <w:vAlign w:val="center"/>
          </w:tcPr>
          <w:p w:rsidR="00EC4F97" w:rsidRPr="004E5CA0" w:rsidRDefault="00EC4F97" w:rsidP="00422AD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5</w:t>
            </w:r>
          </w:p>
        </w:tc>
        <w:tc>
          <w:tcPr>
            <w:tcW w:w="0" w:type="auto"/>
            <w:tcBorders>
              <w:top w:val="single" w:sz="4" w:space="0" w:color="auto"/>
              <w:bottom w:val="single" w:sz="2" w:space="0" w:color="auto"/>
            </w:tcBorders>
            <w:vAlign w:val="center"/>
          </w:tcPr>
          <w:p w:rsidR="00EC4F97" w:rsidRPr="004E5CA0" w:rsidRDefault="00EC4F97" w:rsidP="00422AD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1</w:t>
            </w:r>
          </w:p>
        </w:tc>
        <w:tc>
          <w:tcPr>
            <w:tcW w:w="744" w:type="dxa"/>
            <w:tcBorders>
              <w:top w:val="single" w:sz="4" w:space="0" w:color="auto"/>
              <w:bottom w:val="single" w:sz="2" w:space="0" w:color="auto"/>
              <w:right w:val="nil"/>
            </w:tcBorders>
            <w:vAlign w:val="center"/>
          </w:tcPr>
          <w:p w:rsidR="00EC4F97" w:rsidRPr="004E5CA0" w:rsidRDefault="00EC4F97" w:rsidP="00422AD9">
            <w:pPr>
              <w:spacing w:after="0"/>
              <w:ind w:firstLine="0"/>
              <w:jc w:val="right"/>
              <w:rPr>
                <w:rFonts w:ascii="Arial Narrow" w:hAnsi="Arial Narrow"/>
                <w:color w:val="000000"/>
                <w:sz w:val="18"/>
                <w:szCs w:val="18"/>
                <w:lang w:val="es-ES" w:eastAsia="es-ES"/>
              </w:rPr>
            </w:pPr>
          </w:p>
        </w:tc>
      </w:tr>
      <w:tr w:rsidR="00EC4F97" w:rsidRPr="005618C1" w:rsidTr="00422AD9">
        <w:trPr>
          <w:trHeight w:val="262"/>
        </w:trPr>
        <w:tc>
          <w:tcPr>
            <w:tcW w:w="851" w:type="dxa"/>
            <w:tcBorders>
              <w:top w:val="single" w:sz="2" w:space="0" w:color="auto"/>
              <w:left w:val="nil"/>
              <w:bottom w:val="single" w:sz="2" w:space="0" w:color="auto"/>
            </w:tcBorders>
            <w:noWrap/>
            <w:vAlign w:val="center"/>
          </w:tcPr>
          <w:p w:rsidR="00EC4F97" w:rsidRPr="004E5CA0" w:rsidRDefault="00EC4F97" w:rsidP="00422AD9">
            <w:pPr>
              <w:spacing w:after="0"/>
              <w:ind w:firstLine="0"/>
              <w:jc w:val="left"/>
              <w:rPr>
                <w:rFonts w:ascii="Arial Narrow" w:hAnsi="Arial Narrow"/>
                <w:color w:val="000000"/>
                <w:sz w:val="18"/>
                <w:szCs w:val="18"/>
                <w:lang w:val="es-ES" w:eastAsia="es-ES"/>
              </w:rPr>
            </w:pPr>
            <w:r>
              <w:rPr>
                <w:rFonts w:ascii="Arial Narrow" w:hAnsi="Arial Narrow"/>
                <w:color w:val="000000"/>
                <w:sz w:val="18"/>
                <w:szCs w:val="18"/>
                <w:lang w:val="es-ES" w:eastAsia="es-ES"/>
              </w:rPr>
              <w:t>Barañáin</w:t>
            </w:r>
          </w:p>
        </w:tc>
        <w:tc>
          <w:tcPr>
            <w:tcW w:w="879" w:type="dxa"/>
            <w:tcBorders>
              <w:top w:val="single" w:sz="2" w:space="0" w:color="auto"/>
              <w:bottom w:val="single" w:sz="2" w:space="0" w:color="auto"/>
            </w:tcBorders>
            <w:noWrap/>
            <w:vAlign w:val="center"/>
          </w:tcPr>
          <w:p w:rsidR="00EC4F97" w:rsidRPr="004E5CA0" w:rsidRDefault="00EC4F97" w:rsidP="00422AD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11/04/2019</w:t>
            </w:r>
          </w:p>
        </w:tc>
        <w:tc>
          <w:tcPr>
            <w:tcW w:w="964" w:type="dxa"/>
            <w:tcBorders>
              <w:top w:val="single" w:sz="2" w:space="0" w:color="auto"/>
              <w:bottom w:val="single" w:sz="2" w:space="0" w:color="auto"/>
            </w:tcBorders>
            <w:noWrap/>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20.124</w:t>
            </w:r>
          </w:p>
        </w:tc>
        <w:tc>
          <w:tcPr>
            <w:tcW w:w="1134" w:type="dxa"/>
            <w:tcBorders>
              <w:top w:val="single" w:sz="2" w:space="0" w:color="auto"/>
              <w:bottom w:val="single" w:sz="2" w:space="0" w:color="auto"/>
            </w:tcBorders>
            <w:noWrap/>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14.664.154</w:t>
            </w:r>
          </w:p>
        </w:tc>
        <w:tc>
          <w:tcPr>
            <w:tcW w:w="1003" w:type="dxa"/>
            <w:tcBorders>
              <w:top w:val="single" w:sz="2" w:space="0" w:color="auto"/>
              <w:bottom w:val="single" w:sz="2" w:space="0" w:color="auto"/>
            </w:tcBorders>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15.191.938</w:t>
            </w:r>
          </w:p>
        </w:tc>
        <w:tc>
          <w:tcPr>
            <w:tcW w:w="981" w:type="dxa"/>
            <w:tcBorders>
              <w:top w:val="single" w:sz="2" w:space="0" w:color="auto"/>
              <w:bottom w:val="single" w:sz="2" w:space="0" w:color="auto"/>
            </w:tcBorders>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162</w:t>
            </w:r>
          </w:p>
        </w:tc>
        <w:tc>
          <w:tcPr>
            <w:tcW w:w="603" w:type="dxa"/>
            <w:tcBorders>
              <w:top w:val="single" w:sz="2" w:space="0" w:color="auto"/>
              <w:bottom w:val="single" w:sz="2" w:space="0" w:color="auto"/>
            </w:tcBorders>
            <w:vAlign w:val="center"/>
          </w:tcPr>
          <w:p w:rsidR="00EC4F97" w:rsidRPr="004E5CA0" w:rsidRDefault="00EC4F97" w:rsidP="00422AD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2</w:t>
            </w:r>
          </w:p>
        </w:tc>
        <w:tc>
          <w:tcPr>
            <w:tcW w:w="911" w:type="dxa"/>
            <w:tcBorders>
              <w:top w:val="single" w:sz="2" w:space="0" w:color="auto"/>
              <w:bottom w:val="single" w:sz="2" w:space="0" w:color="auto"/>
            </w:tcBorders>
            <w:vAlign w:val="center"/>
          </w:tcPr>
          <w:p w:rsidR="00EC4F97" w:rsidRPr="004E5CA0" w:rsidRDefault="00EC4F97" w:rsidP="00422AD9">
            <w:pPr>
              <w:spacing w:after="0"/>
              <w:ind w:firstLine="0"/>
              <w:jc w:val="right"/>
              <w:rPr>
                <w:rFonts w:ascii="Arial Narrow" w:hAnsi="Arial Narrow"/>
                <w:color w:val="000000"/>
                <w:sz w:val="18"/>
                <w:szCs w:val="18"/>
                <w:lang w:val="es-ES" w:eastAsia="es-ES"/>
              </w:rPr>
            </w:pPr>
          </w:p>
        </w:tc>
        <w:tc>
          <w:tcPr>
            <w:tcW w:w="0" w:type="auto"/>
            <w:tcBorders>
              <w:top w:val="single" w:sz="2" w:space="0" w:color="auto"/>
              <w:bottom w:val="single" w:sz="2" w:space="0" w:color="auto"/>
            </w:tcBorders>
            <w:vAlign w:val="center"/>
          </w:tcPr>
          <w:p w:rsidR="00EC4F97" w:rsidRPr="004E5CA0" w:rsidRDefault="00EC4F97" w:rsidP="00422AD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1</w:t>
            </w:r>
          </w:p>
        </w:tc>
        <w:tc>
          <w:tcPr>
            <w:tcW w:w="744" w:type="dxa"/>
            <w:tcBorders>
              <w:top w:val="single" w:sz="2" w:space="0" w:color="auto"/>
              <w:bottom w:val="single" w:sz="2" w:space="0" w:color="auto"/>
              <w:right w:val="nil"/>
            </w:tcBorders>
            <w:vAlign w:val="center"/>
          </w:tcPr>
          <w:p w:rsidR="00EC4F97" w:rsidRPr="004E5CA0" w:rsidRDefault="00EC4F97" w:rsidP="00422AD9">
            <w:pPr>
              <w:spacing w:after="0"/>
              <w:ind w:firstLine="0"/>
              <w:jc w:val="right"/>
              <w:rPr>
                <w:rFonts w:ascii="Arial Narrow" w:hAnsi="Arial Narrow"/>
                <w:color w:val="000000"/>
                <w:sz w:val="18"/>
                <w:szCs w:val="18"/>
                <w:lang w:val="es-ES" w:eastAsia="es-ES"/>
              </w:rPr>
            </w:pPr>
          </w:p>
        </w:tc>
      </w:tr>
      <w:tr w:rsidR="00EC4F97" w:rsidRPr="005618C1" w:rsidTr="00422AD9">
        <w:trPr>
          <w:trHeight w:val="262"/>
        </w:trPr>
        <w:tc>
          <w:tcPr>
            <w:tcW w:w="851" w:type="dxa"/>
            <w:tcBorders>
              <w:top w:val="single" w:sz="2" w:space="0" w:color="auto"/>
              <w:left w:val="nil"/>
              <w:bottom w:val="single" w:sz="4" w:space="0" w:color="auto"/>
            </w:tcBorders>
            <w:noWrap/>
            <w:vAlign w:val="center"/>
          </w:tcPr>
          <w:p w:rsidR="00EC4F97" w:rsidRPr="004E5CA0" w:rsidRDefault="00EC4F97" w:rsidP="00422AD9">
            <w:pPr>
              <w:spacing w:after="0"/>
              <w:ind w:firstLine="0"/>
              <w:jc w:val="left"/>
              <w:rPr>
                <w:rFonts w:ascii="Arial Narrow" w:hAnsi="Arial Narrow"/>
                <w:color w:val="000000"/>
                <w:sz w:val="18"/>
                <w:szCs w:val="18"/>
                <w:lang w:val="es-ES" w:eastAsia="es-ES"/>
              </w:rPr>
            </w:pPr>
            <w:r>
              <w:rPr>
                <w:rFonts w:ascii="Arial Narrow" w:hAnsi="Arial Narrow"/>
                <w:color w:val="000000"/>
                <w:sz w:val="18"/>
                <w:szCs w:val="18"/>
                <w:lang w:val="es-ES" w:eastAsia="es-ES"/>
              </w:rPr>
              <w:t>Fitero</w:t>
            </w:r>
          </w:p>
        </w:tc>
        <w:tc>
          <w:tcPr>
            <w:tcW w:w="879" w:type="dxa"/>
            <w:tcBorders>
              <w:top w:val="single" w:sz="2" w:space="0" w:color="auto"/>
              <w:bottom w:val="single" w:sz="4" w:space="0" w:color="auto"/>
            </w:tcBorders>
            <w:noWrap/>
            <w:vAlign w:val="center"/>
          </w:tcPr>
          <w:p w:rsidR="00EC4F97" w:rsidRPr="004E5CA0" w:rsidRDefault="00EC4F97" w:rsidP="00422AD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01/04/2019</w:t>
            </w:r>
          </w:p>
        </w:tc>
        <w:tc>
          <w:tcPr>
            <w:tcW w:w="964" w:type="dxa"/>
            <w:tcBorders>
              <w:top w:val="single" w:sz="2" w:space="0" w:color="auto"/>
              <w:bottom w:val="single" w:sz="4" w:space="0" w:color="auto"/>
            </w:tcBorders>
            <w:noWrap/>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2.034</w:t>
            </w:r>
          </w:p>
        </w:tc>
        <w:tc>
          <w:tcPr>
            <w:tcW w:w="1134" w:type="dxa"/>
            <w:tcBorders>
              <w:top w:val="single" w:sz="2" w:space="0" w:color="auto"/>
              <w:bottom w:val="single" w:sz="4" w:space="0" w:color="auto"/>
            </w:tcBorders>
            <w:noWrap/>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2.504.635</w:t>
            </w:r>
          </w:p>
        </w:tc>
        <w:tc>
          <w:tcPr>
            <w:tcW w:w="1003" w:type="dxa"/>
            <w:tcBorders>
              <w:top w:val="single" w:sz="2" w:space="0" w:color="auto"/>
              <w:bottom w:val="single" w:sz="4" w:space="0" w:color="auto"/>
            </w:tcBorders>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2.556.313</w:t>
            </w:r>
          </w:p>
        </w:tc>
        <w:tc>
          <w:tcPr>
            <w:tcW w:w="981" w:type="dxa"/>
            <w:tcBorders>
              <w:top w:val="single" w:sz="2" w:space="0" w:color="auto"/>
              <w:bottom w:val="single" w:sz="4" w:space="0" w:color="auto"/>
            </w:tcBorders>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31</w:t>
            </w:r>
          </w:p>
        </w:tc>
        <w:tc>
          <w:tcPr>
            <w:tcW w:w="603" w:type="dxa"/>
            <w:tcBorders>
              <w:top w:val="single" w:sz="2" w:space="0" w:color="auto"/>
              <w:bottom w:val="single" w:sz="4" w:space="0" w:color="auto"/>
            </w:tcBorders>
            <w:vAlign w:val="center"/>
          </w:tcPr>
          <w:p w:rsidR="00EC4F97" w:rsidRPr="004E5CA0" w:rsidRDefault="00EC4F97" w:rsidP="00422AD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1</w:t>
            </w:r>
          </w:p>
        </w:tc>
        <w:tc>
          <w:tcPr>
            <w:tcW w:w="911" w:type="dxa"/>
            <w:tcBorders>
              <w:top w:val="single" w:sz="2" w:space="0" w:color="auto"/>
              <w:bottom w:val="single" w:sz="4" w:space="0" w:color="auto"/>
            </w:tcBorders>
            <w:vAlign w:val="center"/>
          </w:tcPr>
          <w:p w:rsidR="00EC4F97" w:rsidRPr="004E5CA0" w:rsidRDefault="00EC4F97" w:rsidP="00422AD9">
            <w:pPr>
              <w:spacing w:after="0"/>
              <w:ind w:firstLine="0"/>
              <w:jc w:val="right"/>
              <w:rPr>
                <w:rFonts w:ascii="Arial Narrow" w:hAnsi="Arial Narrow"/>
                <w:color w:val="000000"/>
                <w:sz w:val="18"/>
                <w:szCs w:val="18"/>
                <w:lang w:val="es-ES" w:eastAsia="es-ES"/>
              </w:rPr>
            </w:pPr>
          </w:p>
        </w:tc>
        <w:tc>
          <w:tcPr>
            <w:tcW w:w="0" w:type="auto"/>
            <w:tcBorders>
              <w:top w:val="single" w:sz="2" w:space="0" w:color="auto"/>
              <w:bottom w:val="single" w:sz="4" w:space="0" w:color="auto"/>
            </w:tcBorders>
            <w:vAlign w:val="center"/>
          </w:tcPr>
          <w:p w:rsidR="00EC4F97" w:rsidRPr="004E5CA0" w:rsidRDefault="00EC4F97" w:rsidP="00422AD9">
            <w:pPr>
              <w:spacing w:after="0"/>
              <w:ind w:firstLine="0"/>
              <w:jc w:val="right"/>
              <w:rPr>
                <w:rFonts w:ascii="Arial Narrow" w:hAnsi="Arial Narrow"/>
                <w:color w:val="000000"/>
                <w:sz w:val="18"/>
                <w:szCs w:val="18"/>
                <w:lang w:val="es-ES" w:eastAsia="es-ES"/>
              </w:rPr>
            </w:pPr>
          </w:p>
        </w:tc>
        <w:tc>
          <w:tcPr>
            <w:tcW w:w="744" w:type="dxa"/>
            <w:tcBorders>
              <w:top w:val="single" w:sz="2" w:space="0" w:color="auto"/>
              <w:bottom w:val="single" w:sz="4" w:space="0" w:color="auto"/>
              <w:right w:val="nil"/>
            </w:tcBorders>
            <w:vAlign w:val="center"/>
          </w:tcPr>
          <w:p w:rsidR="00EC4F97" w:rsidRPr="004E5CA0" w:rsidRDefault="00EC4F97" w:rsidP="00422AD9">
            <w:pPr>
              <w:spacing w:after="0"/>
              <w:ind w:firstLine="0"/>
              <w:jc w:val="right"/>
              <w:rPr>
                <w:rFonts w:ascii="Arial Narrow" w:hAnsi="Arial Narrow"/>
                <w:color w:val="000000"/>
                <w:sz w:val="18"/>
                <w:szCs w:val="18"/>
                <w:lang w:val="es-ES" w:eastAsia="es-ES"/>
              </w:rPr>
            </w:pPr>
          </w:p>
        </w:tc>
      </w:tr>
      <w:tr w:rsidR="00EC4F97" w:rsidRPr="005618C1" w:rsidTr="00422AD9">
        <w:trPr>
          <w:trHeight w:val="262"/>
        </w:trPr>
        <w:tc>
          <w:tcPr>
            <w:tcW w:w="1730" w:type="dxa"/>
            <w:gridSpan w:val="2"/>
            <w:tcBorders>
              <w:top w:val="single" w:sz="4" w:space="0" w:color="auto"/>
              <w:left w:val="nil"/>
              <w:bottom w:val="single" w:sz="4" w:space="0" w:color="auto"/>
            </w:tcBorders>
            <w:shd w:val="clear" w:color="000000" w:fill="FBD4B4" w:themeFill="accent6" w:themeFillTint="66"/>
            <w:noWrap/>
            <w:vAlign w:val="center"/>
          </w:tcPr>
          <w:p w:rsidR="00EC4F97" w:rsidRPr="005618C1" w:rsidRDefault="00EC4F97" w:rsidP="00422AD9">
            <w:pPr>
              <w:spacing w:after="0"/>
              <w:ind w:firstLine="0"/>
              <w:jc w:val="lef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Total EELL fiscalizados</w:t>
            </w:r>
          </w:p>
        </w:tc>
        <w:tc>
          <w:tcPr>
            <w:tcW w:w="964" w:type="dxa"/>
            <w:tcBorders>
              <w:top w:val="single" w:sz="4" w:space="0" w:color="auto"/>
              <w:bottom w:val="single" w:sz="4" w:space="0" w:color="auto"/>
            </w:tcBorders>
            <w:shd w:val="clear" w:color="000000" w:fill="FBD4B4" w:themeFill="accent6" w:themeFillTint="66"/>
            <w:noWrap/>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219.296</w:t>
            </w:r>
          </w:p>
        </w:tc>
        <w:tc>
          <w:tcPr>
            <w:tcW w:w="1134" w:type="dxa"/>
            <w:tcBorders>
              <w:top w:val="single" w:sz="4" w:space="0" w:color="auto"/>
              <w:bottom w:val="single" w:sz="4" w:space="0" w:color="auto"/>
            </w:tcBorders>
            <w:shd w:val="clear" w:color="000000" w:fill="FBD4B4" w:themeFill="accent6" w:themeFillTint="66"/>
            <w:noWrap/>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216.788.804</w:t>
            </w:r>
          </w:p>
        </w:tc>
        <w:tc>
          <w:tcPr>
            <w:tcW w:w="1003" w:type="dxa"/>
            <w:tcBorders>
              <w:top w:val="single" w:sz="4" w:space="0" w:color="auto"/>
              <w:bottom w:val="single" w:sz="4" w:space="0" w:color="auto"/>
            </w:tcBorders>
            <w:shd w:val="clear" w:color="000000" w:fill="FBD4B4" w:themeFill="accent6" w:themeFillTint="66"/>
            <w:noWrap/>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sidRPr="005618C1">
              <w:rPr>
                <w:rFonts w:ascii="Arial Narrow" w:hAnsi="Arial Narrow"/>
                <w:color w:val="000000"/>
                <w:sz w:val="18"/>
                <w:szCs w:val="18"/>
                <w:lang w:val="es-ES" w:eastAsia="es-ES"/>
              </w:rPr>
              <w:t>216.709.101</w:t>
            </w:r>
          </w:p>
        </w:tc>
        <w:tc>
          <w:tcPr>
            <w:tcW w:w="981" w:type="dxa"/>
            <w:tcBorders>
              <w:top w:val="single" w:sz="4" w:space="0" w:color="auto"/>
              <w:bottom w:val="single" w:sz="4" w:space="0" w:color="auto"/>
            </w:tcBorders>
            <w:shd w:val="clear" w:color="000000" w:fill="FBD4B4" w:themeFill="accent6" w:themeFillTint="66"/>
            <w:noWrap/>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2.074</w:t>
            </w:r>
          </w:p>
        </w:tc>
        <w:tc>
          <w:tcPr>
            <w:tcW w:w="603" w:type="dxa"/>
            <w:tcBorders>
              <w:top w:val="single" w:sz="4" w:space="0" w:color="auto"/>
              <w:bottom w:val="single" w:sz="4" w:space="0" w:color="auto"/>
            </w:tcBorders>
            <w:shd w:val="clear" w:color="000000" w:fill="FBD4B4" w:themeFill="accent6" w:themeFillTint="66"/>
            <w:noWrap/>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5</w:t>
            </w:r>
          </w:p>
        </w:tc>
        <w:tc>
          <w:tcPr>
            <w:tcW w:w="911" w:type="dxa"/>
            <w:tcBorders>
              <w:top w:val="single" w:sz="4" w:space="0" w:color="auto"/>
              <w:bottom w:val="single" w:sz="4" w:space="0" w:color="auto"/>
            </w:tcBorders>
            <w:shd w:val="clear" w:color="000000" w:fill="FBD4B4" w:themeFill="accent6" w:themeFillTint="66"/>
            <w:noWrap/>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5</w:t>
            </w:r>
          </w:p>
        </w:tc>
        <w:tc>
          <w:tcPr>
            <w:tcW w:w="0" w:type="auto"/>
            <w:tcBorders>
              <w:top w:val="single" w:sz="4" w:space="0" w:color="auto"/>
              <w:bottom w:val="single" w:sz="4" w:space="0" w:color="auto"/>
            </w:tcBorders>
            <w:shd w:val="clear" w:color="000000" w:fill="FBD4B4" w:themeFill="accent6" w:themeFillTint="66"/>
            <w:noWrap/>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2</w:t>
            </w:r>
          </w:p>
        </w:tc>
        <w:tc>
          <w:tcPr>
            <w:tcW w:w="744" w:type="dxa"/>
            <w:tcBorders>
              <w:top w:val="single" w:sz="4" w:space="0" w:color="auto"/>
              <w:bottom w:val="single" w:sz="4" w:space="0" w:color="auto"/>
              <w:right w:val="nil"/>
            </w:tcBorders>
            <w:shd w:val="clear" w:color="000000" w:fill="FBD4B4" w:themeFill="accent6" w:themeFillTint="66"/>
            <w:vAlign w:val="center"/>
          </w:tcPr>
          <w:p w:rsidR="00EC4F97" w:rsidRPr="005618C1" w:rsidRDefault="00EC4F97" w:rsidP="00422AD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0</w:t>
            </w:r>
          </w:p>
        </w:tc>
      </w:tr>
    </w:tbl>
    <w:p w:rsidR="00EC4F97" w:rsidRDefault="00EC4F97" w:rsidP="00EC4F97">
      <w:pPr>
        <w:pStyle w:val="texto"/>
        <w:spacing w:before="240"/>
      </w:pPr>
      <w:r>
        <w:t>Si relacionamos los principales datos relativos a las entidades fiscalizadas con el conjunto del sector público local de Navarra los resultados son:</w:t>
      </w:r>
    </w:p>
    <w:p w:rsidR="00EC4F97" w:rsidRPr="0041469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1469E">
        <w:rPr>
          <w:rFonts w:cs="Arial"/>
        </w:rPr>
        <w:t xml:space="preserve">Los entes fiscalizados son el </w:t>
      </w:r>
      <w:r>
        <w:rPr>
          <w:rFonts w:cs="Arial"/>
        </w:rPr>
        <w:t>0,4</w:t>
      </w:r>
      <w:r w:rsidRPr="0041469E">
        <w:rPr>
          <w:rFonts w:cs="Arial"/>
        </w:rPr>
        <w:t xml:space="preserve"> por ciento de los existentes en Navarra en 20</w:t>
      </w:r>
      <w:r>
        <w:rPr>
          <w:rFonts w:cs="Arial"/>
        </w:rPr>
        <w:t>17,</w:t>
      </w:r>
      <w:r w:rsidRPr="0041469E">
        <w:rPr>
          <w:rFonts w:cs="Arial"/>
        </w:rPr>
        <w:t xml:space="preserve">  si bien su población alcanza el </w:t>
      </w:r>
      <w:r>
        <w:rPr>
          <w:rFonts w:cs="Arial"/>
        </w:rPr>
        <w:t>34</w:t>
      </w:r>
      <w:r w:rsidRPr="0041469E">
        <w:rPr>
          <w:rFonts w:cs="Arial"/>
        </w:rPr>
        <w:t xml:space="preserve"> por ciento del total.</w:t>
      </w:r>
    </w:p>
    <w:p w:rsidR="00EC4F97" w:rsidRPr="0041469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1469E">
        <w:rPr>
          <w:rFonts w:cs="Arial"/>
        </w:rPr>
        <w:t xml:space="preserve">Los ingresos de las entidades auditadas representan el </w:t>
      </w:r>
      <w:r>
        <w:rPr>
          <w:rFonts w:cs="Arial"/>
        </w:rPr>
        <w:t>28</w:t>
      </w:r>
      <w:r w:rsidRPr="0041469E">
        <w:rPr>
          <w:rFonts w:cs="Arial"/>
        </w:rPr>
        <w:t xml:space="preserve"> por ciento de los ingresos del total del sector público local de Navarra y sus gastos el </w:t>
      </w:r>
      <w:r>
        <w:rPr>
          <w:rFonts w:cs="Arial"/>
        </w:rPr>
        <w:t>2</w:t>
      </w:r>
      <w:r w:rsidRPr="0041469E">
        <w:rPr>
          <w:rFonts w:cs="Arial"/>
        </w:rPr>
        <w:t>9 por ciento.</w:t>
      </w:r>
    </w:p>
    <w:p w:rsidR="00EC4F97" w:rsidRPr="0041469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1469E">
        <w:rPr>
          <w:rFonts w:cs="Arial"/>
        </w:rPr>
        <w:t xml:space="preserve">Los entes dependientes de estos </w:t>
      </w:r>
      <w:r>
        <w:rPr>
          <w:rFonts w:cs="Arial"/>
        </w:rPr>
        <w:t>municipios fiscalizados son el diez</w:t>
      </w:r>
      <w:r w:rsidRPr="0041469E">
        <w:rPr>
          <w:rFonts w:cs="Arial"/>
        </w:rPr>
        <w:t xml:space="preserve"> por ciento del con</w:t>
      </w:r>
      <w:r>
        <w:rPr>
          <w:rFonts w:cs="Arial"/>
        </w:rPr>
        <w:t>junto del sector público local sin tener en cuenta a los consorcios.</w:t>
      </w:r>
    </w:p>
    <w:p w:rsidR="00EC4F97" w:rsidRPr="007E3BFE" w:rsidRDefault="00EC4F97" w:rsidP="00EC4F97">
      <w:pPr>
        <w:pStyle w:val="texto"/>
      </w:pPr>
      <w:r w:rsidRPr="007E3BFE">
        <w:t xml:space="preserve">El objetivo de las fiscalizaciones </w:t>
      </w:r>
      <w:r>
        <w:t>financieras y de legalidad</w:t>
      </w:r>
      <w:r w:rsidRPr="007E3BFE">
        <w:t xml:space="preserve"> fue emitir una opinión acerca de:</w:t>
      </w:r>
    </w:p>
    <w:p w:rsidR="00EC4F97" w:rsidRPr="0041469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DB6929">
        <w:rPr>
          <w:rFonts w:cs="Arial"/>
        </w:rPr>
        <w:t>Opinión de auditoría financiera: si la cuenta general expresaba, en todos los</w:t>
      </w:r>
      <w:r w:rsidRPr="0041469E">
        <w:rPr>
          <w:rFonts w:cs="Arial"/>
        </w:rPr>
        <w:t xml:space="preserve"> aspectos significativos, la imagen fiel del patrimonio, de la liquidación de sus presupuestos y de la situación financiera de la entidad local</w:t>
      </w:r>
      <w:r>
        <w:rPr>
          <w:rFonts w:cs="Arial"/>
        </w:rPr>
        <w:t xml:space="preserve"> a 31 de dicie</w:t>
      </w:r>
      <w:r>
        <w:rPr>
          <w:rFonts w:cs="Arial"/>
        </w:rPr>
        <w:t>m</w:t>
      </w:r>
      <w:r>
        <w:rPr>
          <w:rFonts w:cs="Arial"/>
        </w:rPr>
        <w:t>bre de 2017;</w:t>
      </w:r>
      <w:r w:rsidRPr="0041469E">
        <w:rPr>
          <w:rFonts w:cs="Arial"/>
        </w:rPr>
        <w:t xml:space="preserve"> así como de sus resultados económicos y presupuestarios corre</w:t>
      </w:r>
      <w:r w:rsidRPr="0041469E">
        <w:rPr>
          <w:rFonts w:cs="Arial"/>
        </w:rPr>
        <w:t>s</w:t>
      </w:r>
      <w:r w:rsidRPr="0041469E">
        <w:rPr>
          <w:rFonts w:cs="Arial"/>
        </w:rPr>
        <w:t>pondientes al ejercicio anual terminado en dicha fecha, de conformidad con el marco normativo de información financiera pública aplicable, y, en particular, con los principios y criterios contables contenidos en el mismo.</w:t>
      </w:r>
    </w:p>
    <w:p w:rsidR="00EC4F97" w:rsidRPr="0041469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1469E">
        <w:rPr>
          <w:rFonts w:cs="Arial"/>
        </w:rPr>
        <w:t>Opinión sobre cumplimiento de legalidad: si las actividades, operaciones presupuestarias y financieras y la información reflejada en los estados financi</w:t>
      </w:r>
      <w:r w:rsidRPr="0041469E">
        <w:rPr>
          <w:rFonts w:cs="Arial"/>
        </w:rPr>
        <w:t>e</w:t>
      </w:r>
      <w:r w:rsidRPr="0041469E">
        <w:rPr>
          <w:rFonts w:cs="Arial"/>
        </w:rPr>
        <w:t>ros del ayuntamiento correspondientes al ejercicio 201</w:t>
      </w:r>
      <w:r>
        <w:rPr>
          <w:rFonts w:cs="Arial"/>
        </w:rPr>
        <w:t>7</w:t>
      </w:r>
      <w:r w:rsidRPr="0041469E">
        <w:rPr>
          <w:rFonts w:cs="Arial"/>
        </w:rPr>
        <w:t xml:space="preserve"> resulta</w:t>
      </w:r>
      <w:r>
        <w:rPr>
          <w:rFonts w:cs="Arial"/>
        </w:rPr>
        <w:t>ban</w:t>
      </w:r>
      <w:r w:rsidRPr="0041469E">
        <w:rPr>
          <w:rFonts w:cs="Arial"/>
        </w:rPr>
        <w:t xml:space="preserve"> conformes, en todos los aspectos significativos, con la normativa aplicable a la gestión de los fondos públicos.</w:t>
      </w:r>
    </w:p>
    <w:p w:rsidR="00EC4F97" w:rsidRDefault="00EC4F97" w:rsidP="00EC4F97">
      <w:pPr>
        <w:pStyle w:val="texto"/>
        <w:spacing w:after="200"/>
      </w:pPr>
      <w:r w:rsidRPr="007E3BFE">
        <w:t xml:space="preserve">Los resultados de las fiscalizaciones se recogieron en los correspondientes informes que se publicaron en el </w:t>
      </w:r>
      <w:r>
        <w:t>B</w:t>
      </w:r>
      <w:r w:rsidRPr="007E3BFE">
        <w:t xml:space="preserve">oletín </w:t>
      </w:r>
      <w:r>
        <w:t>O</w:t>
      </w:r>
      <w:r w:rsidRPr="007E3BFE">
        <w:t>ficial del Parlamento de Navarra y en la página web de esta Cámara.</w:t>
      </w:r>
    </w:p>
    <w:p w:rsidR="00EC4F97" w:rsidRPr="007E3BFE" w:rsidRDefault="00EC4F97" w:rsidP="00EC4F97">
      <w:pPr>
        <w:pStyle w:val="texto"/>
      </w:pPr>
      <w:r>
        <w:t>En cuanto a la opinión de estos informes, los resultados fueron los siguie</w:t>
      </w:r>
      <w:r>
        <w:t>n</w:t>
      </w:r>
      <w:r>
        <w:t>tes:</w:t>
      </w:r>
    </w:p>
    <w:p w:rsidR="00EC4F97" w:rsidRDefault="00EC4F97" w:rsidP="00EC4F97">
      <w:pPr>
        <w:pStyle w:val="texto"/>
        <w:numPr>
          <w:ilvl w:val="0"/>
          <w:numId w:val="12"/>
        </w:numPr>
        <w:tabs>
          <w:tab w:val="clear" w:pos="2835"/>
          <w:tab w:val="clear" w:pos="3969"/>
          <w:tab w:val="clear" w:pos="5103"/>
          <w:tab w:val="clear" w:pos="6237"/>
          <w:tab w:val="clear" w:pos="7371"/>
          <w:tab w:val="left" w:pos="602"/>
        </w:tabs>
        <w:spacing w:before="240" w:after="160"/>
        <w:ind w:left="0" w:firstLine="284"/>
      </w:pPr>
      <w:r>
        <w:t>La opinión de auditoría financiera</w:t>
      </w:r>
      <w:r w:rsidRPr="007E3BFE">
        <w:t xml:space="preserve"> fue favorable </w:t>
      </w:r>
      <w:r>
        <w:t>con salvedades en las tres entidades. Las principales salvedades emitidas fueron las siguientes: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Pr>
          <w:rFonts w:cs="Arial"/>
        </w:rPr>
        <w:t>El saldo del inmovilizado material no está soportado en un inventario a</w:t>
      </w:r>
      <w:r>
        <w:rPr>
          <w:rFonts w:cs="Arial"/>
        </w:rPr>
        <w:t>c</w:t>
      </w:r>
      <w:r>
        <w:rPr>
          <w:rFonts w:cs="Arial"/>
        </w:rPr>
        <w:t>tualizado (una entidad).</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 w:val="left" w:pos="3122"/>
        </w:tabs>
        <w:ind w:left="0" w:firstLine="289"/>
        <w:rPr>
          <w:rFonts w:cs="Arial"/>
        </w:rPr>
      </w:pPr>
      <w:r w:rsidRPr="008A3E75">
        <w:rPr>
          <w:rFonts w:cs="Arial"/>
        </w:rPr>
        <w:t>No se contemplan en el remanente de tesorería los saldos de difícil reca</w:t>
      </w:r>
      <w:r w:rsidRPr="008A3E75">
        <w:rPr>
          <w:rFonts w:cs="Arial"/>
        </w:rPr>
        <w:t>u</w:t>
      </w:r>
      <w:r w:rsidRPr="008A3E75">
        <w:rPr>
          <w:rFonts w:cs="Arial"/>
        </w:rPr>
        <w:t>dación (una entidad y su organismo autónomo)</w:t>
      </w:r>
      <w:r>
        <w:rPr>
          <w:rFonts w:cs="Arial"/>
        </w:rPr>
        <w:t>.</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sidRPr="008A3E75">
        <w:rPr>
          <w:rFonts w:cs="Arial"/>
        </w:rPr>
        <w:t>No están cuantificadas ni contabilizadas las obligaciones actuariales der</w:t>
      </w:r>
      <w:r w:rsidRPr="008A3E75">
        <w:rPr>
          <w:rFonts w:cs="Arial"/>
        </w:rPr>
        <w:t>i</w:t>
      </w:r>
      <w:r w:rsidRPr="008A3E75">
        <w:rPr>
          <w:rFonts w:cs="Arial"/>
        </w:rPr>
        <w:t>vadas de las pensiones del personal perteneciente al montepío (una entidad).</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Pr>
          <w:rFonts w:cs="Arial"/>
        </w:rPr>
        <w:t>Se han contabilizado gastos superando los créditos definitivos sin que se haya aprobado la correspondiente modificación presupuestaria (una entidad y su organismo autónomo).</w:t>
      </w:r>
    </w:p>
    <w:p w:rsidR="00EC4F97" w:rsidRPr="008A3E75"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Pr>
          <w:rFonts w:cs="Arial"/>
        </w:rPr>
        <w:t>No se han tenido en cuenta los gastos financiados con remanente de tesor</w:t>
      </w:r>
      <w:r>
        <w:rPr>
          <w:rFonts w:cs="Arial"/>
        </w:rPr>
        <w:t>e</w:t>
      </w:r>
      <w:r>
        <w:rPr>
          <w:rFonts w:cs="Arial"/>
        </w:rPr>
        <w:t>ría en el cálculo del resultado presupuestario ajustado (una entidad).</w:t>
      </w:r>
    </w:p>
    <w:p w:rsidR="00EC4F97" w:rsidRDefault="00EC4F97" w:rsidP="00EC4F97">
      <w:pPr>
        <w:pStyle w:val="texto"/>
        <w:numPr>
          <w:ilvl w:val="0"/>
          <w:numId w:val="12"/>
        </w:numPr>
        <w:tabs>
          <w:tab w:val="clear" w:pos="2835"/>
          <w:tab w:val="clear" w:pos="3969"/>
          <w:tab w:val="clear" w:pos="5103"/>
          <w:tab w:val="clear" w:pos="6237"/>
          <w:tab w:val="clear" w:pos="7371"/>
          <w:tab w:val="left" w:pos="602"/>
        </w:tabs>
        <w:spacing w:before="240" w:after="160"/>
        <w:ind w:left="0" w:firstLine="284"/>
      </w:pPr>
      <w:r>
        <w:t>La opinión de auditoría de cumplimiento de legalidad fue favorable en dos entidades, y en la tercera fue favorable para el ayuntamiento y sus org</w:t>
      </w:r>
      <w:r>
        <w:t>a</w:t>
      </w:r>
      <w:r>
        <w:t>nismos autónomos y desfavorable para su Fundación. En este caso, las princ</w:t>
      </w:r>
      <w:r>
        <w:t>i</w:t>
      </w:r>
      <w:r>
        <w:t>pales salvedades fueron:</w:t>
      </w:r>
    </w:p>
    <w:p w:rsidR="00EC4F97" w:rsidRPr="0041469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Pr>
          <w:rFonts w:cs="Arial"/>
        </w:rPr>
        <w:t>No se aplica la normativa de contratación pública en la tramitación y adj</w:t>
      </w:r>
      <w:r>
        <w:rPr>
          <w:rFonts w:cs="Arial"/>
        </w:rPr>
        <w:t>u</w:t>
      </w:r>
      <w:r>
        <w:rPr>
          <w:rFonts w:cs="Arial"/>
        </w:rPr>
        <w:t>dicación de los contratos de servicios.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Pr>
          <w:rFonts w:cs="Arial"/>
        </w:rPr>
        <w:t>No se han respetado los principios de igualdad, mérito y capacidad en la contratación de personal.</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Existen debilidades significativas de control interno, principalmente en el área de tesorería, procedimientos de facturación y en determinados contratos y alquileres de espacios.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rPr>
          <w:rFonts w:cs="Arial"/>
        </w:rPr>
        <w:t>No se han cumplido los plazos legales de pago a proveedores previstos en la Ley 3/2004, de 29 de diciembre, por la que se establecen medidas de lucha contra la morosidad en las operaciones comerciales.</w:t>
      </w:r>
    </w:p>
    <w:p w:rsidR="00EC4F97" w:rsidRPr="00C20092" w:rsidRDefault="00EC4F97" w:rsidP="00EC4F97">
      <w:pPr>
        <w:tabs>
          <w:tab w:val="left" w:pos="480"/>
          <w:tab w:val="num" w:pos="1948"/>
          <w:tab w:val="num" w:pos="5040"/>
        </w:tabs>
        <w:spacing w:before="360"/>
        <w:ind w:firstLine="284"/>
        <w:rPr>
          <w:spacing w:val="6"/>
          <w:sz w:val="26"/>
          <w:szCs w:val="24"/>
        </w:rPr>
      </w:pPr>
      <w:r>
        <w:rPr>
          <w:spacing w:val="6"/>
          <w:sz w:val="26"/>
          <w:szCs w:val="24"/>
        </w:rPr>
        <w:t>Las principales recomendaciones que esta Cámara incluyó en sus informes de fiscalización de estas entidades en 2017 fueron las siguientes: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sidRPr="00C15393">
        <w:rPr>
          <w:rFonts w:cs="Arial"/>
          <w:i/>
        </w:rPr>
        <w:t xml:space="preserve">Aprobar </w:t>
      </w:r>
      <w:r>
        <w:rPr>
          <w:rFonts w:cs="Arial"/>
          <w:i/>
        </w:rPr>
        <w:t>los presupuestos y la Cuenta General dentro de los plazos est</w:t>
      </w:r>
      <w:r>
        <w:rPr>
          <w:rFonts w:cs="Arial"/>
          <w:i/>
        </w:rPr>
        <w:t>a</w:t>
      </w:r>
      <w:r>
        <w:rPr>
          <w:rFonts w:cs="Arial"/>
          <w:i/>
        </w:rPr>
        <w:t>blecidos en la legislación vigente (dos entidades).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Pr>
          <w:rFonts w:cs="Arial"/>
          <w:i/>
        </w:rPr>
        <w:t>Completar el expediente del presupuesto con la totalidad de la document</w:t>
      </w:r>
      <w:r>
        <w:rPr>
          <w:rFonts w:cs="Arial"/>
          <w:i/>
        </w:rPr>
        <w:t>a</w:t>
      </w:r>
      <w:r>
        <w:rPr>
          <w:rFonts w:cs="Arial"/>
          <w:i/>
        </w:rPr>
        <w:t>ción exigida en la normativa (dos entidades).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sidRPr="00C15393">
        <w:rPr>
          <w:rFonts w:cs="Arial"/>
          <w:i/>
        </w:rPr>
        <w:t>Ejercer un mayor control sobre la vigencia de contratos con terceros y planificar con suficiente antelación, en su caso, el inicio del procedimiento de licitación oportuno (</w:t>
      </w:r>
      <w:r>
        <w:rPr>
          <w:rFonts w:cs="Arial"/>
          <w:i/>
        </w:rPr>
        <w:t>dos</w:t>
      </w:r>
      <w:r w:rsidRPr="00C15393">
        <w:rPr>
          <w:rFonts w:cs="Arial"/>
          <w:i/>
        </w:rPr>
        <w:t xml:space="preserve"> entidades).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sidRPr="00B109C6">
        <w:rPr>
          <w:rFonts w:cs="Arial"/>
          <w:i/>
        </w:rPr>
        <w:t>Tramitar los correspondientes expedientes de contratación para aquellos</w:t>
      </w:r>
      <w:r>
        <w:rPr>
          <w:rFonts w:cs="Arial"/>
          <w:i/>
        </w:rPr>
        <w:t xml:space="preserve"> servicios cuyos contratos han concluido y para aquellos</w:t>
      </w:r>
      <w:r w:rsidRPr="00B109C6">
        <w:rPr>
          <w:rFonts w:cs="Arial"/>
          <w:i/>
        </w:rPr>
        <w:t xml:space="preserve"> que, por su recurre</w:t>
      </w:r>
      <w:r w:rsidRPr="00B109C6">
        <w:rPr>
          <w:rFonts w:cs="Arial"/>
          <w:i/>
        </w:rPr>
        <w:t>n</w:t>
      </w:r>
      <w:r w:rsidRPr="00B109C6">
        <w:rPr>
          <w:rFonts w:cs="Arial"/>
          <w:i/>
        </w:rPr>
        <w:t>cia y cuantía, así lo prevea la normativa vigente (</w:t>
      </w:r>
      <w:r>
        <w:rPr>
          <w:rFonts w:cs="Arial"/>
          <w:i/>
        </w:rPr>
        <w:t>una entidad</w:t>
      </w:r>
      <w:r w:rsidRPr="002C159D">
        <w:rPr>
          <w:rFonts w:cs="Arial"/>
          <w:i/>
        </w:rPr>
        <w:t>).</w:t>
      </w:r>
    </w:p>
    <w:p w:rsidR="00EC4F97" w:rsidRPr="00C15393"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sidRPr="00C15393">
        <w:rPr>
          <w:rFonts w:cs="Arial"/>
          <w:i/>
        </w:rPr>
        <w:t>En los supuestos en que se deban abonar obligaciones sin soporte contra</w:t>
      </w:r>
      <w:r w:rsidRPr="00C15393">
        <w:rPr>
          <w:rFonts w:cs="Arial"/>
          <w:i/>
        </w:rPr>
        <w:t>c</w:t>
      </w:r>
      <w:r w:rsidRPr="00C15393">
        <w:rPr>
          <w:rFonts w:cs="Arial"/>
          <w:i/>
        </w:rPr>
        <w:t>tual, establecer en las bases de ejecución el procedimiento adecuado de tram</w:t>
      </w:r>
      <w:r w:rsidRPr="00C15393">
        <w:rPr>
          <w:rFonts w:cs="Arial"/>
          <w:i/>
        </w:rPr>
        <w:t>i</w:t>
      </w:r>
      <w:r w:rsidRPr="00C15393">
        <w:rPr>
          <w:rFonts w:cs="Arial"/>
          <w:i/>
        </w:rPr>
        <w:t xml:space="preserve">tación conforme a la teoría del enriquecimiento injusto para su aprobación por el correspondiente órgano competente </w:t>
      </w:r>
      <w:r w:rsidRPr="00B109C6">
        <w:rPr>
          <w:rFonts w:cs="Arial"/>
          <w:i/>
        </w:rPr>
        <w:t>(</w:t>
      </w:r>
      <w:r>
        <w:rPr>
          <w:rFonts w:cs="Arial"/>
          <w:i/>
        </w:rPr>
        <w:t>una entidad</w:t>
      </w:r>
      <w:r w:rsidRPr="002C159D">
        <w:rPr>
          <w:rFonts w:cs="Arial"/>
          <w:i/>
        </w:rPr>
        <w:t>).</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sidRPr="00EA2812">
        <w:rPr>
          <w:rFonts w:cs="Arial"/>
          <w:i/>
        </w:rPr>
        <w:t>Revisar los Acuerdos sobre condiciones de empleo de las y los funcion</w:t>
      </w:r>
      <w:r w:rsidRPr="00EA2812">
        <w:rPr>
          <w:rFonts w:cs="Arial"/>
          <w:i/>
        </w:rPr>
        <w:t>a</w:t>
      </w:r>
      <w:r w:rsidRPr="00EA2812">
        <w:rPr>
          <w:rFonts w:cs="Arial"/>
          <w:i/>
        </w:rPr>
        <w:t>rias/os del ayuntamiento y sus organismos autónomos y limitar los pactos a las materias en las que el ayuntamiento tenga competencia (dos entidades).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Pr>
          <w:rFonts w:cs="Arial"/>
          <w:i/>
        </w:rPr>
        <w:t>Aprobar las correspondientes ofertas públicas de empleo y convocar las vacantes de conformidad con las posibilidades de las tasas de reposición y de estabilización de empleo establecidas en las Leyes de Presupuestos Generales del Estado (tres entidades).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Pr>
          <w:rFonts w:cs="Arial"/>
          <w:i/>
        </w:rPr>
        <w:t>Incluir en próximas ofertas públicas de empleo, las plazas de los servicios que han sido objeto de subrogación en las plantillas en la medida que respo</w:t>
      </w:r>
      <w:r>
        <w:rPr>
          <w:rFonts w:cs="Arial"/>
          <w:i/>
        </w:rPr>
        <w:t>n</w:t>
      </w:r>
      <w:r>
        <w:rPr>
          <w:rFonts w:cs="Arial"/>
          <w:i/>
        </w:rPr>
        <w:t>den a una situación temporal y excepcional</w:t>
      </w:r>
      <w:r w:rsidRPr="00EA2812">
        <w:rPr>
          <w:rFonts w:cs="Arial"/>
          <w:i/>
        </w:rPr>
        <w:t xml:space="preserve"> (</w:t>
      </w:r>
      <w:r>
        <w:rPr>
          <w:rFonts w:cs="Arial"/>
          <w:i/>
        </w:rPr>
        <w:t>una entidad</w:t>
      </w:r>
      <w:r w:rsidRPr="00EA2812">
        <w:rPr>
          <w:rFonts w:cs="Arial"/>
          <w:i/>
        </w:rPr>
        <w:t>).</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sidRPr="00F70BA8">
        <w:rPr>
          <w:rFonts w:cs="Arial"/>
          <w:i/>
        </w:rPr>
        <w:t>Analizar la razonabil</w:t>
      </w:r>
      <w:r>
        <w:rPr>
          <w:rFonts w:cs="Arial"/>
          <w:i/>
        </w:rPr>
        <w:t>i</w:t>
      </w:r>
      <w:r w:rsidRPr="00F70BA8">
        <w:rPr>
          <w:rFonts w:cs="Arial"/>
          <w:i/>
        </w:rPr>
        <w:t>dad de los puestos contenidos en la plantilla con los efectivamente ocupados, al objeto de verificar la adecuación de aquélla a las necesidades reales</w:t>
      </w:r>
      <w:r>
        <w:rPr>
          <w:rFonts w:cs="Arial"/>
          <w:i/>
        </w:rPr>
        <w:t xml:space="preserve"> </w:t>
      </w:r>
      <w:r w:rsidRPr="00B109C6">
        <w:rPr>
          <w:rFonts w:cs="Arial"/>
          <w:i/>
        </w:rPr>
        <w:t>(</w:t>
      </w:r>
      <w:r>
        <w:rPr>
          <w:rFonts w:cs="Arial"/>
          <w:i/>
        </w:rPr>
        <w:t>una entidad</w:t>
      </w:r>
      <w:r w:rsidRPr="002C159D">
        <w:rPr>
          <w:rFonts w:cs="Arial"/>
          <w:i/>
        </w:rPr>
        <w:t>).</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sidRPr="00F70BA8">
        <w:rPr>
          <w:rFonts w:cs="Arial"/>
          <w:i/>
        </w:rPr>
        <w:t>Revisar y analizar las diferencias retributivas que provoca la existencia de dos regímenes jurídicos distintos para puestos de trabajo de igual denomin</w:t>
      </w:r>
      <w:r w:rsidRPr="00F70BA8">
        <w:rPr>
          <w:rFonts w:cs="Arial"/>
          <w:i/>
        </w:rPr>
        <w:t>a</w:t>
      </w:r>
      <w:r w:rsidRPr="00F70BA8">
        <w:rPr>
          <w:rFonts w:cs="Arial"/>
          <w:i/>
        </w:rPr>
        <w:t>ción</w:t>
      </w:r>
      <w:r>
        <w:rPr>
          <w:rFonts w:cs="Arial"/>
          <w:i/>
        </w:rPr>
        <w:t xml:space="preserve"> (una entidad).</w:t>
      </w:r>
    </w:p>
    <w:p w:rsidR="00EC4F97" w:rsidRPr="00DE1C9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sidRPr="00DE1C9E">
        <w:rPr>
          <w:rFonts w:cs="Arial"/>
          <w:i/>
        </w:rPr>
        <w:t>Potenciar el control interno ejercido por la Intervención como instrumento necesario e imprescindible para la mejora de la gestión económica e impla</w:t>
      </w:r>
      <w:r w:rsidRPr="00DE1C9E">
        <w:rPr>
          <w:rFonts w:cs="Arial"/>
          <w:i/>
        </w:rPr>
        <w:t>n</w:t>
      </w:r>
      <w:r w:rsidRPr="00DE1C9E">
        <w:rPr>
          <w:rFonts w:cs="Arial"/>
          <w:i/>
        </w:rPr>
        <w:t>tarlo con la extensión establecida en la Ley Foral 2/1995 de Haciendas Loc</w:t>
      </w:r>
      <w:r w:rsidRPr="00DE1C9E">
        <w:rPr>
          <w:rFonts w:cs="Arial"/>
          <w:i/>
        </w:rPr>
        <w:t>a</w:t>
      </w:r>
      <w:r w:rsidRPr="00DE1C9E">
        <w:rPr>
          <w:rFonts w:cs="Arial"/>
          <w:i/>
        </w:rPr>
        <w:t>les de Navarra. Es decir, realizando la fiscalización plena sobre una muestra de gastos sometidos a fiscalización limitada previa y el control interno respe</w:t>
      </w:r>
      <w:r w:rsidRPr="00DE1C9E">
        <w:rPr>
          <w:rFonts w:cs="Arial"/>
          <w:i/>
        </w:rPr>
        <w:t>c</w:t>
      </w:r>
      <w:r w:rsidRPr="00DE1C9E">
        <w:rPr>
          <w:rFonts w:cs="Arial"/>
          <w:i/>
        </w:rPr>
        <w:t>to a los ingresos municipales, así como la realización del c</w:t>
      </w:r>
      <w:r>
        <w:rPr>
          <w:rFonts w:cs="Arial"/>
          <w:i/>
        </w:rPr>
        <w:t>ontrol financiero y de eficacia (una entidad).</w:t>
      </w:r>
    </w:p>
    <w:p w:rsidR="00EC4F97" w:rsidRPr="00F70BA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F70BA8">
        <w:rPr>
          <w:rFonts w:cs="Arial"/>
          <w:i/>
        </w:rPr>
        <w:t>Realizar el control financiero y de eficacia por la Intervención en el Ayu</w:t>
      </w:r>
      <w:r w:rsidRPr="00F70BA8">
        <w:rPr>
          <w:rFonts w:cs="Arial"/>
          <w:i/>
        </w:rPr>
        <w:t>n</w:t>
      </w:r>
      <w:r w:rsidRPr="00F70BA8">
        <w:rPr>
          <w:rFonts w:cs="Arial"/>
          <w:i/>
        </w:rPr>
        <w:t>tamiento en cumplimiento del marco presupuestario local, así como el control de eficacia en los organismos autónomos</w:t>
      </w:r>
      <w:r>
        <w:rPr>
          <w:rFonts w:cs="Arial"/>
          <w:i/>
        </w:rPr>
        <w:t xml:space="preserve"> (dos entidades).</w:t>
      </w:r>
    </w:p>
    <w:p w:rsidR="00EC4F97" w:rsidRPr="00C15393"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Diseñar procedimientos que garanticen adecuadamente el control interno que el ayuntamiento debe ejercer sobre la actividad desarrollada por sus o</w:t>
      </w:r>
      <w:r>
        <w:rPr>
          <w:rFonts w:cs="Arial"/>
          <w:i/>
        </w:rPr>
        <w:t>r</w:t>
      </w:r>
      <w:r>
        <w:rPr>
          <w:rFonts w:cs="Arial"/>
          <w:i/>
        </w:rPr>
        <w:t>ganismos autónomos (tres entidades).</w:t>
      </w:r>
    </w:p>
    <w:p w:rsidR="00EC4F97" w:rsidRPr="004904E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Aprobar o actualizar el inventario de bienes municipales, diseñando pr</w:t>
      </w:r>
      <w:r>
        <w:rPr>
          <w:rFonts w:cs="Arial"/>
          <w:i/>
        </w:rPr>
        <w:t>o</w:t>
      </w:r>
      <w:r>
        <w:rPr>
          <w:rFonts w:cs="Arial"/>
          <w:i/>
        </w:rPr>
        <w:t>cedimientos que permitan su permanente actualización y seguimiento contable (una entidad).</w:t>
      </w:r>
    </w:p>
    <w:p w:rsidR="00EC4F97" w:rsidRPr="00C15393"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C15393">
        <w:rPr>
          <w:rFonts w:cs="Arial"/>
          <w:i/>
        </w:rPr>
        <w:t>Revisar o concluir la ponencia de valoración de los bienes sujetos a la contribución territorial (</w:t>
      </w:r>
      <w:r>
        <w:rPr>
          <w:rFonts w:cs="Arial"/>
          <w:i/>
        </w:rPr>
        <w:t>tres</w:t>
      </w:r>
      <w:r w:rsidRPr="00C15393">
        <w:rPr>
          <w:rFonts w:cs="Arial"/>
          <w:i/>
        </w:rPr>
        <w:t xml:space="preserve"> entidades).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A</w:t>
      </w:r>
      <w:r w:rsidRPr="00C15393">
        <w:rPr>
          <w:rFonts w:cs="Arial"/>
          <w:i/>
        </w:rPr>
        <w:t>plicar el tipo único para la exacción de la contribución territorial rústica y urbana, de acuerdo a lo establecido en la legislación vigente (</w:t>
      </w:r>
      <w:r>
        <w:rPr>
          <w:rFonts w:cs="Arial"/>
          <w:i/>
        </w:rPr>
        <w:t>una entidad</w:t>
      </w:r>
      <w:r w:rsidRPr="00C15393">
        <w:rPr>
          <w:rFonts w:cs="Arial"/>
          <w:i/>
        </w:rPr>
        <w:t>).</w:t>
      </w:r>
    </w:p>
    <w:p w:rsidR="00EC4F97" w:rsidRDefault="00EC4F97" w:rsidP="00EC4F97">
      <w:pPr>
        <w:spacing w:after="0"/>
        <w:ind w:firstLine="284"/>
        <w:rPr>
          <w:spacing w:val="6"/>
          <w:sz w:val="26"/>
          <w:szCs w:val="24"/>
        </w:rPr>
      </w:pPr>
      <w:r w:rsidRPr="00A92370">
        <w:rPr>
          <w:spacing w:val="6"/>
          <w:sz w:val="26"/>
          <w:szCs w:val="24"/>
        </w:rPr>
        <w:t>Respecto a la estabilidad presupuestaria y sostenibilidad financiera, en gen</w:t>
      </w:r>
      <w:r w:rsidRPr="00A92370">
        <w:rPr>
          <w:spacing w:val="6"/>
          <w:sz w:val="26"/>
          <w:szCs w:val="24"/>
        </w:rPr>
        <w:t>e</w:t>
      </w:r>
      <w:r w:rsidRPr="00A92370">
        <w:rPr>
          <w:spacing w:val="6"/>
          <w:sz w:val="26"/>
          <w:szCs w:val="24"/>
        </w:rPr>
        <w:t>ral las entidades cumplieron con todos los requisitos establecidos por la norm</w:t>
      </w:r>
      <w:r w:rsidRPr="00A92370">
        <w:rPr>
          <w:spacing w:val="6"/>
          <w:sz w:val="26"/>
          <w:szCs w:val="24"/>
        </w:rPr>
        <w:t>a</w:t>
      </w:r>
      <w:r w:rsidRPr="00A92370">
        <w:rPr>
          <w:spacing w:val="6"/>
          <w:sz w:val="26"/>
          <w:szCs w:val="24"/>
        </w:rPr>
        <w:t>tiva, salvo en los siguientes casos: el Ayuntamiento de Pamplona no cumplió</w:t>
      </w:r>
      <w:r>
        <w:rPr>
          <w:spacing w:val="6"/>
          <w:sz w:val="26"/>
          <w:szCs w:val="24"/>
        </w:rPr>
        <w:t xml:space="preserve"> </w:t>
      </w:r>
      <w:r w:rsidRPr="00A92370">
        <w:rPr>
          <w:spacing w:val="6"/>
          <w:sz w:val="26"/>
          <w:szCs w:val="24"/>
        </w:rPr>
        <w:t xml:space="preserve"> la regla de gasto, lo que </w:t>
      </w:r>
      <w:r>
        <w:rPr>
          <w:spacing w:val="6"/>
          <w:sz w:val="26"/>
          <w:szCs w:val="24"/>
        </w:rPr>
        <w:t>supuso</w:t>
      </w:r>
      <w:r w:rsidRPr="00A92370">
        <w:rPr>
          <w:spacing w:val="6"/>
          <w:sz w:val="26"/>
          <w:szCs w:val="24"/>
        </w:rPr>
        <w:t xml:space="preserve"> la aprobación y tramitación de un plan econ</w:t>
      </w:r>
      <w:r w:rsidRPr="00A92370">
        <w:rPr>
          <w:spacing w:val="6"/>
          <w:sz w:val="26"/>
          <w:szCs w:val="24"/>
        </w:rPr>
        <w:t>ó</w:t>
      </w:r>
      <w:r w:rsidRPr="00A92370">
        <w:rPr>
          <w:spacing w:val="6"/>
          <w:sz w:val="26"/>
          <w:szCs w:val="24"/>
        </w:rPr>
        <w:t xml:space="preserve">mico financiero. </w:t>
      </w:r>
      <w:r>
        <w:rPr>
          <w:spacing w:val="6"/>
          <w:sz w:val="26"/>
          <w:szCs w:val="24"/>
        </w:rPr>
        <w:t>El Ayuntamiento de Barañáin no calcula ni publica el periodo medio de pago a proveedores por lo que no fue posible determinar el cumpl</w:t>
      </w:r>
      <w:r>
        <w:rPr>
          <w:spacing w:val="6"/>
          <w:sz w:val="26"/>
          <w:szCs w:val="24"/>
        </w:rPr>
        <w:t>i</w:t>
      </w:r>
      <w:r>
        <w:rPr>
          <w:spacing w:val="6"/>
          <w:sz w:val="26"/>
          <w:szCs w:val="24"/>
        </w:rPr>
        <w:t>miento de esta regla. Por último, el Ayuntamiento de Fitero no consolidó sus datos con los de su organismo autónomo a los efectos de los cálculos de los o</w:t>
      </w:r>
      <w:r>
        <w:rPr>
          <w:spacing w:val="6"/>
          <w:sz w:val="26"/>
          <w:szCs w:val="24"/>
        </w:rPr>
        <w:t>b</w:t>
      </w:r>
      <w:r>
        <w:rPr>
          <w:spacing w:val="6"/>
          <w:sz w:val="26"/>
          <w:szCs w:val="24"/>
        </w:rPr>
        <w:t>jetivos de estabilidad presupuestaria y sostenibilidad financiera. Según el cálculo realizado por la Cámara con los datos consolidados dicho ayuntamiento incumple la regla de gasto.</w:t>
      </w:r>
    </w:p>
    <w:p w:rsidR="00EC4F97" w:rsidRDefault="00EC4F97" w:rsidP="00EC4F97">
      <w:pPr>
        <w:pStyle w:val="texto"/>
        <w:spacing w:before="240"/>
      </w:pPr>
      <w:r w:rsidRPr="00C15393">
        <w:t xml:space="preserve">Por otro lado, la Cámara de Comptos realizó </w:t>
      </w:r>
      <w:r>
        <w:t>siete</w:t>
      </w:r>
      <w:r w:rsidRPr="00C15393">
        <w:t xml:space="preserve"> informes que afectaban a la actividad de 201</w:t>
      </w:r>
      <w:r>
        <w:t>7</w:t>
      </w:r>
      <w:r w:rsidRPr="00C15393">
        <w:t xml:space="preserve"> de entidades del sector local</w:t>
      </w:r>
      <w:r>
        <w:t xml:space="preserve"> sobre los siguientes aspectos:</w:t>
      </w:r>
    </w:p>
    <w:p w:rsidR="00EC4F97" w:rsidRPr="00B266F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B266F8">
        <w:rPr>
          <w:rFonts w:cs="Arial"/>
          <w:i/>
        </w:rPr>
        <w:t>Contratación de personal en la sociedad pública Servicios de la Comarca de Pamplona S.A., 2012 a 2017.</w:t>
      </w:r>
    </w:p>
    <w:p w:rsidR="00EC4F97" w:rsidRPr="00B266F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B266F8">
        <w:rPr>
          <w:rFonts w:cs="Arial"/>
          <w:i/>
        </w:rPr>
        <w:t>Fondo de participación de las haciendas locales en los tributos, 2009-2018.</w:t>
      </w:r>
    </w:p>
    <w:p w:rsidR="00EC4F97" w:rsidRPr="00B266F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B266F8">
        <w:rPr>
          <w:rFonts w:cs="Arial"/>
          <w:i/>
        </w:rPr>
        <w:t>Contratación administrativa en ayuntamientos con población superior a 9.000 habitantes, ejercicios 2016 y 2017.</w:t>
      </w:r>
    </w:p>
    <w:p w:rsidR="00EC4F97" w:rsidRPr="00B266F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B266F8">
        <w:rPr>
          <w:rFonts w:cs="Arial"/>
          <w:i/>
        </w:rPr>
        <w:t>Seguimiento de recomendaciones en Ayuntamientos con población sup</w:t>
      </w:r>
      <w:r w:rsidRPr="00B266F8">
        <w:rPr>
          <w:rFonts w:cs="Arial"/>
          <w:i/>
        </w:rPr>
        <w:t>e</w:t>
      </w:r>
      <w:r w:rsidRPr="00B266F8">
        <w:rPr>
          <w:rFonts w:cs="Arial"/>
          <w:i/>
        </w:rPr>
        <w:t>rior a 9.000 habitantes.</w:t>
      </w:r>
    </w:p>
    <w:p w:rsidR="00EC4F97" w:rsidRPr="00B266F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B266F8">
        <w:rPr>
          <w:rFonts w:cs="Arial"/>
          <w:i/>
        </w:rPr>
        <w:t>Reparos emitidos por el personal de la Intervención de las entidades loc</w:t>
      </w:r>
      <w:r w:rsidRPr="00B266F8">
        <w:rPr>
          <w:rFonts w:cs="Arial"/>
          <w:i/>
        </w:rPr>
        <w:t>a</w:t>
      </w:r>
      <w:r w:rsidRPr="00B266F8">
        <w:rPr>
          <w:rFonts w:cs="Arial"/>
          <w:i/>
        </w:rPr>
        <w:t>les de Navarra, 2017.</w:t>
      </w:r>
    </w:p>
    <w:p w:rsidR="00EC4F97" w:rsidRPr="00B266F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B266F8">
        <w:rPr>
          <w:rFonts w:cs="Arial"/>
          <w:i/>
        </w:rPr>
        <w:t>Convenios urbanísticos expropiatorios sobre el paraje de Oncineda, (Ayuntamiento de Estella-Lizarra)</w:t>
      </w:r>
      <w:r>
        <w:rPr>
          <w:rFonts w:cs="Arial"/>
          <w:i/>
        </w:rPr>
        <w:t>.</w:t>
      </w:r>
    </w:p>
    <w:p w:rsidR="00EC4F97" w:rsidRPr="00B266F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B266F8">
        <w:rPr>
          <w:rFonts w:cs="Arial"/>
          <w:i/>
        </w:rPr>
        <w:t>Elección del sistema de abastecimiento de agua en alta de la Mancomun</w:t>
      </w:r>
      <w:r w:rsidRPr="00B266F8">
        <w:rPr>
          <w:rFonts w:cs="Arial"/>
          <w:i/>
        </w:rPr>
        <w:t>i</w:t>
      </w:r>
      <w:r w:rsidRPr="00B266F8">
        <w:rPr>
          <w:rFonts w:cs="Arial"/>
          <w:i/>
        </w:rPr>
        <w:t>dad de Mairaga.</w:t>
      </w:r>
    </w:p>
    <w:p w:rsidR="00EC4F97" w:rsidRDefault="00EC4F97" w:rsidP="00EC4F97">
      <w:pPr>
        <w:spacing w:after="0"/>
        <w:ind w:firstLine="0"/>
        <w:jc w:val="left"/>
        <w:rPr>
          <w:rFonts w:cs="Arial"/>
          <w:spacing w:val="6"/>
          <w:sz w:val="26"/>
          <w:szCs w:val="24"/>
        </w:rPr>
      </w:pPr>
      <w:r>
        <w:rPr>
          <w:rFonts w:cs="Arial"/>
          <w:spacing w:val="6"/>
          <w:sz w:val="26"/>
          <w:szCs w:val="24"/>
        </w:rPr>
        <w:br w:type="page"/>
      </w:r>
    </w:p>
    <w:p w:rsidR="00EC4F97" w:rsidRDefault="00EC4F97" w:rsidP="00EC4F97">
      <w:pPr>
        <w:pStyle w:val="atitulo1"/>
      </w:pPr>
      <w:bookmarkStart w:id="49" w:name="_Toc24100142"/>
      <w:bookmarkStart w:id="50" w:name="_Toc24451740"/>
      <w:r>
        <w:t>V</w:t>
      </w:r>
      <w:r w:rsidRPr="00F57538">
        <w:t xml:space="preserve">. </w:t>
      </w:r>
      <w:r>
        <w:t>Situación financiera del</w:t>
      </w:r>
      <w:r w:rsidRPr="00F57538">
        <w:t xml:space="preserve"> </w:t>
      </w:r>
      <w:r>
        <w:t>s</w:t>
      </w:r>
      <w:r w:rsidRPr="00F57538">
        <w:t xml:space="preserve">ector </w:t>
      </w:r>
      <w:r>
        <w:t>p</w:t>
      </w:r>
      <w:r w:rsidRPr="00F57538">
        <w:t xml:space="preserve">úblico </w:t>
      </w:r>
      <w:r>
        <w:t>l</w:t>
      </w:r>
      <w:r w:rsidRPr="00F57538">
        <w:t>ocal</w:t>
      </w:r>
      <w:bookmarkEnd w:id="49"/>
      <w:bookmarkEnd w:id="50"/>
    </w:p>
    <w:p w:rsidR="00EC4F97" w:rsidRPr="00B15970" w:rsidRDefault="00EC4F97" w:rsidP="00EC4F97">
      <w:pPr>
        <w:pStyle w:val="texto"/>
        <w:spacing w:after="200"/>
      </w:pPr>
      <w:r>
        <w:t>En el informe</w:t>
      </w:r>
      <w:r w:rsidRPr="00B15970">
        <w:t xml:space="preserve"> del sector público local del año 2017 que adjuntamos </w:t>
      </w:r>
      <w:r>
        <w:t>en el Anexo 2 de este informe s</w:t>
      </w:r>
      <w:r w:rsidRPr="00B15970">
        <w:t xml:space="preserve">e presenta la información consolidada de los entes locales (municipios, concejos, mancomunidades y agrupaciones tradicionales y municipales) con sus organismos autónomos. </w:t>
      </w:r>
    </w:p>
    <w:p w:rsidR="00EC4F97" w:rsidRPr="00835DDC" w:rsidRDefault="00EC4F97" w:rsidP="00EC4F97">
      <w:pPr>
        <w:pStyle w:val="atitulo2"/>
        <w:spacing w:before="200" w:after="120"/>
        <w:rPr>
          <w:bCs w:val="0"/>
          <w:iCs w:val="0"/>
        </w:rPr>
      </w:pPr>
      <w:bookmarkStart w:id="51" w:name="_Toc465686688"/>
      <w:bookmarkStart w:id="52" w:name="_Toc529773882"/>
      <w:bookmarkStart w:id="53" w:name="_Toc24100143"/>
      <w:bookmarkStart w:id="54" w:name="_Toc24451741"/>
      <w:r w:rsidRPr="00835DDC">
        <w:rPr>
          <w:bCs w:val="0"/>
          <w:iCs w:val="0"/>
        </w:rPr>
        <w:t>V.1. Ingresos</w:t>
      </w:r>
      <w:bookmarkEnd w:id="51"/>
      <w:bookmarkEnd w:id="52"/>
      <w:bookmarkEnd w:id="53"/>
      <w:bookmarkEnd w:id="54"/>
    </w:p>
    <w:p w:rsidR="00EC4F97" w:rsidRDefault="00EC4F97" w:rsidP="00EC4F97">
      <w:pPr>
        <w:pStyle w:val="texto"/>
        <w:spacing w:before="120" w:after="60"/>
      </w:pPr>
      <w:r w:rsidRPr="007E3BFE">
        <w:t>Se muestra a continuación la ejecución presupuestaria de los ingresos del sector público local:</w:t>
      </w:r>
    </w:p>
    <w:p w:rsidR="00EC4F97" w:rsidRPr="0050032C" w:rsidRDefault="00EC4F97" w:rsidP="00EC4F97">
      <w:pPr>
        <w:pStyle w:val="texto"/>
        <w:spacing w:after="40"/>
        <w:jc w:val="right"/>
        <w:rPr>
          <w:sz w:val="20"/>
          <w:szCs w:val="20"/>
        </w:rPr>
      </w:pPr>
      <w:r w:rsidRPr="0050032C">
        <w:rPr>
          <w:sz w:val="20"/>
          <w:szCs w:val="20"/>
        </w:rPr>
        <w:t>(en millones de euros)</w:t>
      </w:r>
    </w:p>
    <w:tbl>
      <w:tblPr>
        <w:tblW w:w="9026" w:type="dxa"/>
        <w:jc w:val="center"/>
        <w:tblLook w:val="01E0" w:firstRow="1" w:lastRow="1" w:firstColumn="1" w:lastColumn="1" w:noHBand="0" w:noVBand="0"/>
      </w:tblPr>
      <w:tblGrid>
        <w:gridCol w:w="305"/>
        <w:gridCol w:w="3271"/>
        <w:gridCol w:w="1181"/>
        <w:gridCol w:w="1007"/>
        <w:gridCol w:w="1076"/>
        <w:gridCol w:w="1009"/>
        <w:gridCol w:w="1177"/>
      </w:tblGrid>
      <w:tr w:rsidR="00EC4F97" w:rsidRPr="003800C3" w:rsidTr="00422AD9">
        <w:trPr>
          <w:trHeight w:val="255"/>
          <w:jc w:val="center"/>
        </w:trPr>
        <w:tc>
          <w:tcPr>
            <w:tcW w:w="3576" w:type="dxa"/>
            <w:gridSpan w:val="2"/>
            <w:tcBorders>
              <w:top w:val="single" w:sz="4" w:space="0" w:color="auto"/>
              <w:bottom w:val="single" w:sz="4" w:space="0" w:color="auto"/>
            </w:tcBorders>
            <w:shd w:val="clear" w:color="auto" w:fill="FBD4B4" w:themeFill="accent6" w:themeFillTint="66"/>
            <w:vAlign w:val="center"/>
          </w:tcPr>
          <w:p w:rsidR="00EC4F97" w:rsidRPr="00657C67" w:rsidRDefault="00EC4F97" w:rsidP="00422AD9">
            <w:pPr>
              <w:keepLines/>
              <w:tabs>
                <w:tab w:val="right" w:pos="2835"/>
                <w:tab w:val="left" w:pos="3046"/>
                <w:tab w:val="right" w:pos="3969"/>
                <w:tab w:val="right" w:pos="5103"/>
                <w:tab w:val="right" w:pos="6237"/>
                <w:tab w:val="right" w:pos="7371"/>
              </w:tabs>
              <w:spacing w:after="0"/>
              <w:ind w:right="122" w:firstLine="0"/>
              <w:jc w:val="left"/>
              <w:rPr>
                <w:rFonts w:ascii="Arial" w:hAnsi="Arial"/>
                <w:spacing w:val="6"/>
                <w:sz w:val="16"/>
                <w:szCs w:val="16"/>
              </w:rPr>
            </w:pPr>
            <w:r w:rsidRPr="00657C67">
              <w:rPr>
                <w:rFonts w:ascii="Arial" w:hAnsi="Arial"/>
                <w:spacing w:val="6"/>
                <w:sz w:val="16"/>
                <w:szCs w:val="16"/>
              </w:rPr>
              <w:t>Capítulo</w:t>
            </w:r>
          </w:p>
        </w:tc>
        <w:tc>
          <w:tcPr>
            <w:tcW w:w="1181" w:type="dxa"/>
            <w:tcBorders>
              <w:top w:val="single" w:sz="4" w:space="0" w:color="auto"/>
              <w:bottom w:val="single" w:sz="4" w:space="0" w:color="auto"/>
            </w:tcBorders>
            <w:shd w:val="clear" w:color="auto" w:fill="FBD4B4" w:themeFill="accent6" w:themeFillTint="66"/>
            <w:vAlign w:val="center"/>
          </w:tcPr>
          <w:p w:rsidR="00EC4F97" w:rsidRPr="00657C67"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657C67">
              <w:rPr>
                <w:rFonts w:ascii="Arial" w:hAnsi="Arial"/>
                <w:spacing w:val="6"/>
                <w:sz w:val="16"/>
                <w:szCs w:val="16"/>
              </w:rPr>
              <w:t>Previsiones definitivas</w:t>
            </w:r>
          </w:p>
        </w:tc>
        <w:tc>
          <w:tcPr>
            <w:tcW w:w="1007" w:type="dxa"/>
            <w:tcBorders>
              <w:top w:val="single" w:sz="4" w:space="0" w:color="auto"/>
              <w:bottom w:val="single" w:sz="4" w:space="0" w:color="auto"/>
            </w:tcBorders>
            <w:shd w:val="clear" w:color="auto" w:fill="FBD4B4" w:themeFill="accent6" w:themeFillTint="66"/>
            <w:vAlign w:val="center"/>
          </w:tcPr>
          <w:p w:rsidR="00EC4F97" w:rsidRPr="00657C67"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657C67">
              <w:rPr>
                <w:rFonts w:ascii="Arial" w:hAnsi="Arial"/>
                <w:spacing w:val="6"/>
                <w:sz w:val="16"/>
                <w:szCs w:val="16"/>
              </w:rPr>
              <w:t>Ingresos 2017</w:t>
            </w:r>
          </w:p>
        </w:tc>
        <w:tc>
          <w:tcPr>
            <w:tcW w:w="1076" w:type="dxa"/>
            <w:tcBorders>
              <w:top w:val="single" w:sz="4" w:space="0" w:color="auto"/>
              <w:bottom w:val="single" w:sz="4" w:space="0" w:color="auto"/>
            </w:tcBorders>
            <w:shd w:val="clear" w:color="auto" w:fill="FBD4B4" w:themeFill="accent6" w:themeFillTint="66"/>
            <w:vAlign w:val="center"/>
          </w:tcPr>
          <w:p w:rsidR="00EC4F97" w:rsidRPr="00657C67"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657C67">
              <w:rPr>
                <w:rFonts w:ascii="Arial" w:hAnsi="Arial"/>
                <w:spacing w:val="6"/>
                <w:sz w:val="16"/>
                <w:szCs w:val="16"/>
              </w:rPr>
              <w:t xml:space="preserve">% s/ total </w:t>
            </w:r>
          </w:p>
          <w:p w:rsidR="00EC4F97" w:rsidRPr="00657C67"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657C67">
              <w:rPr>
                <w:rFonts w:ascii="Arial" w:hAnsi="Arial"/>
                <w:spacing w:val="6"/>
                <w:sz w:val="16"/>
                <w:szCs w:val="16"/>
              </w:rPr>
              <w:t>ingresos</w:t>
            </w:r>
          </w:p>
        </w:tc>
        <w:tc>
          <w:tcPr>
            <w:tcW w:w="1009" w:type="dxa"/>
            <w:tcBorders>
              <w:top w:val="single" w:sz="4" w:space="0" w:color="auto"/>
              <w:bottom w:val="single" w:sz="4" w:space="0" w:color="auto"/>
            </w:tcBorders>
            <w:shd w:val="clear" w:color="auto" w:fill="FBD4B4" w:themeFill="accent6" w:themeFillTint="66"/>
            <w:vAlign w:val="center"/>
          </w:tcPr>
          <w:p w:rsidR="00EC4F97" w:rsidRPr="00657C67"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657C67">
              <w:rPr>
                <w:rFonts w:ascii="Arial" w:hAnsi="Arial"/>
                <w:spacing w:val="6"/>
                <w:sz w:val="16"/>
                <w:szCs w:val="16"/>
              </w:rPr>
              <w:t xml:space="preserve">%      </w:t>
            </w:r>
            <w:r>
              <w:rPr>
                <w:rFonts w:ascii="Arial" w:hAnsi="Arial"/>
                <w:spacing w:val="6"/>
                <w:sz w:val="16"/>
                <w:szCs w:val="16"/>
              </w:rPr>
              <w:t>E</w:t>
            </w:r>
            <w:r w:rsidRPr="00657C67">
              <w:rPr>
                <w:rFonts w:ascii="Arial" w:hAnsi="Arial"/>
                <w:spacing w:val="6"/>
                <w:sz w:val="16"/>
                <w:szCs w:val="16"/>
              </w:rPr>
              <w:t>jecución</w:t>
            </w:r>
          </w:p>
        </w:tc>
        <w:tc>
          <w:tcPr>
            <w:tcW w:w="1177" w:type="dxa"/>
            <w:tcBorders>
              <w:top w:val="single" w:sz="4" w:space="0" w:color="auto"/>
              <w:bottom w:val="single" w:sz="4" w:space="0" w:color="auto"/>
            </w:tcBorders>
            <w:shd w:val="clear" w:color="auto" w:fill="FBD4B4" w:themeFill="accent6" w:themeFillTint="66"/>
            <w:vAlign w:val="center"/>
          </w:tcPr>
          <w:p w:rsidR="00EC4F97" w:rsidRPr="00657C67"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657C67">
              <w:rPr>
                <w:rFonts w:ascii="Arial" w:hAnsi="Arial"/>
                <w:spacing w:val="6"/>
                <w:sz w:val="16"/>
                <w:szCs w:val="16"/>
              </w:rPr>
              <w:t xml:space="preserve">% </w:t>
            </w:r>
            <w:r>
              <w:rPr>
                <w:rFonts w:ascii="Arial" w:hAnsi="Arial"/>
                <w:spacing w:val="6"/>
                <w:sz w:val="16"/>
                <w:szCs w:val="16"/>
              </w:rPr>
              <w:t>V</w:t>
            </w:r>
            <w:r w:rsidRPr="00657C67">
              <w:rPr>
                <w:rFonts w:ascii="Arial" w:hAnsi="Arial"/>
                <w:spacing w:val="6"/>
                <w:sz w:val="16"/>
                <w:szCs w:val="16"/>
              </w:rPr>
              <w:t>ariación ingresos 2017/16</w:t>
            </w:r>
          </w:p>
        </w:tc>
      </w:tr>
      <w:tr w:rsidR="00EC4F97" w:rsidRPr="007E3BFE" w:rsidTr="00422AD9">
        <w:trPr>
          <w:trHeight w:val="198"/>
          <w:jc w:val="center"/>
        </w:trPr>
        <w:tc>
          <w:tcPr>
            <w:tcW w:w="305" w:type="dxa"/>
            <w:tcBorders>
              <w:top w:val="single" w:sz="4" w:space="0" w:color="auto"/>
              <w:bottom w:val="single" w:sz="2"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1</w:t>
            </w:r>
          </w:p>
        </w:tc>
        <w:tc>
          <w:tcPr>
            <w:tcW w:w="3271" w:type="dxa"/>
            <w:tcBorders>
              <w:top w:val="single" w:sz="4" w:space="0" w:color="auto"/>
              <w:bottom w:val="single" w:sz="2"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Impuestos directos</w:t>
            </w:r>
          </w:p>
        </w:tc>
        <w:tc>
          <w:tcPr>
            <w:tcW w:w="1181" w:type="dxa"/>
            <w:tcBorders>
              <w:top w:val="single" w:sz="4"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F3408F">
              <w:rPr>
                <w:rFonts w:ascii="Arial Narrow" w:hAnsi="Arial Narrow"/>
                <w:spacing w:val="6"/>
                <w:sz w:val="18"/>
                <w:szCs w:val="18"/>
              </w:rPr>
              <w:t>184,43</w:t>
            </w:r>
          </w:p>
        </w:tc>
        <w:tc>
          <w:tcPr>
            <w:tcW w:w="1007" w:type="dxa"/>
            <w:tcBorders>
              <w:top w:val="single" w:sz="4"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F3408F">
              <w:rPr>
                <w:rFonts w:ascii="Arial Narrow" w:hAnsi="Arial Narrow"/>
                <w:spacing w:val="6"/>
                <w:sz w:val="18"/>
                <w:szCs w:val="18"/>
              </w:rPr>
              <w:t>186,33</w:t>
            </w:r>
          </w:p>
        </w:tc>
        <w:tc>
          <w:tcPr>
            <w:tcW w:w="1076" w:type="dxa"/>
            <w:tcBorders>
              <w:top w:val="single" w:sz="4"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23,95</w:t>
            </w:r>
          </w:p>
        </w:tc>
        <w:tc>
          <w:tcPr>
            <w:tcW w:w="1009" w:type="dxa"/>
            <w:tcBorders>
              <w:top w:val="single" w:sz="4"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101</w:t>
            </w:r>
          </w:p>
        </w:tc>
        <w:tc>
          <w:tcPr>
            <w:tcW w:w="1177" w:type="dxa"/>
            <w:tcBorders>
              <w:top w:val="single" w:sz="4"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EF3C45">
              <w:rPr>
                <w:rFonts w:ascii="Arial Narrow" w:hAnsi="Arial Narrow"/>
                <w:spacing w:val="6"/>
                <w:sz w:val="18"/>
                <w:szCs w:val="18"/>
              </w:rPr>
              <w:t>-5</w:t>
            </w:r>
          </w:p>
        </w:tc>
      </w:tr>
      <w:tr w:rsidR="00EC4F97" w:rsidRPr="007E3BFE" w:rsidTr="00422AD9">
        <w:trPr>
          <w:trHeight w:val="198"/>
          <w:jc w:val="center"/>
        </w:trPr>
        <w:tc>
          <w:tcPr>
            <w:tcW w:w="305" w:type="dxa"/>
            <w:tcBorders>
              <w:top w:val="single" w:sz="2" w:space="0" w:color="auto"/>
              <w:bottom w:val="single" w:sz="2"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2</w:t>
            </w:r>
          </w:p>
        </w:tc>
        <w:tc>
          <w:tcPr>
            <w:tcW w:w="3271" w:type="dxa"/>
            <w:tcBorders>
              <w:top w:val="single" w:sz="2" w:space="0" w:color="auto"/>
              <w:bottom w:val="single" w:sz="2"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Impuestos indirectos</w:t>
            </w:r>
          </w:p>
        </w:tc>
        <w:tc>
          <w:tcPr>
            <w:tcW w:w="1181" w:type="dxa"/>
            <w:tcBorders>
              <w:top w:val="single" w:sz="2"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F3408F">
              <w:rPr>
                <w:rFonts w:ascii="Arial Narrow" w:hAnsi="Arial Narrow"/>
                <w:spacing w:val="6"/>
                <w:sz w:val="18"/>
                <w:szCs w:val="18"/>
              </w:rPr>
              <w:t>15,72</w:t>
            </w:r>
          </w:p>
        </w:tc>
        <w:tc>
          <w:tcPr>
            <w:tcW w:w="1007" w:type="dxa"/>
            <w:tcBorders>
              <w:top w:val="single" w:sz="2"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F3408F">
              <w:rPr>
                <w:rFonts w:ascii="Arial Narrow" w:hAnsi="Arial Narrow"/>
                <w:spacing w:val="6"/>
                <w:sz w:val="18"/>
                <w:szCs w:val="18"/>
              </w:rPr>
              <w:t>19,97</w:t>
            </w:r>
          </w:p>
        </w:tc>
        <w:tc>
          <w:tcPr>
            <w:tcW w:w="1076" w:type="dxa"/>
            <w:tcBorders>
              <w:top w:val="single" w:sz="2"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2,57</w:t>
            </w:r>
          </w:p>
        </w:tc>
        <w:tc>
          <w:tcPr>
            <w:tcW w:w="1009" w:type="dxa"/>
            <w:tcBorders>
              <w:top w:val="single" w:sz="2"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127</w:t>
            </w:r>
          </w:p>
        </w:tc>
        <w:tc>
          <w:tcPr>
            <w:tcW w:w="1177" w:type="dxa"/>
            <w:tcBorders>
              <w:top w:val="single" w:sz="2"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EF3C45">
              <w:rPr>
                <w:rFonts w:ascii="Arial Narrow" w:hAnsi="Arial Narrow"/>
                <w:spacing w:val="6"/>
                <w:sz w:val="18"/>
                <w:szCs w:val="18"/>
              </w:rPr>
              <w:t>7</w:t>
            </w:r>
          </w:p>
        </w:tc>
      </w:tr>
      <w:tr w:rsidR="00EC4F97" w:rsidRPr="007E3BFE" w:rsidTr="00422AD9">
        <w:trPr>
          <w:trHeight w:val="198"/>
          <w:jc w:val="center"/>
        </w:trPr>
        <w:tc>
          <w:tcPr>
            <w:tcW w:w="305" w:type="dxa"/>
            <w:tcBorders>
              <w:top w:val="single" w:sz="2" w:space="0" w:color="auto"/>
              <w:bottom w:val="single" w:sz="2"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3</w:t>
            </w:r>
          </w:p>
        </w:tc>
        <w:tc>
          <w:tcPr>
            <w:tcW w:w="3271" w:type="dxa"/>
            <w:tcBorders>
              <w:top w:val="single" w:sz="2" w:space="0" w:color="auto"/>
              <w:bottom w:val="single" w:sz="2"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Tasas, precios públicos y otros ingresos</w:t>
            </w:r>
          </w:p>
        </w:tc>
        <w:tc>
          <w:tcPr>
            <w:tcW w:w="1181" w:type="dxa"/>
            <w:tcBorders>
              <w:top w:val="single" w:sz="2"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pacing w:val="6"/>
                <w:sz w:val="18"/>
                <w:szCs w:val="18"/>
              </w:rPr>
              <w:t>150,65</w:t>
            </w:r>
          </w:p>
        </w:tc>
        <w:tc>
          <w:tcPr>
            <w:tcW w:w="1007" w:type="dxa"/>
            <w:tcBorders>
              <w:top w:val="single" w:sz="2"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F3408F">
              <w:rPr>
                <w:rFonts w:ascii="Arial Narrow" w:hAnsi="Arial Narrow"/>
                <w:spacing w:val="6"/>
                <w:sz w:val="18"/>
                <w:szCs w:val="18"/>
              </w:rPr>
              <w:t>159,11</w:t>
            </w:r>
          </w:p>
        </w:tc>
        <w:tc>
          <w:tcPr>
            <w:tcW w:w="1076" w:type="dxa"/>
            <w:tcBorders>
              <w:top w:val="single" w:sz="2"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20,45</w:t>
            </w:r>
          </w:p>
        </w:tc>
        <w:tc>
          <w:tcPr>
            <w:tcW w:w="1009" w:type="dxa"/>
            <w:tcBorders>
              <w:top w:val="single" w:sz="2"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106</w:t>
            </w:r>
          </w:p>
        </w:tc>
        <w:tc>
          <w:tcPr>
            <w:tcW w:w="1177" w:type="dxa"/>
            <w:tcBorders>
              <w:top w:val="single" w:sz="2"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EF3C45">
              <w:rPr>
                <w:rFonts w:ascii="Arial Narrow" w:hAnsi="Arial Narrow"/>
                <w:spacing w:val="6"/>
                <w:sz w:val="18"/>
                <w:szCs w:val="18"/>
              </w:rPr>
              <w:t>1</w:t>
            </w:r>
          </w:p>
        </w:tc>
      </w:tr>
      <w:tr w:rsidR="00EC4F97" w:rsidRPr="007E3BFE" w:rsidTr="00422AD9">
        <w:trPr>
          <w:trHeight w:val="198"/>
          <w:jc w:val="center"/>
        </w:trPr>
        <w:tc>
          <w:tcPr>
            <w:tcW w:w="305" w:type="dxa"/>
            <w:tcBorders>
              <w:top w:val="single" w:sz="2" w:space="0" w:color="auto"/>
              <w:bottom w:val="single" w:sz="2"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4</w:t>
            </w:r>
          </w:p>
        </w:tc>
        <w:tc>
          <w:tcPr>
            <w:tcW w:w="3271" w:type="dxa"/>
            <w:tcBorders>
              <w:top w:val="single" w:sz="2" w:space="0" w:color="auto"/>
              <w:bottom w:val="single" w:sz="2"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Transferencias corrientes</w:t>
            </w:r>
          </w:p>
        </w:tc>
        <w:tc>
          <w:tcPr>
            <w:tcW w:w="1181" w:type="dxa"/>
            <w:tcBorders>
              <w:top w:val="single" w:sz="2"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F3408F">
              <w:rPr>
                <w:rFonts w:ascii="Arial Narrow" w:hAnsi="Arial Narrow"/>
                <w:spacing w:val="6"/>
                <w:sz w:val="18"/>
                <w:szCs w:val="18"/>
              </w:rPr>
              <w:t>309,67</w:t>
            </w:r>
          </w:p>
        </w:tc>
        <w:tc>
          <w:tcPr>
            <w:tcW w:w="1007" w:type="dxa"/>
            <w:tcBorders>
              <w:top w:val="single" w:sz="2"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F3408F">
              <w:rPr>
                <w:rFonts w:ascii="Arial Narrow" w:hAnsi="Arial Narrow"/>
                <w:spacing w:val="6"/>
                <w:sz w:val="18"/>
                <w:szCs w:val="18"/>
              </w:rPr>
              <w:t>307,94</w:t>
            </w:r>
          </w:p>
        </w:tc>
        <w:tc>
          <w:tcPr>
            <w:tcW w:w="1076" w:type="dxa"/>
            <w:tcBorders>
              <w:top w:val="single" w:sz="2"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39,57</w:t>
            </w:r>
          </w:p>
        </w:tc>
        <w:tc>
          <w:tcPr>
            <w:tcW w:w="1009" w:type="dxa"/>
            <w:tcBorders>
              <w:top w:val="single" w:sz="2"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99</w:t>
            </w:r>
          </w:p>
        </w:tc>
        <w:tc>
          <w:tcPr>
            <w:tcW w:w="1177" w:type="dxa"/>
            <w:tcBorders>
              <w:top w:val="single" w:sz="2"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EF3C45">
              <w:rPr>
                <w:rFonts w:ascii="Arial Narrow" w:hAnsi="Arial Narrow"/>
                <w:spacing w:val="6"/>
                <w:sz w:val="18"/>
                <w:szCs w:val="18"/>
              </w:rPr>
              <w:t>1</w:t>
            </w:r>
          </w:p>
        </w:tc>
      </w:tr>
      <w:tr w:rsidR="00EC4F97" w:rsidRPr="007E3BFE" w:rsidTr="00422AD9">
        <w:trPr>
          <w:trHeight w:val="198"/>
          <w:jc w:val="center"/>
        </w:trPr>
        <w:tc>
          <w:tcPr>
            <w:tcW w:w="305" w:type="dxa"/>
            <w:tcBorders>
              <w:top w:val="single" w:sz="2" w:space="0" w:color="auto"/>
              <w:bottom w:val="single" w:sz="4"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5</w:t>
            </w:r>
          </w:p>
        </w:tc>
        <w:tc>
          <w:tcPr>
            <w:tcW w:w="3271" w:type="dxa"/>
            <w:tcBorders>
              <w:top w:val="single" w:sz="2" w:space="0" w:color="auto"/>
              <w:bottom w:val="single" w:sz="4"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Ingresos patrimoniales</w:t>
            </w:r>
          </w:p>
        </w:tc>
        <w:tc>
          <w:tcPr>
            <w:tcW w:w="1181" w:type="dxa"/>
            <w:tcBorders>
              <w:top w:val="single" w:sz="2" w:space="0" w:color="auto"/>
              <w:bottom w:val="single" w:sz="4"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F3408F">
              <w:rPr>
                <w:rFonts w:ascii="Arial Narrow" w:hAnsi="Arial Narrow"/>
                <w:spacing w:val="6"/>
                <w:sz w:val="18"/>
                <w:szCs w:val="18"/>
              </w:rPr>
              <w:t>44,35</w:t>
            </w:r>
          </w:p>
        </w:tc>
        <w:tc>
          <w:tcPr>
            <w:tcW w:w="1007" w:type="dxa"/>
            <w:tcBorders>
              <w:top w:val="single" w:sz="2" w:space="0" w:color="auto"/>
              <w:bottom w:val="single" w:sz="4"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F3408F">
              <w:rPr>
                <w:rFonts w:ascii="Arial Narrow" w:hAnsi="Arial Narrow"/>
                <w:spacing w:val="6"/>
                <w:sz w:val="18"/>
                <w:szCs w:val="18"/>
              </w:rPr>
              <w:t>43,18</w:t>
            </w:r>
          </w:p>
        </w:tc>
        <w:tc>
          <w:tcPr>
            <w:tcW w:w="1076" w:type="dxa"/>
            <w:tcBorders>
              <w:top w:val="single" w:sz="2" w:space="0" w:color="auto"/>
              <w:bottom w:val="single" w:sz="4"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5,55</w:t>
            </w:r>
          </w:p>
        </w:tc>
        <w:tc>
          <w:tcPr>
            <w:tcW w:w="1009" w:type="dxa"/>
            <w:tcBorders>
              <w:top w:val="single" w:sz="2" w:space="0" w:color="auto"/>
              <w:bottom w:val="single" w:sz="4"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97</w:t>
            </w:r>
          </w:p>
        </w:tc>
        <w:tc>
          <w:tcPr>
            <w:tcW w:w="1177" w:type="dxa"/>
            <w:tcBorders>
              <w:top w:val="single" w:sz="2" w:space="0" w:color="auto"/>
              <w:bottom w:val="single" w:sz="4"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EF3C45">
              <w:rPr>
                <w:rFonts w:ascii="Arial Narrow" w:hAnsi="Arial Narrow"/>
                <w:spacing w:val="6"/>
                <w:sz w:val="18"/>
                <w:szCs w:val="18"/>
              </w:rPr>
              <w:t>-1</w:t>
            </w:r>
          </w:p>
        </w:tc>
      </w:tr>
      <w:tr w:rsidR="00EC4F97" w:rsidRPr="003800C3" w:rsidTr="00422AD9">
        <w:trPr>
          <w:trHeight w:val="255"/>
          <w:jc w:val="center"/>
        </w:trPr>
        <w:tc>
          <w:tcPr>
            <w:tcW w:w="305" w:type="dxa"/>
            <w:tcBorders>
              <w:top w:val="single" w:sz="4" w:space="0" w:color="auto"/>
              <w:bottom w:val="single" w:sz="4" w:space="0" w:color="auto"/>
            </w:tcBorders>
            <w:vAlign w:val="center"/>
          </w:tcPr>
          <w:p w:rsidR="00EC4F97" w:rsidRPr="0050032C"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w:hAnsi="Arial" w:cs="Arial"/>
                <w:spacing w:val="6"/>
                <w:sz w:val="16"/>
                <w:szCs w:val="16"/>
              </w:rPr>
            </w:pPr>
          </w:p>
        </w:tc>
        <w:tc>
          <w:tcPr>
            <w:tcW w:w="3271" w:type="dxa"/>
            <w:tcBorders>
              <w:top w:val="single" w:sz="4" w:space="0" w:color="auto"/>
              <w:bottom w:val="single" w:sz="4" w:space="0" w:color="auto"/>
            </w:tcBorders>
            <w:vAlign w:val="center"/>
          </w:tcPr>
          <w:p w:rsidR="00EC4F97" w:rsidRPr="0050032C"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w:hAnsi="Arial" w:cs="Arial"/>
                <w:spacing w:val="6"/>
                <w:sz w:val="16"/>
                <w:szCs w:val="16"/>
              </w:rPr>
            </w:pPr>
            <w:r w:rsidRPr="0050032C">
              <w:rPr>
                <w:rFonts w:ascii="Arial" w:hAnsi="Arial" w:cs="Arial"/>
                <w:spacing w:val="6"/>
                <w:sz w:val="16"/>
                <w:szCs w:val="16"/>
              </w:rPr>
              <w:t>Ingresos corrientes</w:t>
            </w:r>
          </w:p>
        </w:tc>
        <w:tc>
          <w:tcPr>
            <w:tcW w:w="1181" w:type="dxa"/>
            <w:tcBorders>
              <w:top w:val="single" w:sz="4" w:space="0" w:color="auto"/>
              <w:bottom w:val="single" w:sz="4" w:space="0" w:color="auto"/>
            </w:tcBorders>
            <w:vAlign w:val="center"/>
          </w:tcPr>
          <w:p w:rsidR="00EC4F97" w:rsidRPr="0050032C"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50032C">
              <w:rPr>
                <w:rFonts w:ascii="Arial" w:hAnsi="Arial" w:cs="Arial"/>
                <w:spacing w:val="6"/>
                <w:sz w:val="16"/>
                <w:szCs w:val="16"/>
              </w:rPr>
              <w:t>704,82</w:t>
            </w:r>
          </w:p>
        </w:tc>
        <w:tc>
          <w:tcPr>
            <w:tcW w:w="1007" w:type="dxa"/>
            <w:tcBorders>
              <w:top w:val="single" w:sz="4" w:space="0" w:color="auto"/>
              <w:bottom w:val="single" w:sz="4" w:space="0" w:color="auto"/>
            </w:tcBorders>
            <w:vAlign w:val="center"/>
          </w:tcPr>
          <w:p w:rsidR="00EC4F97" w:rsidRPr="0050032C"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50032C">
              <w:rPr>
                <w:rFonts w:ascii="Arial" w:hAnsi="Arial" w:cs="Arial"/>
                <w:spacing w:val="6"/>
                <w:sz w:val="16"/>
                <w:szCs w:val="16"/>
              </w:rPr>
              <w:t>716,53</w:t>
            </w:r>
          </w:p>
        </w:tc>
        <w:tc>
          <w:tcPr>
            <w:tcW w:w="1076" w:type="dxa"/>
            <w:tcBorders>
              <w:top w:val="single" w:sz="4" w:space="0" w:color="auto"/>
              <w:bottom w:val="single" w:sz="4" w:space="0" w:color="auto"/>
            </w:tcBorders>
            <w:vAlign w:val="center"/>
          </w:tcPr>
          <w:p w:rsidR="00EC4F97" w:rsidRPr="0050032C"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50032C">
              <w:rPr>
                <w:rFonts w:ascii="Arial" w:hAnsi="Arial" w:cs="Arial"/>
                <w:spacing w:val="6"/>
                <w:sz w:val="16"/>
                <w:szCs w:val="16"/>
              </w:rPr>
              <w:t>92,08</w:t>
            </w:r>
          </w:p>
        </w:tc>
        <w:tc>
          <w:tcPr>
            <w:tcW w:w="1009" w:type="dxa"/>
            <w:tcBorders>
              <w:top w:val="single" w:sz="4" w:space="0" w:color="auto"/>
              <w:bottom w:val="single" w:sz="4" w:space="0" w:color="auto"/>
            </w:tcBorders>
            <w:vAlign w:val="center"/>
          </w:tcPr>
          <w:p w:rsidR="00EC4F97" w:rsidRPr="0050032C"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50032C">
              <w:rPr>
                <w:rFonts w:ascii="Arial" w:hAnsi="Arial" w:cs="Arial"/>
                <w:spacing w:val="6"/>
                <w:sz w:val="16"/>
                <w:szCs w:val="16"/>
              </w:rPr>
              <w:t>102</w:t>
            </w:r>
          </w:p>
        </w:tc>
        <w:tc>
          <w:tcPr>
            <w:tcW w:w="1177" w:type="dxa"/>
            <w:tcBorders>
              <w:top w:val="single" w:sz="4" w:space="0" w:color="auto"/>
              <w:bottom w:val="single" w:sz="4" w:space="0" w:color="auto"/>
            </w:tcBorders>
            <w:vAlign w:val="center"/>
          </w:tcPr>
          <w:p w:rsidR="00EC4F97" w:rsidRPr="0050032C"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50032C">
              <w:rPr>
                <w:rFonts w:ascii="Arial" w:hAnsi="Arial" w:cs="Arial"/>
                <w:spacing w:val="6"/>
                <w:sz w:val="16"/>
                <w:szCs w:val="16"/>
              </w:rPr>
              <w:t>-0,4</w:t>
            </w:r>
          </w:p>
        </w:tc>
      </w:tr>
      <w:tr w:rsidR="00EC4F97" w:rsidRPr="007E3BFE" w:rsidTr="00422AD9">
        <w:trPr>
          <w:trHeight w:val="198"/>
          <w:jc w:val="center"/>
        </w:trPr>
        <w:tc>
          <w:tcPr>
            <w:tcW w:w="305" w:type="dxa"/>
            <w:tcBorders>
              <w:top w:val="single" w:sz="4" w:space="0" w:color="auto"/>
              <w:bottom w:val="single" w:sz="2"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6</w:t>
            </w:r>
          </w:p>
        </w:tc>
        <w:tc>
          <w:tcPr>
            <w:tcW w:w="3271" w:type="dxa"/>
            <w:tcBorders>
              <w:top w:val="single" w:sz="4" w:space="0" w:color="auto"/>
              <w:bottom w:val="single" w:sz="2"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Enajenación inversiones</w:t>
            </w:r>
          </w:p>
        </w:tc>
        <w:tc>
          <w:tcPr>
            <w:tcW w:w="1181" w:type="dxa"/>
            <w:tcBorders>
              <w:top w:val="single" w:sz="4"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F3408F">
              <w:rPr>
                <w:rFonts w:ascii="Arial Narrow" w:hAnsi="Arial Narrow"/>
                <w:spacing w:val="6"/>
                <w:sz w:val="18"/>
                <w:szCs w:val="18"/>
              </w:rPr>
              <w:t>10,01</w:t>
            </w:r>
          </w:p>
        </w:tc>
        <w:tc>
          <w:tcPr>
            <w:tcW w:w="1007" w:type="dxa"/>
            <w:tcBorders>
              <w:top w:val="single" w:sz="4"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F3408F">
              <w:rPr>
                <w:rFonts w:ascii="Arial Narrow" w:hAnsi="Arial Narrow"/>
                <w:spacing w:val="6"/>
                <w:sz w:val="18"/>
                <w:szCs w:val="18"/>
              </w:rPr>
              <w:t>14,59</w:t>
            </w:r>
          </w:p>
        </w:tc>
        <w:tc>
          <w:tcPr>
            <w:tcW w:w="1076" w:type="dxa"/>
            <w:tcBorders>
              <w:top w:val="single" w:sz="4"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1,87</w:t>
            </w:r>
          </w:p>
        </w:tc>
        <w:tc>
          <w:tcPr>
            <w:tcW w:w="1009" w:type="dxa"/>
            <w:tcBorders>
              <w:top w:val="single" w:sz="4"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146</w:t>
            </w:r>
          </w:p>
        </w:tc>
        <w:tc>
          <w:tcPr>
            <w:tcW w:w="1177" w:type="dxa"/>
            <w:tcBorders>
              <w:top w:val="single" w:sz="4"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EF3C45">
              <w:rPr>
                <w:rFonts w:ascii="Arial Narrow" w:hAnsi="Arial Narrow"/>
                <w:spacing w:val="6"/>
                <w:sz w:val="18"/>
                <w:szCs w:val="18"/>
              </w:rPr>
              <w:t>9</w:t>
            </w:r>
          </w:p>
        </w:tc>
      </w:tr>
      <w:tr w:rsidR="00EC4F97" w:rsidRPr="007E3BFE" w:rsidTr="0093035F">
        <w:trPr>
          <w:trHeight w:val="198"/>
          <w:jc w:val="center"/>
        </w:trPr>
        <w:tc>
          <w:tcPr>
            <w:tcW w:w="305" w:type="dxa"/>
            <w:tcBorders>
              <w:top w:val="single" w:sz="2" w:space="0" w:color="auto"/>
              <w:bottom w:val="single" w:sz="4"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7</w:t>
            </w:r>
          </w:p>
        </w:tc>
        <w:tc>
          <w:tcPr>
            <w:tcW w:w="3271" w:type="dxa"/>
            <w:tcBorders>
              <w:top w:val="single" w:sz="2" w:space="0" w:color="auto"/>
              <w:bottom w:val="single" w:sz="4"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Transferencias de capital</w:t>
            </w:r>
          </w:p>
        </w:tc>
        <w:tc>
          <w:tcPr>
            <w:tcW w:w="1181" w:type="dxa"/>
            <w:tcBorders>
              <w:top w:val="single" w:sz="2" w:space="0" w:color="auto"/>
              <w:bottom w:val="single" w:sz="4"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F3408F">
              <w:rPr>
                <w:rFonts w:ascii="Arial Narrow" w:hAnsi="Arial Narrow"/>
                <w:spacing w:val="6"/>
                <w:sz w:val="18"/>
                <w:szCs w:val="18"/>
              </w:rPr>
              <w:t>85,44</w:t>
            </w:r>
          </w:p>
        </w:tc>
        <w:tc>
          <w:tcPr>
            <w:tcW w:w="1007" w:type="dxa"/>
            <w:tcBorders>
              <w:top w:val="single" w:sz="2" w:space="0" w:color="auto"/>
              <w:bottom w:val="single" w:sz="4"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F3408F">
              <w:rPr>
                <w:rFonts w:ascii="Arial Narrow" w:hAnsi="Arial Narrow"/>
                <w:spacing w:val="6"/>
                <w:sz w:val="18"/>
                <w:szCs w:val="18"/>
              </w:rPr>
              <w:t>36,81</w:t>
            </w:r>
          </w:p>
        </w:tc>
        <w:tc>
          <w:tcPr>
            <w:tcW w:w="1076" w:type="dxa"/>
            <w:tcBorders>
              <w:top w:val="single" w:sz="2" w:space="0" w:color="auto"/>
              <w:bottom w:val="single" w:sz="4"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4,73</w:t>
            </w:r>
          </w:p>
        </w:tc>
        <w:tc>
          <w:tcPr>
            <w:tcW w:w="1009" w:type="dxa"/>
            <w:tcBorders>
              <w:top w:val="single" w:sz="2" w:space="0" w:color="auto"/>
              <w:bottom w:val="single" w:sz="4"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43</w:t>
            </w:r>
          </w:p>
        </w:tc>
        <w:tc>
          <w:tcPr>
            <w:tcW w:w="1177" w:type="dxa"/>
            <w:tcBorders>
              <w:top w:val="single" w:sz="2" w:space="0" w:color="auto"/>
              <w:bottom w:val="single" w:sz="4"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EF3C45">
              <w:rPr>
                <w:rFonts w:ascii="Arial Narrow" w:hAnsi="Arial Narrow"/>
                <w:spacing w:val="6"/>
                <w:sz w:val="18"/>
                <w:szCs w:val="18"/>
              </w:rPr>
              <w:t>47</w:t>
            </w:r>
          </w:p>
        </w:tc>
      </w:tr>
      <w:tr w:rsidR="00EC4F97" w:rsidRPr="003800C3" w:rsidTr="00422AD9">
        <w:trPr>
          <w:trHeight w:val="255"/>
          <w:jc w:val="center"/>
        </w:trPr>
        <w:tc>
          <w:tcPr>
            <w:tcW w:w="305" w:type="dxa"/>
            <w:tcBorders>
              <w:top w:val="single" w:sz="4" w:space="0" w:color="auto"/>
              <w:bottom w:val="single" w:sz="4" w:space="0" w:color="auto"/>
            </w:tcBorders>
            <w:vAlign w:val="center"/>
          </w:tcPr>
          <w:p w:rsidR="00EC4F97" w:rsidRPr="0050032C"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w:hAnsi="Arial" w:cs="Arial"/>
                <w:spacing w:val="6"/>
                <w:sz w:val="16"/>
                <w:szCs w:val="16"/>
              </w:rPr>
            </w:pPr>
          </w:p>
        </w:tc>
        <w:tc>
          <w:tcPr>
            <w:tcW w:w="3271" w:type="dxa"/>
            <w:tcBorders>
              <w:top w:val="single" w:sz="4" w:space="0" w:color="auto"/>
              <w:bottom w:val="single" w:sz="4" w:space="0" w:color="auto"/>
            </w:tcBorders>
            <w:vAlign w:val="center"/>
          </w:tcPr>
          <w:p w:rsidR="00EC4F97" w:rsidRPr="0050032C"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w:hAnsi="Arial" w:cs="Arial"/>
                <w:spacing w:val="6"/>
                <w:sz w:val="16"/>
                <w:szCs w:val="16"/>
              </w:rPr>
            </w:pPr>
            <w:r w:rsidRPr="0050032C">
              <w:rPr>
                <w:rFonts w:ascii="Arial" w:hAnsi="Arial" w:cs="Arial"/>
                <w:spacing w:val="6"/>
                <w:sz w:val="16"/>
                <w:szCs w:val="16"/>
              </w:rPr>
              <w:t>Ingresos de capital</w:t>
            </w:r>
          </w:p>
        </w:tc>
        <w:tc>
          <w:tcPr>
            <w:tcW w:w="1181" w:type="dxa"/>
            <w:tcBorders>
              <w:top w:val="single" w:sz="4" w:space="0" w:color="auto"/>
              <w:bottom w:val="single" w:sz="4" w:space="0" w:color="auto"/>
            </w:tcBorders>
            <w:vAlign w:val="center"/>
          </w:tcPr>
          <w:p w:rsidR="00EC4F97" w:rsidRPr="0050032C"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50032C">
              <w:rPr>
                <w:rFonts w:ascii="Arial" w:hAnsi="Arial" w:cs="Arial"/>
                <w:spacing w:val="6"/>
                <w:sz w:val="16"/>
                <w:szCs w:val="16"/>
              </w:rPr>
              <w:t>95,46</w:t>
            </w:r>
          </w:p>
        </w:tc>
        <w:tc>
          <w:tcPr>
            <w:tcW w:w="1007" w:type="dxa"/>
            <w:tcBorders>
              <w:top w:val="single" w:sz="4" w:space="0" w:color="auto"/>
              <w:bottom w:val="single" w:sz="4" w:space="0" w:color="auto"/>
            </w:tcBorders>
            <w:vAlign w:val="center"/>
          </w:tcPr>
          <w:p w:rsidR="00EC4F97" w:rsidRPr="0050032C"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50032C">
              <w:rPr>
                <w:rFonts w:ascii="Arial" w:hAnsi="Arial" w:cs="Arial"/>
                <w:spacing w:val="6"/>
                <w:sz w:val="16"/>
                <w:szCs w:val="16"/>
              </w:rPr>
              <w:t>51,40</w:t>
            </w:r>
          </w:p>
        </w:tc>
        <w:tc>
          <w:tcPr>
            <w:tcW w:w="1076" w:type="dxa"/>
            <w:tcBorders>
              <w:top w:val="single" w:sz="4" w:space="0" w:color="auto"/>
              <w:bottom w:val="single" w:sz="4" w:space="0" w:color="auto"/>
            </w:tcBorders>
            <w:vAlign w:val="center"/>
          </w:tcPr>
          <w:p w:rsidR="00EC4F97" w:rsidRPr="0050032C"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50032C">
              <w:rPr>
                <w:rFonts w:ascii="Arial" w:hAnsi="Arial" w:cs="Arial"/>
                <w:spacing w:val="6"/>
                <w:sz w:val="16"/>
                <w:szCs w:val="16"/>
              </w:rPr>
              <w:t>6,61</w:t>
            </w:r>
          </w:p>
        </w:tc>
        <w:tc>
          <w:tcPr>
            <w:tcW w:w="1009" w:type="dxa"/>
            <w:tcBorders>
              <w:top w:val="single" w:sz="4" w:space="0" w:color="auto"/>
              <w:bottom w:val="single" w:sz="4" w:space="0" w:color="auto"/>
            </w:tcBorders>
            <w:vAlign w:val="center"/>
          </w:tcPr>
          <w:p w:rsidR="00EC4F97" w:rsidRPr="0050032C"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50032C">
              <w:rPr>
                <w:rFonts w:ascii="Arial" w:hAnsi="Arial" w:cs="Arial"/>
                <w:spacing w:val="6"/>
                <w:sz w:val="16"/>
                <w:szCs w:val="16"/>
              </w:rPr>
              <w:t>54</w:t>
            </w:r>
          </w:p>
        </w:tc>
        <w:tc>
          <w:tcPr>
            <w:tcW w:w="1177" w:type="dxa"/>
            <w:tcBorders>
              <w:top w:val="single" w:sz="4" w:space="0" w:color="auto"/>
              <w:bottom w:val="single" w:sz="4" w:space="0" w:color="auto"/>
            </w:tcBorders>
            <w:vAlign w:val="center"/>
          </w:tcPr>
          <w:p w:rsidR="00EC4F97" w:rsidRPr="0050032C"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50032C">
              <w:rPr>
                <w:rFonts w:ascii="Arial" w:hAnsi="Arial" w:cs="Arial"/>
                <w:spacing w:val="6"/>
                <w:sz w:val="16"/>
                <w:szCs w:val="16"/>
              </w:rPr>
              <w:t>34</w:t>
            </w:r>
          </w:p>
        </w:tc>
      </w:tr>
      <w:tr w:rsidR="00EC4F97" w:rsidRPr="007E3BFE" w:rsidTr="00422AD9">
        <w:trPr>
          <w:trHeight w:val="198"/>
          <w:jc w:val="center"/>
        </w:trPr>
        <w:tc>
          <w:tcPr>
            <w:tcW w:w="305" w:type="dxa"/>
            <w:tcBorders>
              <w:top w:val="single" w:sz="4" w:space="0" w:color="auto"/>
              <w:bottom w:val="single" w:sz="2"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8</w:t>
            </w:r>
          </w:p>
        </w:tc>
        <w:tc>
          <w:tcPr>
            <w:tcW w:w="3271" w:type="dxa"/>
            <w:tcBorders>
              <w:top w:val="single" w:sz="4" w:space="0" w:color="auto"/>
              <w:bottom w:val="single" w:sz="2"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Variación de activos financieros</w:t>
            </w:r>
          </w:p>
        </w:tc>
        <w:tc>
          <w:tcPr>
            <w:tcW w:w="1181" w:type="dxa"/>
            <w:tcBorders>
              <w:top w:val="single" w:sz="4"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850736">
              <w:rPr>
                <w:rFonts w:ascii="Arial Narrow" w:hAnsi="Arial Narrow"/>
                <w:spacing w:val="6"/>
                <w:sz w:val="18"/>
                <w:szCs w:val="18"/>
              </w:rPr>
              <w:t>84,87</w:t>
            </w:r>
          </w:p>
        </w:tc>
        <w:tc>
          <w:tcPr>
            <w:tcW w:w="1007" w:type="dxa"/>
            <w:tcBorders>
              <w:top w:val="single" w:sz="4"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850736">
              <w:rPr>
                <w:rFonts w:ascii="Arial Narrow" w:hAnsi="Arial Narrow"/>
                <w:spacing w:val="6"/>
                <w:sz w:val="18"/>
                <w:szCs w:val="18"/>
              </w:rPr>
              <w:t>6,95</w:t>
            </w:r>
          </w:p>
        </w:tc>
        <w:tc>
          <w:tcPr>
            <w:tcW w:w="1076" w:type="dxa"/>
            <w:tcBorders>
              <w:top w:val="single" w:sz="4"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0,89</w:t>
            </w:r>
          </w:p>
        </w:tc>
        <w:tc>
          <w:tcPr>
            <w:tcW w:w="1009" w:type="dxa"/>
            <w:tcBorders>
              <w:top w:val="single" w:sz="4"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8</w:t>
            </w:r>
          </w:p>
        </w:tc>
        <w:tc>
          <w:tcPr>
            <w:tcW w:w="1177" w:type="dxa"/>
            <w:tcBorders>
              <w:top w:val="single" w:sz="4" w:space="0" w:color="auto"/>
              <w:bottom w:val="single" w:sz="2"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EF3C45">
              <w:rPr>
                <w:rFonts w:ascii="Arial Narrow" w:hAnsi="Arial Narrow"/>
                <w:spacing w:val="6"/>
                <w:sz w:val="18"/>
                <w:szCs w:val="18"/>
              </w:rPr>
              <w:t>532</w:t>
            </w:r>
          </w:p>
        </w:tc>
      </w:tr>
      <w:tr w:rsidR="00EC4F97" w:rsidRPr="007E3BFE" w:rsidTr="00422AD9">
        <w:trPr>
          <w:trHeight w:val="198"/>
          <w:jc w:val="center"/>
        </w:trPr>
        <w:tc>
          <w:tcPr>
            <w:tcW w:w="305" w:type="dxa"/>
            <w:tcBorders>
              <w:top w:val="single" w:sz="2" w:space="0" w:color="auto"/>
              <w:bottom w:val="single" w:sz="4"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9</w:t>
            </w:r>
          </w:p>
        </w:tc>
        <w:tc>
          <w:tcPr>
            <w:tcW w:w="3271" w:type="dxa"/>
            <w:tcBorders>
              <w:top w:val="single" w:sz="2" w:space="0" w:color="auto"/>
              <w:bottom w:val="single" w:sz="4" w:space="0" w:color="auto"/>
            </w:tcBorders>
            <w:vAlign w:val="center"/>
          </w:tcPr>
          <w:p w:rsidR="00EC4F97" w:rsidRPr="007E3BFE"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Variación de pasivos financieros</w:t>
            </w:r>
          </w:p>
        </w:tc>
        <w:tc>
          <w:tcPr>
            <w:tcW w:w="1181" w:type="dxa"/>
            <w:tcBorders>
              <w:top w:val="single" w:sz="2" w:space="0" w:color="auto"/>
              <w:bottom w:val="single" w:sz="4" w:space="0" w:color="auto"/>
            </w:tcBorders>
            <w:vAlign w:val="center"/>
          </w:tcPr>
          <w:p w:rsidR="00EC4F97" w:rsidRPr="00850736"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50736">
              <w:rPr>
                <w:rFonts w:ascii="Arial Narrow" w:hAnsi="Arial Narrow"/>
                <w:spacing w:val="6"/>
                <w:sz w:val="18"/>
                <w:szCs w:val="18"/>
              </w:rPr>
              <w:t>17,36</w:t>
            </w:r>
          </w:p>
        </w:tc>
        <w:tc>
          <w:tcPr>
            <w:tcW w:w="1007" w:type="dxa"/>
            <w:tcBorders>
              <w:top w:val="single" w:sz="2" w:space="0" w:color="auto"/>
              <w:bottom w:val="single" w:sz="4" w:space="0" w:color="auto"/>
            </w:tcBorders>
            <w:vAlign w:val="center"/>
          </w:tcPr>
          <w:p w:rsidR="00EC4F97" w:rsidRPr="00850736"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50736">
              <w:rPr>
                <w:rFonts w:ascii="Arial Narrow" w:hAnsi="Arial Narrow"/>
                <w:spacing w:val="6"/>
                <w:sz w:val="18"/>
                <w:szCs w:val="18"/>
              </w:rPr>
              <w:t>3,25</w:t>
            </w:r>
          </w:p>
        </w:tc>
        <w:tc>
          <w:tcPr>
            <w:tcW w:w="1076" w:type="dxa"/>
            <w:tcBorders>
              <w:top w:val="single" w:sz="2" w:space="0" w:color="auto"/>
              <w:bottom w:val="single" w:sz="4"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0,42</w:t>
            </w:r>
          </w:p>
        </w:tc>
        <w:tc>
          <w:tcPr>
            <w:tcW w:w="1009" w:type="dxa"/>
            <w:tcBorders>
              <w:top w:val="single" w:sz="2" w:space="0" w:color="auto"/>
              <w:bottom w:val="single" w:sz="4"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03584F">
              <w:rPr>
                <w:rFonts w:ascii="Arial Narrow" w:hAnsi="Arial Narrow"/>
                <w:spacing w:val="6"/>
                <w:sz w:val="18"/>
                <w:szCs w:val="18"/>
              </w:rPr>
              <w:t>19</w:t>
            </w:r>
          </w:p>
        </w:tc>
        <w:tc>
          <w:tcPr>
            <w:tcW w:w="1177" w:type="dxa"/>
            <w:tcBorders>
              <w:top w:val="single" w:sz="2" w:space="0" w:color="auto"/>
              <w:bottom w:val="single" w:sz="4" w:space="0" w:color="auto"/>
            </w:tcBorders>
            <w:vAlign w:val="center"/>
          </w:tcPr>
          <w:p w:rsidR="00EC4F97" w:rsidRPr="00F3408F"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EF3C45">
              <w:rPr>
                <w:rFonts w:ascii="Arial Narrow" w:hAnsi="Arial Narrow"/>
                <w:spacing w:val="6"/>
                <w:sz w:val="18"/>
                <w:szCs w:val="18"/>
              </w:rPr>
              <w:t>-3</w:t>
            </w:r>
          </w:p>
        </w:tc>
      </w:tr>
      <w:tr w:rsidR="00EC4F97" w:rsidRPr="0050032C" w:rsidTr="00422AD9">
        <w:trPr>
          <w:trHeight w:val="255"/>
          <w:jc w:val="center"/>
        </w:trPr>
        <w:tc>
          <w:tcPr>
            <w:tcW w:w="3576" w:type="dxa"/>
            <w:gridSpan w:val="2"/>
            <w:tcBorders>
              <w:top w:val="single" w:sz="4" w:space="0" w:color="auto"/>
              <w:bottom w:val="single" w:sz="4" w:space="0" w:color="auto"/>
            </w:tcBorders>
            <w:vAlign w:val="center"/>
          </w:tcPr>
          <w:p w:rsidR="00EC4F97" w:rsidRPr="0050032C" w:rsidRDefault="00EC4F97" w:rsidP="00422AD9">
            <w:pPr>
              <w:keepLines/>
              <w:tabs>
                <w:tab w:val="left" w:pos="428"/>
                <w:tab w:val="left" w:pos="3046"/>
                <w:tab w:val="right" w:pos="3969"/>
                <w:tab w:val="right" w:pos="5103"/>
                <w:tab w:val="right" w:pos="6237"/>
                <w:tab w:val="right" w:pos="7371"/>
              </w:tabs>
              <w:spacing w:after="0"/>
              <w:ind w:firstLine="295"/>
              <w:jc w:val="center"/>
              <w:rPr>
                <w:rFonts w:ascii="Arial" w:hAnsi="Arial" w:cs="Arial"/>
                <w:spacing w:val="6"/>
                <w:sz w:val="16"/>
                <w:szCs w:val="16"/>
              </w:rPr>
            </w:pPr>
            <w:r w:rsidRPr="0050032C">
              <w:rPr>
                <w:rFonts w:ascii="Arial" w:hAnsi="Arial" w:cs="Arial"/>
                <w:spacing w:val="6"/>
                <w:sz w:val="16"/>
                <w:szCs w:val="16"/>
              </w:rPr>
              <w:t>Ingresos de operaciones financieras</w:t>
            </w:r>
          </w:p>
        </w:tc>
        <w:tc>
          <w:tcPr>
            <w:tcW w:w="1181" w:type="dxa"/>
            <w:tcBorders>
              <w:top w:val="single" w:sz="4" w:space="0" w:color="auto"/>
              <w:bottom w:val="single" w:sz="4" w:space="0" w:color="auto"/>
            </w:tcBorders>
            <w:vAlign w:val="center"/>
          </w:tcPr>
          <w:p w:rsidR="00EC4F97" w:rsidRPr="0050032C"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50032C">
              <w:rPr>
                <w:rFonts w:ascii="Arial" w:hAnsi="Arial" w:cs="Arial"/>
                <w:spacing w:val="6"/>
                <w:sz w:val="16"/>
                <w:szCs w:val="16"/>
              </w:rPr>
              <w:t>102,23</w:t>
            </w:r>
          </w:p>
        </w:tc>
        <w:tc>
          <w:tcPr>
            <w:tcW w:w="1007" w:type="dxa"/>
            <w:tcBorders>
              <w:top w:val="single" w:sz="4" w:space="0" w:color="auto"/>
              <w:bottom w:val="single" w:sz="4" w:space="0" w:color="auto"/>
            </w:tcBorders>
            <w:vAlign w:val="center"/>
          </w:tcPr>
          <w:p w:rsidR="00EC4F97" w:rsidRPr="0050032C"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50032C">
              <w:rPr>
                <w:rFonts w:ascii="Arial" w:hAnsi="Arial" w:cs="Arial"/>
                <w:spacing w:val="6"/>
                <w:sz w:val="16"/>
                <w:szCs w:val="16"/>
              </w:rPr>
              <w:t>10,19</w:t>
            </w:r>
          </w:p>
        </w:tc>
        <w:tc>
          <w:tcPr>
            <w:tcW w:w="1076" w:type="dxa"/>
            <w:tcBorders>
              <w:top w:val="single" w:sz="4" w:space="0" w:color="auto"/>
              <w:bottom w:val="single" w:sz="4" w:space="0" w:color="auto"/>
            </w:tcBorders>
            <w:vAlign w:val="center"/>
          </w:tcPr>
          <w:p w:rsidR="00EC4F97" w:rsidRPr="0050032C"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50032C">
              <w:rPr>
                <w:rFonts w:ascii="Arial" w:hAnsi="Arial" w:cs="Arial"/>
                <w:spacing w:val="6"/>
                <w:sz w:val="16"/>
                <w:szCs w:val="16"/>
              </w:rPr>
              <w:t>1,31</w:t>
            </w:r>
          </w:p>
        </w:tc>
        <w:tc>
          <w:tcPr>
            <w:tcW w:w="1009" w:type="dxa"/>
            <w:tcBorders>
              <w:top w:val="single" w:sz="4" w:space="0" w:color="auto"/>
              <w:bottom w:val="single" w:sz="4" w:space="0" w:color="auto"/>
            </w:tcBorders>
            <w:vAlign w:val="center"/>
          </w:tcPr>
          <w:p w:rsidR="00EC4F97" w:rsidRPr="0050032C"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50032C">
              <w:rPr>
                <w:rFonts w:ascii="Arial" w:hAnsi="Arial" w:cs="Arial"/>
                <w:spacing w:val="6"/>
                <w:sz w:val="16"/>
                <w:szCs w:val="16"/>
              </w:rPr>
              <w:t>10</w:t>
            </w:r>
          </w:p>
        </w:tc>
        <w:tc>
          <w:tcPr>
            <w:tcW w:w="1177" w:type="dxa"/>
            <w:tcBorders>
              <w:top w:val="single" w:sz="4" w:space="0" w:color="auto"/>
              <w:bottom w:val="single" w:sz="4" w:space="0" w:color="auto"/>
            </w:tcBorders>
            <w:vAlign w:val="center"/>
          </w:tcPr>
          <w:p w:rsidR="00EC4F97" w:rsidRPr="0050032C"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50032C">
              <w:rPr>
                <w:rFonts w:ascii="Arial" w:hAnsi="Arial" w:cs="Arial"/>
                <w:spacing w:val="6"/>
                <w:sz w:val="16"/>
                <w:szCs w:val="16"/>
              </w:rPr>
              <w:t>129</w:t>
            </w:r>
          </w:p>
        </w:tc>
      </w:tr>
      <w:tr w:rsidR="00EC4F97" w:rsidRPr="003800C3" w:rsidTr="00422AD9">
        <w:trPr>
          <w:trHeight w:val="255"/>
          <w:jc w:val="center"/>
        </w:trPr>
        <w:tc>
          <w:tcPr>
            <w:tcW w:w="3576" w:type="dxa"/>
            <w:gridSpan w:val="2"/>
            <w:tcBorders>
              <w:top w:val="single" w:sz="4" w:space="0" w:color="auto"/>
              <w:bottom w:val="single" w:sz="4" w:space="0" w:color="auto"/>
            </w:tcBorders>
            <w:shd w:val="clear" w:color="auto" w:fill="FBD4B4" w:themeFill="accent6" w:themeFillTint="66"/>
            <w:vAlign w:val="center"/>
          </w:tcPr>
          <w:p w:rsidR="00EC4F97" w:rsidRPr="00657C67" w:rsidRDefault="00EC4F97" w:rsidP="00422AD9">
            <w:pPr>
              <w:keepLines/>
              <w:tabs>
                <w:tab w:val="right" w:pos="2835"/>
                <w:tab w:val="left" w:pos="3046"/>
                <w:tab w:val="right" w:pos="3969"/>
                <w:tab w:val="right" w:pos="5103"/>
                <w:tab w:val="right" w:pos="6237"/>
                <w:tab w:val="right" w:pos="7371"/>
              </w:tabs>
              <w:spacing w:after="0"/>
              <w:ind w:firstLine="0"/>
              <w:jc w:val="left"/>
              <w:rPr>
                <w:rFonts w:ascii="Arial" w:hAnsi="Arial" w:cs="Arial"/>
                <w:spacing w:val="6"/>
                <w:sz w:val="16"/>
                <w:szCs w:val="16"/>
              </w:rPr>
            </w:pPr>
            <w:r w:rsidRPr="00657C67">
              <w:rPr>
                <w:rFonts w:ascii="Arial" w:hAnsi="Arial" w:cs="Arial"/>
                <w:spacing w:val="6"/>
                <w:sz w:val="16"/>
                <w:szCs w:val="16"/>
              </w:rPr>
              <w:t>Total ingresos</w:t>
            </w:r>
          </w:p>
        </w:tc>
        <w:tc>
          <w:tcPr>
            <w:tcW w:w="1181" w:type="dxa"/>
            <w:tcBorders>
              <w:top w:val="single" w:sz="4" w:space="0" w:color="auto"/>
              <w:bottom w:val="single" w:sz="4" w:space="0" w:color="auto"/>
            </w:tcBorders>
            <w:shd w:val="clear" w:color="auto" w:fill="FBD4B4" w:themeFill="accent6" w:themeFillTint="66"/>
            <w:vAlign w:val="center"/>
          </w:tcPr>
          <w:p w:rsidR="00EC4F97" w:rsidRPr="00657C67"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657C67">
              <w:rPr>
                <w:rFonts w:ascii="Arial" w:hAnsi="Arial" w:cs="Arial"/>
                <w:spacing w:val="6"/>
                <w:sz w:val="16"/>
                <w:szCs w:val="16"/>
              </w:rPr>
              <w:t>902,50</w:t>
            </w:r>
          </w:p>
        </w:tc>
        <w:tc>
          <w:tcPr>
            <w:tcW w:w="1007" w:type="dxa"/>
            <w:tcBorders>
              <w:top w:val="single" w:sz="4" w:space="0" w:color="auto"/>
              <w:bottom w:val="single" w:sz="4" w:space="0" w:color="auto"/>
            </w:tcBorders>
            <w:shd w:val="clear" w:color="auto" w:fill="FBD4B4" w:themeFill="accent6" w:themeFillTint="66"/>
            <w:vAlign w:val="center"/>
          </w:tcPr>
          <w:p w:rsidR="00EC4F97" w:rsidRPr="00657C67"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657C67">
              <w:rPr>
                <w:rFonts w:ascii="Arial" w:hAnsi="Arial" w:cs="Arial"/>
                <w:spacing w:val="6"/>
                <w:sz w:val="16"/>
                <w:szCs w:val="16"/>
              </w:rPr>
              <w:t>778,12</w:t>
            </w:r>
          </w:p>
        </w:tc>
        <w:tc>
          <w:tcPr>
            <w:tcW w:w="1076" w:type="dxa"/>
            <w:tcBorders>
              <w:top w:val="single" w:sz="4" w:space="0" w:color="auto"/>
              <w:bottom w:val="single" w:sz="4" w:space="0" w:color="auto"/>
            </w:tcBorders>
            <w:shd w:val="clear" w:color="auto" w:fill="FBD4B4" w:themeFill="accent6" w:themeFillTint="66"/>
            <w:vAlign w:val="center"/>
          </w:tcPr>
          <w:p w:rsidR="00EC4F97" w:rsidRPr="00657C67"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657C67">
              <w:rPr>
                <w:rFonts w:ascii="Arial" w:hAnsi="Arial" w:cs="Arial"/>
                <w:spacing w:val="6"/>
                <w:sz w:val="16"/>
                <w:szCs w:val="16"/>
              </w:rPr>
              <w:t>100</w:t>
            </w:r>
          </w:p>
        </w:tc>
        <w:tc>
          <w:tcPr>
            <w:tcW w:w="1009" w:type="dxa"/>
            <w:tcBorders>
              <w:top w:val="single" w:sz="4" w:space="0" w:color="auto"/>
              <w:bottom w:val="single" w:sz="4" w:space="0" w:color="auto"/>
            </w:tcBorders>
            <w:shd w:val="clear" w:color="auto" w:fill="FBD4B4" w:themeFill="accent6" w:themeFillTint="66"/>
            <w:vAlign w:val="center"/>
          </w:tcPr>
          <w:p w:rsidR="00EC4F97" w:rsidRPr="00657C67"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657C67">
              <w:rPr>
                <w:rFonts w:ascii="Arial" w:hAnsi="Arial" w:cs="Arial"/>
                <w:spacing w:val="6"/>
                <w:sz w:val="16"/>
                <w:szCs w:val="16"/>
              </w:rPr>
              <w:t>86</w:t>
            </w:r>
          </w:p>
        </w:tc>
        <w:tc>
          <w:tcPr>
            <w:tcW w:w="1177" w:type="dxa"/>
            <w:tcBorders>
              <w:top w:val="single" w:sz="4" w:space="0" w:color="auto"/>
              <w:bottom w:val="single" w:sz="4" w:space="0" w:color="auto"/>
            </w:tcBorders>
            <w:shd w:val="clear" w:color="auto" w:fill="FBD4B4" w:themeFill="accent6" w:themeFillTint="66"/>
            <w:vAlign w:val="center"/>
          </w:tcPr>
          <w:p w:rsidR="00EC4F97" w:rsidRPr="00657C67"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657C67">
              <w:rPr>
                <w:rFonts w:ascii="Arial" w:hAnsi="Arial" w:cs="Arial"/>
                <w:spacing w:val="6"/>
                <w:sz w:val="16"/>
                <w:szCs w:val="16"/>
              </w:rPr>
              <w:t>2</w:t>
            </w:r>
          </w:p>
        </w:tc>
      </w:tr>
    </w:tbl>
    <w:p w:rsidR="00EC4F97" w:rsidRDefault="00EC4F97" w:rsidP="00EC4F97">
      <w:pPr>
        <w:pStyle w:val="texto"/>
        <w:spacing w:before="240" w:after="100"/>
      </w:pPr>
      <w:r w:rsidRPr="007E3BFE">
        <w:t>Las previsiones definitivas de ingresos para el ejercicio 201</w:t>
      </w:r>
      <w:r>
        <w:t xml:space="preserve">7 </w:t>
      </w:r>
      <w:r w:rsidRPr="007E3BFE">
        <w:t xml:space="preserve">ascendieron a </w:t>
      </w:r>
      <w:r>
        <w:t>902,50</w:t>
      </w:r>
      <w:r w:rsidRPr="007E3BFE">
        <w:t xml:space="preserve"> millones de euros y presentan un grado de ejecución del </w:t>
      </w:r>
      <w:r>
        <w:t>86</w:t>
      </w:r>
      <w:r w:rsidRPr="007E3BFE">
        <w:t xml:space="preserve"> por ciento. Mientras que los ingresos corrientes se ejecutaron en un 102 por ciento de las previsiones, destaca la baja ejecución de los </w:t>
      </w:r>
      <w:r>
        <w:t>correspondientes a</w:t>
      </w:r>
      <w:r w:rsidRPr="007E3BFE">
        <w:t xml:space="preserve"> operaciones f</w:t>
      </w:r>
      <w:r w:rsidRPr="007E3BFE">
        <w:t>i</w:t>
      </w:r>
      <w:r w:rsidRPr="007E3BFE">
        <w:t xml:space="preserve">nancieras y de capital que se ejecutaron en un </w:t>
      </w:r>
      <w:r>
        <w:t>diez</w:t>
      </w:r>
      <w:r w:rsidRPr="007E3BFE">
        <w:t xml:space="preserve"> y un 5</w:t>
      </w:r>
      <w:r>
        <w:t>4</w:t>
      </w:r>
      <w:r w:rsidRPr="007E3BFE">
        <w:t xml:space="preserve"> por ciento, respect</w:t>
      </w:r>
      <w:r w:rsidRPr="007E3BFE">
        <w:t>i</w:t>
      </w:r>
      <w:r w:rsidRPr="007E3BFE">
        <w:t>vamente.</w:t>
      </w:r>
    </w:p>
    <w:p w:rsidR="00EC4F97" w:rsidRDefault="00EC4F97" w:rsidP="00EC4F97">
      <w:pPr>
        <w:pStyle w:val="texto"/>
        <w:spacing w:after="100"/>
      </w:pPr>
      <w:r w:rsidRPr="007E3BFE">
        <w:t>En 201</w:t>
      </w:r>
      <w:r>
        <w:t>7</w:t>
      </w:r>
      <w:r w:rsidRPr="007E3BFE">
        <w:t xml:space="preserve"> los ingresos del sector público local ascendieron a </w:t>
      </w:r>
      <w:r>
        <w:t>778,12</w:t>
      </w:r>
      <w:r w:rsidRPr="007E3BFE">
        <w:t xml:space="preserve"> millones, de los cuales el 9</w:t>
      </w:r>
      <w:r>
        <w:t>2</w:t>
      </w:r>
      <w:r w:rsidRPr="007E3BFE">
        <w:t xml:space="preserve"> por ciento fueron co</w:t>
      </w:r>
      <w:r>
        <w:t>rrientes (</w:t>
      </w:r>
      <w:r w:rsidRPr="007E3BFE">
        <w:t>principalmente transferencias e impuestos</w:t>
      </w:r>
      <w:r>
        <w:t>)</w:t>
      </w:r>
      <w:r w:rsidRPr="007E3BFE">
        <w:t xml:space="preserve">. Los ingresos de capital representan el </w:t>
      </w:r>
      <w:r>
        <w:t>siete</w:t>
      </w:r>
      <w:r w:rsidRPr="007E3BFE">
        <w:t xml:space="preserve"> por ciento del total y el </w:t>
      </w:r>
      <w:r>
        <w:t xml:space="preserve">uno por ciento </w:t>
      </w:r>
      <w:r w:rsidRPr="007E3BFE">
        <w:t>restante procede de operaciones financieras.</w:t>
      </w:r>
    </w:p>
    <w:p w:rsidR="00EC4F97" w:rsidRPr="007E3BFE" w:rsidRDefault="00EC4F97" w:rsidP="00EC4F97">
      <w:pPr>
        <w:pStyle w:val="texto"/>
      </w:pPr>
      <w:r w:rsidRPr="007E3BFE">
        <w:t>Los ingresos totales de 201</w:t>
      </w:r>
      <w:r>
        <w:t>7</w:t>
      </w:r>
      <w:r w:rsidRPr="007E3BFE">
        <w:t xml:space="preserve"> se mantuvieron en niveles similares a los de 201</w:t>
      </w:r>
      <w:r>
        <w:t>6</w:t>
      </w:r>
      <w:r w:rsidRPr="007E3BFE">
        <w:t xml:space="preserve"> aumentando</w:t>
      </w:r>
      <w:r>
        <w:t xml:space="preserve"> solamente</w:t>
      </w:r>
      <w:r w:rsidRPr="007E3BFE">
        <w:t xml:space="preserve"> </w:t>
      </w:r>
      <w:r>
        <w:t>un dos</w:t>
      </w:r>
      <w:r w:rsidRPr="007E3BFE">
        <w:t xml:space="preserve"> por ciento; la variación por tipo de ingreso fue dispar, así, </w:t>
      </w:r>
      <w:r>
        <w:t>los ingresos corrientes disminuyeron un 0,4 por ciento y los f</w:t>
      </w:r>
      <w:r>
        <w:t>i</w:t>
      </w:r>
      <w:r>
        <w:t>nancieros y los de capital</w:t>
      </w:r>
      <w:r w:rsidRPr="007E3BFE">
        <w:t xml:space="preserve"> aumentaron un </w:t>
      </w:r>
      <w:r>
        <w:t xml:space="preserve">129 y 34 </w:t>
      </w:r>
      <w:r w:rsidRPr="007E3BFE">
        <w:t>por ciento</w:t>
      </w:r>
      <w:r>
        <w:t xml:space="preserve"> respectivamente. El incremento tan relevante de los activos financieros se explica en gran med</w:t>
      </w:r>
      <w:r>
        <w:t>i</w:t>
      </w:r>
      <w:r>
        <w:t>da por el reintegro de un préstamo de casi cinco millones de euros efectuado por el ayuntamiento de Huarte.</w:t>
      </w:r>
    </w:p>
    <w:p w:rsidR="00EC4F97" w:rsidRDefault="00EC4F97" w:rsidP="00EC4F97">
      <w:pPr>
        <w:pStyle w:val="texto"/>
      </w:pPr>
      <w:r>
        <w:t>El 86</w:t>
      </w:r>
      <w:r w:rsidRPr="007E3BFE">
        <w:t xml:space="preserve"> por ciento del total de ingresos</w:t>
      </w:r>
      <w:r>
        <w:t xml:space="preserve"> corresponde a los municipios y conc</w:t>
      </w:r>
      <w:r>
        <w:t>e</w:t>
      </w:r>
      <w:r>
        <w:t xml:space="preserve">jos y el 14 por ciento restante a </w:t>
      </w:r>
      <w:r w:rsidRPr="007E3BFE">
        <w:t>mancomunidades y</w:t>
      </w:r>
      <w:r>
        <w:t xml:space="preserve"> agrupaciones</w:t>
      </w:r>
      <w:r w:rsidRPr="007E3BFE">
        <w:t>.</w:t>
      </w:r>
    </w:p>
    <w:p w:rsidR="00EC4F97" w:rsidRPr="007E3BFE" w:rsidRDefault="00EC4F97" w:rsidP="00EC4F97">
      <w:pPr>
        <w:pStyle w:val="atitulo2"/>
        <w:spacing w:before="240"/>
      </w:pPr>
      <w:bookmarkStart w:id="55" w:name="_Toc465686689"/>
      <w:bookmarkStart w:id="56" w:name="_Toc529773883"/>
      <w:bookmarkStart w:id="57" w:name="_Toc24100144"/>
      <w:bookmarkStart w:id="58" w:name="_Toc24451742"/>
      <w:r w:rsidRPr="007E3BFE">
        <w:t>V.2. Gastos</w:t>
      </w:r>
      <w:bookmarkEnd w:id="55"/>
      <w:bookmarkEnd w:id="56"/>
      <w:bookmarkEnd w:id="57"/>
      <w:bookmarkEnd w:id="58"/>
    </w:p>
    <w:p w:rsidR="00EC4F97" w:rsidRDefault="00EC4F97" w:rsidP="00EC4F97">
      <w:pPr>
        <w:pStyle w:val="texto"/>
        <w:spacing w:after="60"/>
      </w:pPr>
      <w:r>
        <w:t>S</w:t>
      </w:r>
      <w:r w:rsidRPr="007E3BFE">
        <w:t xml:space="preserve">e presenta a continuación un cuadro resumen de los </w:t>
      </w:r>
      <w:r>
        <w:t>gastos del sector en 2017</w:t>
      </w:r>
    </w:p>
    <w:p w:rsidR="00EC4F97" w:rsidRPr="003E30B9" w:rsidRDefault="00EC4F97" w:rsidP="00EC4F97">
      <w:pPr>
        <w:pStyle w:val="texto"/>
        <w:spacing w:after="40"/>
        <w:jc w:val="right"/>
        <w:rPr>
          <w:sz w:val="20"/>
          <w:szCs w:val="20"/>
        </w:rPr>
      </w:pPr>
      <w:r w:rsidRPr="003E30B9">
        <w:rPr>
          <w:sz w:val="20"/>
          <w:szCs w:val="20"/>
        </w:rPr>
        <w:t>(en millones de euros)</w:t>
      </w:r>
    </w:p>
    <w:tbl>
      <w:tblPr>
        <w:tblW w:w="8911" w:type="dxa"/>
        <w:jc w:val="center"/>
        <w:tblLook w:val="01E0" w:firstRow="1" w:lastRow="1" w:firstColumn="1" w:lastColumn="1" w:noHBand="0" w:noVBand="0"/>
      </w:tblPr>
      <w:tblGrid>
        <w:gridCol w:w="3278"/>
        <w:gridCol w:w="1205"/>
        <w:gridCol w:w="1021"/>
        <w:gridCol w:w="1064"/>
        <w:gridCol w:w="1131"/>
        <w:gridCol w:w="1212"/>
      </w:tblGrid>
      <w:tr w:rsidR="00EC4F97" w:rsidRPr="003E30B9" w:rsidTr="00422AD9">
        <w:trPr>
          <w:trHeight w:val="255"/>
          <w:jc w:val="center"/>
        </w:trPr>
        <w:tc>
          <w:tcPr>
            <w:tcW w:w="3278" w:type="dxa"/>
            <w:tcBorders>
              <w:top w:val="single" w:sz="4" w:space="0" w:color="auto"/>
              <w:bottom w:val="single" w:sz="4" w:space="0" w:color="auto"/>
            </w:tcBorders>
            <w:shd w:val="clear" w:color="auto" w:fill="FBD4B4" w:themeFill="accent6" w:themeFillTint="66"/>
            <w:vAlign w:val="center"/>
          </w:tcPr>
          <w:p w:rsidR="00EC4F97" w:rsidRPr="003E30B9" w:rsidRDefault="00EC4F97" w:rsidP="00422AD9">
            <w:pPr>
              <w:keepLines/>
              <w:tabs>
                <w:tab w:val="right" w:pos="2835"/>
                <w:tab w:val="right" w:pos="3969"/>
                <w:tab w:val="right" w:pos="5103"/>
                <w:tab w:val="right" w:pos="6237"/>
                <w:tab w:val="right" w:pos="7371"/>
              </w:tabs>
              <w:spacing w:after="0"/>
              <w:ind w:right="122" w:firstLine="0"/>
              <w:jc w:val="left"/>
              <w:rPr>
                <w:rFonts w:ascii="Arial" w:hAnsi="Arial"/>
                <w:spacing w:val="6"/>
                <w:sz w:val="16"/>
                <w:szCs w:val="16"/>
              </w:rPr>
            </w:pPr>
            <w:r w:rsidRPr="003E30B9">
              <w:rPr>
                <w:rFonts w:ascii="Arial" w:hAnsi="Arial"/>
                <w:spacing w:val="6"/>
                <w:sz w:val="16"/>
                <w:szCs w:val="16"/>
              </w:rPr>
              <w:t>Capítulo</w:t>
            </w:r>
          </w:p>
        </w:tc>
        <w:tc>
          <w:tcPr>
            <w:tcW w:w="1205" w:type="dxa"/>
            <w:tcBorders>
              <w:top w:val="single" w:sz="4" w:space="0" w:color="auto"/>
              <w:bottom w:val="single" w:sz="4" w:space="0" w:color="auto"/>
            </w:tcBorders>
            <w:shd w:val="clear" w:color="auto" w:fill="FBD4B4" w:themeFill="accent6" w:themeFillTint="66"/>
            <w:vAlign w:val="center"/>
          </w:tcPr>
          <w:p w:rsidR="00EC4F97" w:rsidRPr="003E30B9"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3E30B9">
              <w:rPr>
                <w:rFonts w:ascii="Arial" w:hAnsi="Arial"/>
                <w:spacing w:val="6"/>
                <w:sz w:val="16"/>
                <w:szCs w:val="16"/>
              </w:rPr>
              <w:t>Créditos definitivos</w:t>
            </w:r>
          </w:p>
        </w:tc>
        <w:tc>
          <w:tcPr>
            <w:tcW w:w="1021" w:type="dxa"/>
            <w:tcBorders>
              <w:top w:val="single" w:sz="4" w:space="0" w:color="auto"/>
              <w:bottom w:val="single" w:sz="4" w:space="0" w:color="auto"/>
            </w:tcBorders>
            <w:shd w:val="clear" w:color="auto" w:fill="FBD4B4" w:themeFill="accent6" w:themeFillTint="66"/>
            <w:vAlign w:val="center"/>
          </w:tcPr>
          <w:p w:rsidR="00EC4F97" w:rsidRPr="003E30B9"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3E30B9">
              <w:rPr>
                <w:rFonts w:ascii="Arial" w:hAnsi="Arial"/>
                <w:spacing w:val="6"/>
                <w:sz w:val="16"/>
                <w:szCs w:val="16"/>
              </w:rPr>
              <w:t>Gastos 2017</w:t>
            </w:r>
          </w:p>
        </w:tc>
        <w:tc>
          <w:tcPr>
            <w:tcW w:w="1064" w:type="dxa"/>
            <w:tcBorders>
              <w:top w:val="single" w:sz="4" w:space="0" w:color="auto"/>
              <w:bottom w:val="single" w:sz="4" w:space="0" w:color="auto"/>
            </w:tcBorders>
            <w:shd w:val="clear" w:color="auto" w:fill="FBD4B4" w:themeFill="accent6" w:themeFillTint="66"/>
            <w:vAlign w:val="center"/>
          </w:tcPr>
          <w:p w:rsidR="00EC4F97" w:rsidRPr="003E30B9"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3E30B9">
              <w:rPr>
                <w:rFonts w:ascii="Arial" w:hAnsi="Arial"/>
                <w:spacing w:val="6"/>
                <w:sz w:val="16"/>
                <w:szCs w:val="16"/>
              </w:rPr>
              <w:t>% s/</w:t>
            </w:r>
            <w:r>
              <w:rPr>
                <w:rFonts w:ascii="Arial" w:hAnsi="Arial"/>
                <w:spacing w:val="6"/>
                <w:sz w:val="16"/>
                <w:szCs w:val="16"/>
              </w:rPr>
              <w:t>T</w:t>
            </w:r>
            <w:r w:rsidRPr="003E30B9">
              <w:rPr>
                <w:rFonts w:ascii="Arial" w:hAnsi="Arial"/>
                <w:spacing w:val="6"/>
                <w:sz w:val="16"/>
                <w:szCs w:val="16"/>
              </w:rPr>
              <w:t>otal gastos</w:t>
            </w:r>
          </w:p>
        </w:tc>
        <w:tc>
          <w:tcPr>
            <w:tcW w:w="1131" w:type="dxa"/>
            <w:tcBorders>
              <w:top w:val="single" w:sz="4" w:space="0" w:color="auto"/>
              <w:bottom w:val="single" w:sz="4" w:space="0" w:color="auto"/>
            </w:tcBorders>
            <w:shd w:val="clear" w:color="auto" w:fill="FBD4B4" w:themeFill="accent6" w:themeFillTint="66"/>
            <w:vAlign w:val="center"/>
          </w:tcPr>
          <w:p w:rsidR="00EC4F97" w:rsidRPr="003E30B9" w:rsidRDefault="00EC4F97" w:rsidP="00422AD9">
            <w:pPr>
              <w:keepLines/>
              <w:tabs>
                <w:tab w:val="right" w:pos="2835"/>
                <w:tab w:val="right" w:pos="3969"/>
                <w:tab w:val="right" w:pos="5103"/>
                <w:tab w:val="right" w:pos="6237"/>
                <w:tab w:val="right" w:pos="7371"/>
              </w:tabs>
              <w:spacing w:after="0"/>
              <w:ind w:right="122" w:firstLine="0"/>
              <w:jc w:val="right"/>
              <w:rPr>
                <w:rFonts w:ascii="Arial" w:hAnsi="Arial"/>
                <w:spacing w:val="6"/>
                <w:sz w:val="16"/>
                <w:szCs w:val="16"/>
              </w:rPr>
            </w:pPr>
            <w:r w:rsidRPr="003E30B9">
              <w:rPr>
                <w:rFonts w:ascii="Arial" w:hAnsi="Arial"/>
                <w:spacing w:val="6"/>
                <w:sz w:val="16"/>
                <w:szCs w:val="16"/>
              </w:rPr>
              <w:t xml:space="preserve">% </w:t>
            </w:r>
          </w:p>
          <w:p w:rsidR="00EC4F97" w:rsidRPr="003E30B9" w:rsidRDefault="00EC4F97" w:rsidP="00422AD9">
            <w:pPr>
              <w:keepLines/>
              <w:tabs>
                <w:tab w:val="right" w:pos="2835"/>
                <w:tab w:val="right" w:pos="3969"/>
                <w:tab w:val="right" w:pos="5103"/>
                <w:tab w:val="right" w:pos="6237"/>
                <w:tab w:val="right" w:pos="7371"/>
              </w:tabs>
              <w:spacing w:after="0"/>
              <w:ind w:right="122" w:firstLine="0"/>
              <w:jc w:val="right"/>
              <w:rPr>
                <w:rFonts w:ascii="Arial" w:hAnsi="Arial"/>
                <w:spacing w:val="6"/>
                <w:sz w:val="16"/>
                <w:szCs w:val="16"/>
              </w:rPr>
            </w:pPr>
            <w:r w:rsidRPr="003E30B9">
              <w:rPr>
                <w:rFonts w:ascii="Arial" w:hAnsi="Arial"/>
                <w:spacing w:val="6"/>
                <w:sz w:val="16"/>
                <w:szCs w:val="16"/>
              </w:rPr>
              <w:t>ejecución</w:t>
            </w:r>
          </w:p>
        </w:tc>
        <w:tc>
          <w:tcPr>
            <w:tcW w:w="1212" w:type="dxa"/>
            <w:tcBorders>
              <w:top w:val="single" w:sz="4" w:space="0" w:color="auto"/>
              <w:bottom w:val="single" w:sz="4" w:space="0" w:color="auto"/>
            </w:tcBorders>
            <w:shd w:val="clear" w:color="auto" w:fill="FBD4B4" w:themeFill="accent6" w:themeFillTint="66"/>
            <w:vAlign w:val="center"/>
          </w:tcPr>
          <w:p w:rsidR="00EC4F97" w:rsidRPr="003E30B9"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3E30B9">
              <w:rPr>
                <w:rFonts w:ascii="Arial" w:hAnsi="Arial"/>
                <w:spacing w:val="6"/>
                <w:sz w:val="16"/>
                <w:szCs w:val="16"/>
              </w:rPr>
              <w:t>% variación 2017/2016</w:t>
            </w:r>
          </w:p>
        </w:tc>
      </w:tr>
      <w:tr w:rsidR="00EC4F97" w:rsidRPr="007E3BFE" w:rsidTr="00422AD9">
        <w:trPr>
          <w:trHeight w:val="255"/>
          <w:jc w:val="center"/>
        </w:trPr>
        <w:tc>
          <w:tcPr>
            <w:tcW w:w="3278" w:type="dxa"/>
            <w:tcBorders>
              <w:top w:val="single" w:sz="4" w:space="0" w:color="auto"/>
              <w:bottom w:val="single" w:sz="2" w:space="0" w:color="auto"/>
            </w:tcBorders>
            <w:vAlign w:val="center"/>
          </w:tcPr>
          <w:p w:rsidR="00EC4F97" w:rsidRPr="007E3BFE" w:rsidRDefault="00EC4F97" w:rsidP="00422AD9">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1 Gastos de personal</w:t>
            </w:r>
          </w:p>
        </w:tc>
        <w:tc>
          <w:tcPr>
            <w:tcW w:w="1205"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285,06</w:t>
            </w:r>
          </w:p>
        </w:tc>
        <w:tc>
          <w:tcPr>
            <w:tcW w:w="1021"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274,38</w:t>
            </w:r>
          </w:p>
        </w:tc>
        <w:tc>
          <w:tcPr>
            <w:tcW w:w="1064"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3840A5">
              <w:rPr>
                <w:rFonts w:ascii="Arial Narrow" w:hAnsi="Arial Narrow" w:cs="Arial"/>
                <w:spacing w:val="6"/>
                <w:sz w:val="18"/>
                <w:szCs w:val="18"/>
              </w:rPr>
              <w:t>36,49</w:t>
            </w:r>
          </w:p>
        </w:tc>
        <w:tc>
          <w:tcPr>
            <w:tcW w:w="1131"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DB05D4">
              <w:rPr>
                <w:rFonts w:ascii="Arial Narrow" w:hAnsi="Arial Narrow" w:cs="Arial"/>
                <w:spacing w:val="6"/>
                <w:sz w:val="18"/>
                <w:szCs w:val="18"/>
              </w:rPr>
              <w:t>96</w:t>
            </w:r>
          </w:p>
        </w:tc>
        <w:tc>
          <w:tcPr>
            <w:tcW w:w="1212"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6D5473">
              <w:rPr>
                <w:rFonts w:ascii="Arial Narrow" w:hAnsi="Arial Narrow" w:cs="Arial"/>
                <w:spacing w:val="6"/>
                <w:sz w:val="18"/>
                <w:szCs w:val="18"/>
              </w:rPr>
              <w:t>2</w:t>
            </w:r>
          </w:p>
        </w:tc>
      </w:tr>
      <w:tr w:rsidR="00EC4F97" w:rsidRPr="007E3BFE" w:rsidTr="00422AD9">
        <w:trPr>
          <w:trHeight w:val="255"/>
          <w:jc w:val="center"/>
        </w:trPr>
        <w:tc>
          <w:tcPr>
            <w:tcW w:w="3278" w:type="dxa"/>
            <w:tcBorders>
              <w:top w:val="single" w:sz="2" w:space="0" w:color="auto"/>
              <w:bottom w:val="single" w:sz="2" w:space="0" w:color="auto"/>
            </w:tcBorders>
            <w:vAlign w:val="center"/>
          </w:tcPr>
          <w:p w:rsidR="00EC4F97" w:rsidRPr="007E3BFE" w:rsidRDefault="00EC4F97" w:rsidP="00422AD9">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2 Compra de bienes corrientes y servicios</w:t>
            </w:r>
          </w:p>
        </w:tc>
        <w:tc>
          <w:tcPr>
            <w:tcW w:w="1205" w:type="dxa"/>
            <w:tcBorders>
              <w:top w:val="single" w:sz="2"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282,28</w:t>
            </w:r>
          </w:p>
        </w:tc>
        <w:tc>
          <w:tcPr>
            <w:tcW w:w="1021" w:type="dxa"/>
            <w:tcBorders>
              <w:top w:val="single" w:sz="2"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265,02</w:t>
            </w:r>
          </w:p>
        </w:tc>
        <w:tc>
          <w:tcPr>
            <w:tcW w:w="1064" w:type="dxa"/>
            <w:tcBorders>
              <w:top w:val="single" w:sz="2"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3840A5">
              <w:rPr>
                <w:rFonts w:ascii="Arial Narrow" w:hAnsi="Arial Narrow" w:cs="Arial"/>
                <w:spacing w:val="6"/>
                <w:sz w:val="18"/>
                <w:szCs w:val="18"/>
              </w:rPr>
              <w:t>35,24</w:t>
            </w:r>
          </w:p>
        </w:tc>
        <w:tc>
          <w:tcPr>
            <w:tcW w:w="1131" w:type="dxa"/>
            <w:tcBorders>
              <w:top w:val="single" w:sz="2"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DB05D4">
              <w:rPr>
                <w:rFonts w:ascii="Arial Narrow" w:hAnsi="Arial Narrow" w:cs="Arial"/>
                <w:spacing w:val="6"/>
                <w:sz w:val="18"/>
                <w:szCs w:val="18"/>
              </w:rPr>
              <w:t>94</w:t>
            </w:r>
          </w:p>
        </w:tc>
        <w:tc>
          <w:tcPr>
            <w:tcW w:w="1212" w:type="dxa"/>
            <w:tcBorders>
              <w:top w:val="single" w:sz="2"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6D5473">
              <w:rPr>
                <w:rFonts w:ascii="Arial Narrow" w:hAnsi="Arial Narrow" w:cs="Arial"/>
                <w:spacing w:val="6"/>
                <w:sz w:val="18"/>
                <w:szCs w:val="18"/>
              </w:rPr>
              <w:t>1</w:t>
            </w:r>
          </w:p>
        </w:tc>
      </w:tr>
      <w:tr w:rsidR="00EC4F97" w:rsidRPr="007E3BFE" w:rsidTr="00422AD9">
        <w:trPr>
          <w:trHeight w:val="255"/>
          <w:jc w:val="center"/>
        </w:trPr>
        <w:tc>
          <w:tcPr>
            <w:tcW w:w="3278" w:type="dxa"/>
            <w:tcBorders>
              <w:top w:val="single" w:sz="2" w:space="0" w:color="auto"/>
              <w:bottom w:val="single" w:sz="2" w:space="0" w:color="auto"/>
            </w:tcBorders>
            <w:vAlign w:val="center"/>
          </w:tcPr>
          <w:p w:rsidR="00EC4F97" w:rsidRPr="007E3BFE" w:rsidRDefault="00EC4F97" w:rsidP="00422AD9">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3 Gastos financieros</w:t>
            </w:r>
          </w:p>
        </w:tc>
        <w:tc>
          <w:tcPr>
            <w:tcW w:w="1205" w:type="dxa"/>
            <w:tcBorders>
              <w:top w:val="single" w:sz="2"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5,08</w:t>
            </w:r>
          </w:p>
        </w:tc>
        <w:tc>
          <w:tcPr>
            <w:tcW w:w="1021" w:type="dxa"/>
            <w:tcBorders>
              <w:top w:val="single" w:sz="2"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2,79</w:t>
            </w:r>
          </w:p>
        </w:tc>
        <w:tc>
          <w:tcPr>
            <w:tcW w:w="1064" w:type="dxa"/>
            <w:tcBorders>
              <w:top w:val="single" w:sz="2" w:space="0" w:color="auto"/>
              <w:bottom w:val="single" w:sz="2" w:space="0" w:color="auto"/>
            </w:tcBorders>
            <w:vAlign w:val="center"/>
          </w:tcPr>
          <w:p w:rsidR="00EC4F97" w:rsidRPr="003840A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cs="Arial"/>
                <w:spacing w:val="6"/>
                <w:sz w:val="18"/>
                <w:szCs w:val="18"/>
              </w:rPr>
              <w:t>0,37</w:t>
            </w:r>
          </w:p>
        </w:tc>
        <w:tc>
          <w:tcPr>
            <w:tcW w:w="1131" w:type="dxa"/>
            <w:tcBorders>
              <w:top w:val="single" w:sz="2"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DB05D4">
              <w:rPr>
                <w:rFonts w:ascii="Arial Narrow" w:hAnsi="Arial Narrow" w:cs="Arial"/>
                <w:spacing w:val="6"/>
                <w:sz w:val="18"/>
                <w:szCs w:val="18"/>
              </w:rPr>
              <w:t>55</w:t>
            </w:r>
          </w:p>
        </w:tc>
        <w:tc>
          <w:tcPr>
            <w:tcW w:w="1212" w:type="dxa"/>
            <w:tcBorders>
              <w:top w:val="single" w:sz="2"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6D5473">
              <w:rPr>
                <w:rFonts w:ascii="Arial Narrow" w:hAnsi="Arial Narrow" w:cs="Arial"/>
                <w:spacing w:val="6"/>
                <w:sz w:val="18"/>
                <w:szCs w:val="18"/>
              </w:rPr>
              <w:t>-27</w:t>
            </w:r>
          </w:p>
        </w:tc>
      </w:tr>
      <w:tr w:rsidR="00EC4F97" w:rsidRPr="007E3BFE" w:rsidTr="00422AD9">
        <w:trPr>
          <w:trHeight w:val="255"/>
          <w:jc w:val="center"/>
        </w:trPr>
        <w:tc>
          <w:tcPr>
            <w:tcW w:w="3278" w:type="dxa"/>
            <w:tcBorders>
              <w:top w:val="single" w:sz="2" w:space="0" w:color="auto"/>
              <w:bottom w:val="single" w:sz="4" w:space="0" w:color="auto"/>
            </w:tcBorders>
            <w:vAlign w:val="center"/>
          </w:tcPr>
          <w:p w:rsidR="00EC4F97" w:rsidRPr="007E3BFE" w:rsidRDefault="00EC4F97" w:rsidP="00422AD9">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4 Transferencias corrientes</w:t>
            </w:r>
          </w:p>
        </w:tc>
        <w:tc>
          <w:tcPr>
            <w:tcW w:w="1205" w:type="dxa"/>
            <w:tcBorders>
              <w:top w:val="single" w:sz="2" w:space="0" w:color="auto"/>
              <w:bottom w:val="single" w:sz="4"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71,18</w:t>
            </w:r>
          </w:p>
        </w:tc>
        <w:tc>
          <w:tcPr>
            <w:tcW w:w="1021" w:type="dxa"/>
            <w:tcBorders>
              <w:top w:val="single" w:sz="2" w:space="0" w:color="auto"/>
              <w:bottom w:val="single" w:sz="4"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65,68</w:t>
            </w:r>
          </w:p>
        </w:tc>
        <w:tc>
          <w:tcPr>
            <w:tcW w:w="1064" w:type="dxa"/>
            <w:tcBorders>
              <w:top w:val="single" w:sz="2" w:space="0" w:color="auto"/>
              <w:bottom w:val="single" w:sz="4"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3840A5">
              <w:rPr>
                <w:rFonts w:ascii="Arial Narrow" w:hAnsi="Arial Narrow" w:cs="Arial"/>
                <w:spacing w:val="6"/>
                <w:sz w:val="18"/>
                <w:szCs w:val="18"/>
              </w:rPr>
              <w:t>8,73</w:t>
            </w:r>
          </w:p>
        </w:tc>
        <w:tc>
          <w:tcPr>
            <w:tcW w:w="1131" w:type="dxa"/>
            <w:tcBorders>
              <w:top w:val="single" w:sz="2" w:space="0" w:color="auto"/>
              <w:bottom w:val="single" w:sz="4"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DB05D4">
              <w:rPr>
                <w:rFonts w:ascii="Arial Narrow" w:hAnsi="Arial Narrow" w:cs="Arial"/>
                <w:spacing w:val="6"/>
                <w:sz w:val="18"/>
                <w:szCs w:val="18"/>
              </w:rPr>
              <w:t>92</w:t>
            </w:r>
          </w:p>
        </w:tc>
        <w:tc>
          <w:tcPr>
            <w:tcW w:w="1212" w:type="dxa"/>
            <w:tcBorders>
              <w:top w:val="single" w:sz="2" w:space="0" w:color="auto"/>
              <w:bottom w:val="single" w:sz="4"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6D5473">
              <w:rPr>
                <w:rFonts w:ascii="Arial Narrow" w:hAnsi="Arial Narrow" w:cs="Arial"/>
                <w:spacing w:val="6"/>
                <w:sz w:val="18"/>
                <w:szCs w:val="18"/>
              </w:rPr>
              <w:t>-2</w:t>
            </w:r>
          </w:p>
        </w:tc>
      </w:tr>
      <w:tr w:rsidR="00EC4F97" w:rsidRPr="003E30B9" w:rsidTr="00422AD9">
        <w:trPr>
          <w:trHeight w:val="255"/>
          <w:jc w:val="center"/>
        </w:trPr>
        <w:tc>
          <w:tcPr>
            <w:tcW w:w="3278"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left"/>
              <w:rPr>
                <w:rFonts w:ascii="Arial" w:hAnsi="Arial" w:cs="Arial"/>
                <w:spacing w:val="6"/>
                <w:sz w:val="16"/>
                <w:szCs w:val="16"/>
              </w:rPr>
            </w:pPr>
            <w:r w:rsidRPr="003E30B9">
              <w:rPr>
                <w:rFonts w:ascii="Arial" w:hAnsi="Arial" w:cs="Arial"/>
                <w:spacing w:val="6"/>
                <w:sz w:val="16"/>
                <w:szCs w:val="16"/>
              </w:rPr>
              <w:t>Gastos corrientes</w:t>
            </w:r>
          </w:p>
        </w:tc>
        <w:tc>
          <w:tcPr>
            <w:tcW w:w="1205"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3E30B9">
              <w:rPr>
                <w:rFonts w:ascii="Arial" w:hAnsi="Arial" w:cs="Arial"/>
                <w:spacing w:val="6"/>
                <w:sz w:val="16"/>
                <w:szCs w:val="16"/>
              </w:rPr>
              <w:t>643,60</w:t>
            </w:r>
          </w:p>
        </w:tc>
        <w:tc>
          <w:tcPr>
            <w:tcW w:w="1021"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3E30B9">
              <w:rPr>
                <w:rFonts w:ascii="Arial" w:hAnsi="Arial" w:cs="Arial"/>
                <w:spacing w:val="6"/>
                <w:sz w:val="16"/>
                <w:szCs w:val="16"/>
              </w:rPr>
              <w:t>607,89</w:t>
            </w:r>
          </w:p>
        </w:tc>
        <w:tc>
          <w:tcPr>
            <w:tcW w:w="1064"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3E30B9">
              <w:rPr>
                <w:rFonts w:ascii="Arial" w:hAnsi="Arial" w:cs="Arial"/>
                <w:spacing w:val="6"/>
                <w:sz w:val="16"/>
                <w:szCs w:val="16"/>
              </w:rPr>
              <w:t>80,83</w:t>
            </w:r>
          </w:p>
        </w:tc>
        <w:tc>
          <w:tcPr>
            <w:tcW w:w="1131"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3E30B9">
              <w:rPr>
                <w:rFonts w:ascii="Arial" w:hAnsi="Arial" w:cs="Arial"/>
                <w:spacing w:val="6"/>
                <w:sz w:val="16"/>
                <w:szCs w:val="16"/>
              </w:rPr>
              <w:t>94</w:t>
            </w:r>
          </w:p>
        </w:tc>
        <w:tc>
          <w:tcPr>
            <w:tcW w:w="1212"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3E30B9">
              <w:rPr>
                <w:rFonts w:ascii="Arial" w:hAnsi="Arial" w:cs="Arial"/>
                <w:spacing w:val="6"/>
                <w:sz w:val="16"/>
                <w:szCs w:val="16"/>
              </w:rPr>
              <w:t>1</w:t>
            </w:r>
          </w:p>
        </w:tc>
      </w:tr>
      <w:tr w:rsidR="00EC4F97" w:rsidRPr="007E3BFE" w:rsidTr="00422AD9">
        <w:trPr>
          <w:trHeight w:val="255"/>
          <w:jc w:val="center"/>
        </w:trPr>
        <w:tc>
          <w:tcPr>
            <w:tcW w:w="3278" w:type="dxa"/>
            <w:tcBorders>
              <w:top w:val="single" w:sz="4" w:space="0" w:color="auto"/>
              <w:bottom w:val="single" w:sz="2" w:space="0" w:color="auto"/>
            </w:tcBorders>
            <w:vAlign w:val="center"/>
          </w:tcPr>
          <w:p w:rsidR="00EC4F97" w:rsidRPr="007E3BFE" w:rsidRDefault="00EC4F97" w:rsidP="00422AD9">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pacing w:val="6"/>
                <w:sz w:val="18"/>
                <w:szCs w:val="18"/>
              </w:rPr>
              <w:t>5 Fondo de contingencia</w:t>
            </w:r>
          </w:p>
        </w:tc>
        <w:tc>
          <w:tcPr>
            <w:tcW w:w="1205"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0,44</w:t>
            </w:r>
          </w:p>
        </w:tc>
        <w:tc>
          <w:tcPr>
            <w:tcW w:w="1021"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0</w:t>
            </w:r>
          </w:p>
        </w:tc>
        <w:tc>
          <w:tcPr>
            <w:tcW w:w="1064"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3840A5">
              <w:rPr>
                <w:rFonts w:ascii="Arial Narrow" w:hAnsi="Arial Narrow" w:cs="Arial"/>
                <w:spacing w:val="6"/>
                <w:sz w:val="18"/>
                <w:szCs w:val="18"/>
              </w:rPr>
              <w:t>0</w:t>
            </w:r>
          </w:p>
        </w:tc>
        <w:tc>
          <w:tcPr>
            <w:tcW w:w="1131"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3840A5">
              <w:rPr>
                <w:rFonts w:ascii="Arial Narrow" w:hAnsi="Arial Narrow" w:cs="Arial"/>
                <w:spacing w:val="6"/>
                <w:sz w:val="18"/>
                <w:szCs w:val="18"/>
              </w:rPr>
              <w:t>0</w:t>
            </w:r>
          </w:p>
        </w:tc>
        <w:tc>
          <w:tcPr>
            <w:tcW w:w="1212"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3840A5">
              <w:rPr>
                <w:rFonts w:ascii="Arial Narrow" w:hAnsi="Arial Narrow" w:cs="Arial"/>
                <w:spacing w:val="6"/>
                <w:sz w:val="18"/>
                <w:szCs w:val="18"/>
              </w:rPr>
              <w:t>-</w:t>
            </w:r>
          </w:p>
        </w:tc>
      </w:tr>
      <w:tr w:rsidR="00EC4F97" w:rsidRPr="003E30B9" w:rsidTr="00422AD9">
        <w:trPr>
          <w:trHeight w:val="255"/>
          <w:jc w:val="center"/>
        </w:trPr>
        <w:tc>
          <w:tcPr>
            <w:tcW w:w="3278" w:type="dxa"/>
            <w:tcBorders>
              <w:top w:val="single" w:sz="4" w:space="0" w:color="auto"/>
              <w:bottom w:val="single" w:sz="2"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left"/>
              <w:rPr>
                <w:rFonts w:ascii="Arial" w:hAnsi="Arial" w:cs="Arial"/>
                <w:spacing w:val="6"/>
                <w:sz w:val="16"/>
                <w:szCs w:val="16"/>
              </w:rPr>
            </w:pPr>
            <w:r w:rsidRPr="003E30B9">
              <w:rPr>
                <w:rFonts w:ascii="Arial" w:hAnsi="Arial" w:cs="Arial"/>
                <w:spacing w:val="6"/>
                <w:sz w:val="16"/>
                <w:szCs w:val="16"/>
              </w:rPr>
              <w:t>Fondo de contingencia</w:t>
            </w:r>
          </w:p>
        </w:tc>
        <w:tc>
          <w:tcPr>
            <w:tcW w:w="1205" w:type="dxa"/>
            <w:tcBorders>
              <w:top w:val="single" w:sz="4" w:space="0" w:color="auto"/>
              <w:bottom w:val="single" w:sz="2"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sidRPr="003E30B9">
              <w:rPr>
                <w:rFonts w:ascii="Arial" w:hAnsi="Arial" w:cs="Arial"/>
                <w:spacing w:val="6"/>
                <w:sz w:val="16"/>
                <w:szCs w:val="16"/>
              </w:rPr>
              <w:t>0,44</w:t>
            </w:r>
          </w:p>
        </w:tc>
        <w:tc>
          <w:tcPr>
            <w:tcW w:w="1021" w:type="dxa"/>
            <w:tcBorders>
              <w:top w:val="single" w:sz="4" w:space="0" w:color="auto"/>
              <w:bottom w:val="single" w:sz="2"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sidRPr="003E30B9">
              <w:rPr>
                <w:rFonts w:ascii="Arial" w:hAnsi="Arial" w:cs="Arial"/>
                <w:spacing w:val="6"/>
                <w:sz w:val="16"/>
                <w:szCs w:val="16"/>
              </w:rPr>
              <w:t>0</w:t>
            </w:r>
          </w:p>
        </w:tc>
        <w:tc>
          <w:tcPr>
            <w:tcW w:w="1064" w:type="dxa"/>
            <w:tcBorders>
              <w:top w:val="single" w:sz="4" w:space="0" w:color="auto"/>
              <w:bottom w:val="single" w:sz="2"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sidRPr="003E30B9">
              <w:rPr>
                <w:rFonts w:ascii="Arial" w:hAnsi="Arial" w:cs="Arial"/>
                <w:spacing w:val="6"/>
                <w:sz w:val="16"/>
                <w:szCs w:val="16"/>
              </w:rPr>
              <w:t>0</w:t>
            </w:r>
          </w:p>
        </w:tc>
        <w:tc>
          <w:tcPr>
            <w:tcW w:w="1131" w:type="dxa"/>
            <w:tcBorders>
              <w:top w:val="single" w:sz="4" w:space="0" w:color="auto"/>
              <w:bottom w:val="single" w:sz="2"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sidRPr="003E30B9">
              <w:rPr>
                <w:rFonts w:ascii="Arial" w:hAnsi="Arial" w:cs="Arial"/>
                <w:spacing w:val="6"/>
                <w:sz w:val="16"/>
                <w:szCs w:val="16"/>
              </w:rPr>
              <w:t>0</w:t>
            </w:r>
          </w:p>
        </w:tc>
        <w:tc>
          <w:tcPr>
            <w:tcW w:w="1212" w:type="dxa"/>
            <w:tcBorders>
              <w:top w:val="single" w:sz="4" w:space="0" w:color="auto"/>
              <w:bottom w:val="single" w:sz="2"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sidRPr="003E30B9">
              <w:rPr>
                <w:rFonts w:ascii="Arial" w:hAnsi="Arial" w:cs="Arial"/>
                <w:spacing w:val="6"/>
                <w:sz w:val="16"/>
                <w:szCs w:val="16"/>
              </w:rPr>
              <w:t>-</w:t>
            </w:r>
          </w:p>
        </w:tc>
      </w:tr>
      <w:tr w:rsidR="00EC4F97" w:rsidRPr="007E3BFE" w:rsidTr="00422AD9">
        <w:trPr>
          <w:trHeight w:val="255"/>
          <w:jc w:val="center"/>
        </w:trPr>
        <w:tc>
          <w:tcPr>
            <w:tcW w:w="3278" w:type="dxa"/>
            <w:tcBorders>
              <w:top w:val="single" w:sz="4" w:space="0" w:color="auto"/>
              <w:bottom w:val="single" w:sz="2" w:space="0" w:color="auto"/>
            </w:tcBorders>
            <w:vAlign w:val="center"/>
          </w:tcPr>
          <w:p w:rsidR="00EC4F97" w:rsidRPr="007E3BFE" w:rsidRDefault="00EC4F97" w:rsidP="00422AD9">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6 Inversiones reales</w:t>
            </w:r>
          </w:p>
        </w:tc>
        <w:tc>
          <w:tcPr>
            <w:tcW w:w="1205"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192,07</w:t>
            </w:r>
          </w:p>
        </w:tc>
        <w:tc>
          <w:tcPr>
            <w:tcW w:w="1021"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88,72</w:t>
            </w:r>
          </w:p>
        </w:tc>
        <w:tc>
          <w:tcPr>
            <w:tcW w:w="1064"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3840A5">
              <w:rPr>
                <w:rFonts w:ascii="Arial Narrow" w:hAnsi="Arial Narrow" w:cs="Arial"/>
                <w:spacing w:val="6"/>
                <w:sz w:val="18"/>
                <w:szCs w:val="18"/>
              </w:rPr>
              <w:t>11,80</w:t>
            </w:r>
          </w:p>
        </w:tc>
        <w:tc>
          <w:tcPr>
            <w:tcW w:w="1131"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DB05D4">
              <w:rPr>
                <w:rFonts w:ascii="Arial Narrow" w:hAnsi="Arial Narrow" w:cs="Arial"/>
                <w:spacing w:val="6"/>
                <w:sz w:val="18"/>
                <w:szCs w:val="18"/>
              </w:rPr>
              <w:t>46</w:t>
            </w:r>
          </w:p>
        </w:tc>
        <w:tc>
          <w:tcPr>
            <w:tcW w:w="1212"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6D5473">
              <w:rPr>
                <w:rFonts w:ascii="Arial Narrow" w:hAnsi="Arial Narrow" w:cs="Arial"/>
                <w:spacing w:val="6"/>
                <w:sz w:val="18"/>
                <w:szCs w:val="18"/>
              </w:rPr>
              <w:t>24</w:t>
            </w:r>
          </w:p>
        </w:tc>
      </w:tr>
      <w:tr w:rsidR="00EC4F97" w:rsidRPr="007E3BFE" w:rsidTr="00422AD9">
        <w:trPr>
          <w:trHeight w:val="255"/>
          <w:jc w:val="center"/>
        </w:trPr>
        <w:tc>
          <w:tcPr>
            <w:tcW w:w="3278" w:type="dxa"/>
            <w:tcBorders>
              <w:top w:val="single" w:sz="2" w:space="0" w:color="auto"/>
              <w:bottom w:val="single" w:sz="4" w:space="0" w:color="auto"/>
            </w:tcBorders>
            <w:vAlign w:val="center"/>
          </w:tcPr>
          <w:p w:rsidR="00EC4F97" w:rsidRPr="007E3BFE" w:rsidRDefault="00EC4F97" w:rsidP="00422AD9">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7 Transferencias de capital</w:t>
            </w:r>
          </w:p>
        </w:tc>
        <w:tc>
          <w:tcPr>
            <w:tcW w:w="1205" w:type="dxa"/>
            <w:tcBorders>
              <w:top w:val="single" w:sz="2" w:space="0" w:color="auto"/>
              <w:bottom w:val="single" w:sz="4"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13,01</w:t>
            </w:r>
          </w:p>
        </w:tc>
        <w:tc>
          <w:tcPr>
            <w:tcW w:w="1021" w:type="dxa"/>
            <w:tcBorders>
              <w:top w:val="single" w:sz="2" w:space="0" w:color="auto"/>
              <w:bottom w:val="single" w:sz="4"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8,98</w:t>
            </w:r>
          </w:p>
        </w:tc>
        <w:tc>
          <w:tcPr>
            <w:tcW w:w="1064" w:type="dxa"/>
            <w:tcBorders>
              <w:top w:val="single" w:sz="2" w:space="0" w:color="auto"/>
              <w:bottom w:val="single" w:sz="4"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3840A5">
              <w:rPr>
                <w:rFonts w:ascii="Arial Narrow" w:hAnsi="Arial Narrow" w:cs="Arial"/>
                <w:spacing w:val="6"/>
                <w:sz w:val="18"/>
                <w:szCs w:val="18"/>
              </w:rPr>
              <w:t>1,19</w:t>
            </w:r>
          </w:p>
        </w:tc>
        <w:tc>
          <w:tcPr>
            <w:tcW w:w="1131" w:type="dxa"/>
            <w:tcBorders>
              <w:top w:val="single" w:sz="2" w:space="0" w:color="auto"/>
              <w:bottom w:val="single" w:sz="4"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DB05D4">
              <w:rPr>
                <w:rFonts w:ascii="Arial Narrow" w:hAnsi="Arial Narrow" w:cs="Arial"/>
                <w:spacing w:val="6"/>
                <w:sz w:val="18"/>
                <w:szCs w:val="18"/>
              </w:rPr>
              <w:t>69</w:t>
            </w:r>
          </w:p>
        </w:tc>
        <w:tc>
          <w:tcPr>
            <w:tcW w:w="1212" w:type="dxa"/>
            <w:tcBorders>
              <w:top w:val="single" w:sz="2" w:space="0" w:color="auto"/>
              <w:bottom w:val="single" w:sz="4"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6D5473">
              <w:rPr>
                <w:rFonts w:ascii="Arial Narrow" w:hAnsi="Arial Narrow" w:cs="Arial"/>
                <w:spacing w:val="6"/>
                <w:sz w:val="18"/>
                <w:szCs w:val="18"/>
              </w:rPr>
              <w:t>8</w:t>
            </w:r>
          </w:p>
        </w:tc>
      </w:tr>
      <w:tr w:rsidR="00EC4F97" w:rsidRPr="003E30B9" w:rsidTr="00422AD9">
        <w:trPr>
          <w:trHeight w:val="255"/>
          <w:jc w:val="center"/>
        </w:trPr>
        <w:tc>
          <w:tcPr>
            <w:tcW w:w="3278"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left"/>
              <w:rPr>
                <w:rFonts w:ascii="Arial" w:hAnsi="Arial" w:cs="Arial"/>
                <w:spacing w:val="6"/>
                <w:sz w:val="16"/>
                <w:szCs w:val="16"/>
              </w:rPr>
            </w:pPr>
            <w:r w:rsidRPr="003E30B9">
              <w:rPr>
                <w:rFonts w:ascii="Arial" w:hAnsi="Arial" w:cs="Arial"/>
                <w:spacing w:val="6"/>
                <w:sz w:val="16"/>
                <w:szCs w:val="16"/>
              </w:rPr>
              <w:t>Gastos de capital</w:t>
            </w:r>
          </w:p>
        </w:tc>
        <w:tc>
          <w:tcPr>
            <w:tcW w:w="1205"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sidRPr="003E30B9">
              <w:rPr>
                <w:rFonts w:ascii="Arial" w:hAnsi="Arial" w:cs="Arial"/>
                <w:spacing w:val="6"/>
                <w:sz w:val="16"/>
                <w:szCs w:val="16"/>
              </w:rPr>
              <w:t>205,09</w:t>
            </w:r>
          </w:p>
        </w:tc>
        <w:tc>
          <w:tcPr>
            <w:tcW w:w="1021"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sidRPr="003E30B9">
              <w:rPr>
                <w:rFonts w:ascii="Arial" w:hAnsi="Arial" w:cs="Arial"/>
                <w:spacing w:val="6"/>
                <w:sz w:val="16"/>
                <w:szCs w:val="16"/>
              </w:rPr>
              <w:t>97,69</w:t>
            </w:r>
          </w:p>
        </w:tc>
        <w:tc>
          <w:tcPr>
            <w:tcW w:w="1064"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sidRPr="003E30B9">
              <w:rPr>
                <w:rFonts w:ascii="Arial" w:hAnsi="Arial" w:cs="Arial"/>
                <w:spacing w:val="6"/>
                <w:sz w:val="16"/>
                <w:szCs w:val="16"/>
              </w:rPr>
              <w:t>12,99</w:t>
            </w:r>
          </w:p>
        </w:tc>
        <w:tc>
          <w:tcPr>
            <w:tcW w:w="1131"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sidRPr="003E30B9">
              <w:rPr>
                <w:rFonts w:ascii="Arial" w:hAnsi="Arial" w:cs="Arial"/>
                <w:spacing w:val="6"/>
                <w:sz w:val="16"/>
                <w:szCs w:val="16"/>
              </w:rPr>
              <w:t>48</w:t>
            </w:r>
          </w:p>
        </w:tc>
        <w:tc>
          <w:tcPr>
            <w:tcW w:w="1212"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sidRPr="003E30B9">
              <w:rPr>
                <w:rFonts w:ascii="Arial" w:hAnsi="Arial" w:cs="Arial"/>
                <w:spacing w:val="6"/>
                <w:sz w:val="16"/>
                <w:szCs w:val="16"/>
              </w:rPr>
              <w:t>23</w:t>
            </w:r>
          </w:p>
        </w:tc>
      </w:tr>
      <w:tr w:rsidR="00EC4F97" w:rsidRPr="007E3BFE" w:rsidTr="00422AD9">
        <w:trPr>
          <w:trHeight w:val="255"/>
          <w:jc w:val="center"/>
        </w:trPr>
        <w:tc>
          <w:tcPr>
            <w:tcW w:w="3278" w:type="dxa"/>
            <w:tcBorders>
              <w:top w:val="single" w:sz="4" w:space="0" w:color="auto"/>
              <w:bottom w:val="single" w:sz="2" w:space="0" w:color="auto"/>
            </w:tcBorders>
            <w:vAlign w:val="center"/>
          </w:tcPr>
          <w:p w:rsidR="00EC4F97" w:rsidRPr="007E3BFE" w:rsidRDefault="00EC4F97" w:rsidP="00422AD9">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8 Variación de activos financieros</w:t>
            </w:r>
          </w:p>
        </w:tc>
        <w:tc>
          <w:tcPr>
            <w:tcW w:w="1205"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3,24</w:t>
            </w:r>
          </w:p>
        </w:tc>
        <w:tc>
          <w:tcPr>
            <w:tcW w:w="1021"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1,76</w:t>
            </w:r>
          </w:p>
        </w:tc>
        <w:tc>
          <w:tcPr>
            <w:tcW w:w="1064"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3840A5">
              <w:rPr>
                <w:rFonts w:ascii="Arial Narrow" w:hAnsi="Arial Narrow" w:cs="Arial"/>
                <w:spacing w:val="6"/>
                <w:sz w:val="18"/>
                <w:szCs w:val="18"/>
              </w:rPr>
              <w:t>0,23</w:t>
            </w:r>
          </w:p>
        </w:tc>
        <w:tc>
          <w:tcPr>
            <w:tcW w:w="1131"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DB05D4">
              <w:rPr>
                <w:rFonts w:ascii="Arial Narrow" w:hAnsi="Arial Narrow" w:cs="Arial"/>
                <w:spacing w:val="6"/>
                <w:sz w:val="18"/>
                <w:szCs w:val="18"/>
              </w:rPr>
              <w:t>54</w:t>
            </w:r>
          </w:p>
        </w:tc>
        <w:tc>
          <w:tcPr>
            <w:tcW w:w="1212" w:type="dxa"/>
            <w:tcBorders>
              <w:top w:val="single" w:sz="4" w:space="0" w:color="auto"/>
              <w:bottom w:val="single" w:sz="2"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6D5473">
              <w:rPr>
                <w:rFonts w:ascii="Arial Narrow" w:hAnsi="Arial Narrow" w:cs="Arial"/>
                <w:spacing w:val="6"/>
                <w:sz w:val="18"/>
                <w:szCs w:val="18"/>
              </w:rPr>
              <w:t>83</w:t>
            </w:r>
          </w:p>
        </w:tc>
      </w:tr>
      <w:tr w:rsidR="00EC4F97" w:rsidRPr="007E3BFE" w:rsidTr="00422AD9">
        <w:trPr>
          <w:trHeight w:val="255"/>
          <w:jc w:val="center"/>
        </w:trPr>
        <w:tc>
          <w:tcPr>
            <w:tcW w:w="3278" w:type="dxa"/>
            <w:tcBorders>
              <w:top w:val="single" w:sz="2" w:space="0" w:color="auto"/>
              <w:bottom w:val="single" w:sz="4" w:space="0" w:color="auto"/>
            </w:tcBorders>
            <w:vAlign w:val="center"/>
          </w:tcPr>
          <w:p w:rsidR="00EC4F97" w:rsidRPr="007E3BFE" w:rsidRDefault="00EC4F97" w:rsidP="00422AD9">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sidRPr="007E3BFE">
              <w:rPr>
                <w:rFonts w:ascii="Arial Narrow" w:hAnsi="Arial Narrow"/>
                <w:spacing w:val="6"/>
                <w:sz w:val="18"/>
                <w:szCs w:val="18"/>
              </w:rPr>
              <w:t>9 Variación de pasivos financieros</w:t>
            </w:r>
          </w:p>
        </w:tc>
        <w:tc>
          <w:tcPr>
            <w:tcW w:w="1205" w:type="dxa"/>
            <w:tcBorders>
              <w:top w:val="single" w:sz="2" w:space="0" w:color="auto"/>
              <w:bottom w:val="single" w:sz="4"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45,44</w:t>
            </w:r>
          </w:p>
        </w:tc>
        <w:tc>
          <w:tcPr>
            <w:tcW w:w="1021" w:type="dxa"/>
            <w:tcBorders>
              <w:top w:val="single" w:sz="2" w:space="0" w:color="auto"/>
              <w:bottom w:val="single" w:sz="4"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sidRPr="003840A5">
              <w:rPr>
                <w:rFonts w:ascii="Arial Narrow" w:hAnsi="Arial Narrow"/>
                <w:spacing w:val="6"/>
                <w:sz w:val="18"/>
                <w:szCs w:val="18"/>
              </w:rPr>
              <w:t>44,69</w:t>
            </w:r>
          </w:p>
        </w:tc>
        <w:tc>
          <w:tcPr>
            <w:tcW w:w="1064" w:type="dxa"/>
            <w:tcBorders>
              <w:top w:val="single" w:sz="2" w:space="0" w:color="auto"/>
              <w:bottom w:val="single" w:sz="4"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3840A5">
              <w:rPr>
                <w:rFonts w:ascii="Arial Narrow" w:hAnsi="Arial Narrow" w:cs="Arial"/>
                <w:spacing w:val="6"/>
                <w:sz w:val="18"/>
                <w:szCs w:val="18"/>
              </w:rPr>
              <w:t>5,94</w:t>
            </w:r>
          </w:p>
        </w:tc>
        <w:tc>
          <w:tcPr>
            <w:tcW w:w="1131" w:type="dxa"/>
            <w:tcBorders>
              <w:top w:val="single" w:sz="2" w:space="0" w:color="auto"/>
              <w:bottom w:val="single" w:sz="4"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DB05D4">
              <w:rPr>
                <w:rFonts w:ascii="Arial Narrow" w:hAnsi="Arial Narrow" w:cs="Arial"/>
                <w:spacing w:val="6"/>
                <w:sz w:val="18"/>
                <w:szCs w:val="18"/>
              </w:rPr>
              <w:t>98</w:t>
            </w:r>
          </w:p>
        </w:tc>
        <w:tc>
          <w:tcPr>
            <w:tcW w:w="1212" w:type="dxa"/>
            <w:tcBorders>
              <w:top w:val="single" w:sz="2" w:space="0" w:color="auto"/>
              <w:bottom w:val="single" w:sz="4" w:space="0" w:color="auto"/>
            </w:tcBorders>
            <w:vAlign w:val="center"/>
          </w:tcPr>
          <w:p w:rsidR="00EC4F97" w:rsidRPr="00EF3C45" w:rsidRDefault="00EC4F97" w:rsidP="00422AD9">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sidRPr="006D5473">
              <w:rPr>
                <w:rFonts w:ascii="Arial Narrow" w:hAnsi="Arial Narrow" w:cs="Arial"/>
                <w:spacing w:val="6"/>
                <w:sz w:val="18"/>
                <w:szCs w:val="18"/>
              </w:rPr>
              <w:t>32</w:t>
            </w:r>
          </w:p>
        </w:tc>
      </w:tr>
      <w:tr w:rsidR="00EC4F97" w:rsidRPr="003E30B9" w:rsidTr="00422AD9">
        <w:trPr>
          <w:trHeight w:val="255"/>
          <w:jc w:val="center"/>
        </w:trPr>
        <w:tc>
          <w:tcPr>
            <w:tcW w:w="3278"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left"/>
              <w:rPr>
                <w:rFonts w:ascii="Arial" w:hAnsi="Arial" w:cs="Arial"/>
                <w:spacing w:val="6"/>
                <w:sz w:val="16"/>
                <w:szCs w:val="16"/>
              </w:rPr>
            </w:pPr>
            <w:r w:rsidRPr="003E30B9">
              <w:rPr>
                <w:rFonts w:ascii="Arial" w:hAnsi="Arial" w:cs="Arial"/>
                <w:spacing w:val="6"/>
                <w:sz w:val="16"/>
                <w:szCs w:val="16"/>
              </w:rPr>
              <w:t>Gastos de operaciones financieras</w:t>
            </w:r>
          </w:p>
        </w:tc>
        <w:tc>
          <w:tcPr>
            <w:tcW w:w="1205"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sidRPr="003E30B9">
              <w:rPr>
                <w:rFonts w:ascii="Arial" w:hAnsi="Arial" w:cs="Arial"/>
                <w:spacing w:val="6"/>
                <w:sz w:val="16"/>
                <w:szCs w:val="16"/>
              </w:rPr>
              <w:t>48,68</w:t>
            </w:r>
          </w:p>
        </w:tc>
        <w:tc>
          <w:tcPr>
            <w:tcW w:w="1021"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sidRPr="003E30B9">
              <w:rPr>
                <w:rFonts w:ascii="Arial" w:hAnsi="Arial" w:cs="Arial"/>
                <w:spacing w:val="6"/>
                <w:sz w:val="16"/>
                <w:szCs w:val="16"/>
              </w:rPr>
              <w:t>46,45</w:t>
            </w:r>
          </w:p>
        </w:tc>
        <w:tc>
          <w:tcPr>
            <w:tcW w:w="1064"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sidRPr="003E30B9">
              <w:rPr>
                <w:rFonts w:ascii="Arial" w:hAnsi="Arial" w:cs="Arial"/>
                <w:spacing w:val="6"/>
                <w:sz w:val="16"/>
                <w:szCs w:val="16"/>
              </w:rPr>
              <w:t>6,18</w:t>
            </w:r>
          </w:p>
        </w:tc>
        <w:tc>
          <w:tcPr>
            <w:tcW w:w="1131"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sidRPr="003E30B9">
              <w:rPr>
                <w:rFonts w:ascii="Arial" w:hAnsi="Arial" w:cs="Arial"/>
                <w:spacing w:val="6"/>
                <w:sz w:val="16"/>
                <w:szCs w:val="16"/>
              </w:rPr>
              <w:t>95</w:t>
            </w:r>
          </w:p>
        </w:tc>
        <w:tc>
          <w:tcPr>
            <w:tcW w:w="1212" w:type="dxa"/>
            <w:tcBorders>
              <w:top w:val="single" w:sz="4" w:space="0" w:color="auto"/>
              <w:bottom w:val="single" w:sz="4" w:space="0" w:color="auto"/>
            </w:tcBorders>
            <w:vAlign w:val="center"/>
          </w:tcPr>
          <w:p w:rsidR="00EC4F97" w:rsidRPr="003E30B9" w:rsidRDefault="00EC4F97" w:rsidP="00422AD9">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sidRPr="003E30B9">
              <w:rPr>
                <w:rFonts w:ascii="Arial" w:hAnsi="Arial" w:cs="Arial"/>
                <w:spacing w:val="6"/>
                <w:sz w:val="16"/>
                <w:szCs w:val="16"/>
              </w:rPr>
              <w:t>34</w:t>
            </w:r>
          </w:p>
        </w:tc>
      </w:tr>
      <w:tr w:rsidR="00EC4F97" w:rsidRPr="003E30B9" w:rsidTr="00422AD9">
        <w:trPr>
          <w:trHeight w:val="255"/>
          <w:jc w:val="center"/>
        </w:trPr>
        <w:tc>
          <w:tcPr>
            <w:tcW w:w="3278" w:type="dxa"/>
            <w:tcBorders>
              <w:top w:val="single" w:sz="4" w:space="0" w:color="auto"/>
              <w:bottom w:val="single" w:sz="4" w:space="0" w:color="auto"/>
            </w:tcBorders>
            <w:shd w:val="clear" w:color="auto" w:fill="FBD4B4" w:themeFill="accent6" w:themeFillTint="66"/>
            <w:vAlign w:val="center"/>
          </w:tcPr>
          <w:p w:rsidR="00EC4F97" w:rsidRPr="003E30B9" w:rsidRDefault="00EC4F97" w:rsidP="00422AD9">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sidRPr="003E30B9">
              <w:rPr>
                <w:rFonts w:ascii="Arial" w:hAnsi="Arial" w:cs="Arial"/>
                <w:spacing w:val="6"/>
                <w:sz w:val="16"/>
                <w:szCs w:val="16"/>
              </w:rPr>
              <w:t>Total gastos</w:t>
            </w:r>
          </w:p>
        </w:tc>
        <w:tc>
          <w:tcPr>
            <w:tcW w:w="1205" w:type="dxa"/>
            <w:tcBorders>
              <w:top w:val="single" w:sz="4" w:space="0" w:color="auto"/>
              <w:bottom w:val="single" w:sz="4" w:space="0" w:color="auto"/>
            </w:tcBorders>
            <w:shd w:val="clear" w:color="auto" w:fill="FBD4B4" w:themeFill="accent6" w:themeFillTint="66"/>
            <w:vAlign w:val="center"/>
          </w:tcPr>
          <w:p w:rsidR="00EC4F97" w:rsidRPr="003E30B9"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3E30B9">
              <w:rPr>
                <w:rFonts w:ascii="Arial" w:hAnsi="Arial" w:cs="Arial"/>
                <w:spacing w:val="6"/>
                <w:sz w:val="16"/>
                <w:szCs w:val="16"/>
              </w:rPr>
              <w:t>897,09</w:t>
            </w:r>
          </w:p>
        </w:tc>
        <w:tc>
          <w:tcPr>
            <w:tcW w:w="1021" w:type="dxa"/>
            <w:tcBorders>
              <w:top w:val="single" w:sz="4" w:space="0" w:color="auto"/>
              <w:bottom w:val="single" w:sz="4" w:space="0" w:color="auto"/>
            </w:tcBorders>
            <w:shd w:val="clear" w:color="auto" w:fill="FBD4B4" w:themeFill="accent6" w:themeFillTint="66"/>
            <w:vAlign w:val="center"/>
          </w:tcPr>
          <w:p w:rsidR="00EC4F97" w:rsidRPr="003E30B9"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3E30B9">
              <w:rPr>
                <w:rFonts w:ascii="Arial" w:hAnsi="Arial" w:cs="Arial"/>
                <w:spacing w:val="6"/>
                <w:sz w:val="16"/>
                <w:szCs w:val="16"/>
              </w:rPr>
              <w:t>752,03</w:t>
            </w:r>
          </w:p>
        </w:tc>
        <w:tc>
          <w:tcPr>
            <w:tcW w:w="1064" w:type="dxa"/>
            <w:tcBorders>
              <w:top w:val="single" w:sz="4" w:space="0" w:color="auto"/>
              <w:bottom w:val="single" w:sz="4" w:space="0" w:color="auto"/>
            </w:tcBorders>
            <w:shd w:val="clear" w:color="auto" w:fill="FBD4B4" w:themeFill="accent6" w:themeFillTint="66"/>
            <w:vAlign w:val="center"/>
          </w:tcPr>
          <w:p w:rsidR="00EC4F97" w:rsidRPr="003E30B9"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3E30B9">
              <w:rPr>
                <w:rFonts w:ascii="Arial" w:hAnsi="Arial" w:cs="Arial"/>
                <w:spacing w:val="6"/>
                <w:sz w:val="16"/>
                <w:szCs w:val="16"/>
              </w:rPr>
              <w:t>100</w:t>
            </w:r>
          </w:p>
        </w:tc>
        <w:tc>
          <w:tcPr>
            <w:tcW w:w="1131" w:type="dxa"/>
            <w:tcBorders>
              <w:top w:val="single" w:sz="4" w:space="0" w:color="auto"/>
              <w:bottom w:val="single" w:sz="4" w:space="0" w:color="auto"/>
            </w:tcBorders>
            <w:shd w:val="clear" w:color="auto" w:fill="FBD4B4" w:themeFill="accent6" w:themeFillTint="66"/>
            <w:vAlign w:val="center"/>
          </w:tcPr>
          <w:p w:rsidR="00EC4F97" w:rsidRPr="003E30B9"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3E30B9">
              <w:rPr>
                <w:rFonts w:ascii="Arial" w:hAnsi="Arial" w:cs="Arial"/>
                <w:spacing w:val="6"/>
                <w:sz w:val="16"/>
                <w:szCs w:val="16"/>
              </w:rPr>
              <w:t>84</w:t>
            </w:r>
          </w:p>
        </w:tc>
        <w:tc>
          <w:tcPr>
            <w:tcW w:w="1212" w:type="dxa"/>
            <w:tcBorders>
              <w:top w:val="single" w:sz="4" w:space="0" w:color="auto"/>
              <w:bottom w:val="single" w:sz="4" w:space="0" w:color="auto"/>
            </w:tcBorders>
            <w:shd w:val="clear" w:color="auto" w:fill="FBD4B4" w:themeFill="accent6" w:themeFillTint="66"/>
            <w:vAlign w:val="center"/>
          </w:tcPr>
          <w:p w:rsidR="00EC4F97" w:rsidRPr="003E30B9" w:rsidRDefault="00EC4F97" w:rsidP="00422AD9">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sidRPr="003E30B9">
              <w:rPr>
                <w:rFonts w:ascii="Arial" w:hAnsi="Arial" w:cs="Arial"/>
                <w:spacing w:val="6"/>
                <w:sz w:val="16"/>
                <w:szCs w:val="16"/>
              </w:rPr>
              <w:t>5</w:t>
            </w:r>
          </w:p>
        </w:tc>
      </w:tr>
    </w:tbl>
    <w:p w:rsidR="00EC4F97" w:rsidRPr="007E3BFE" w:rsidRDefault="00EC4F97" w:rsidP="00EC4F97">
      <w:pPr>
        <w:pStyle w:val="texto"/>
        <w:spacing w:before="240"/>
      </w:pPr>
      <w:r w:rsidRPr="007E3BFE">
        <w:t>Los créditos de</w:t>
      </w:r>
      <w:r>
        <w:t>finitivos para el ejercicio 2017</w:t>
      </w:r>
      <w:r w:rsidRPr="007E3BFE">
        <w:t xml:space="preserve"> ascendieron a </w:t>
      </w:r>
      <w:r>
        <w:t>897,09</w:t>
      </w:r>
      <w:r w:rsidRPr="007E3BFE">
        <w:t xml:space="preserve"> millones de euros y se ejecutaron en un </w:t>
      </w:r>
      <w:r>
        <w:t>84</w:t>
      </w:r>
      <w:r w:rsidRPr="007E3BFE">
        <w:t xml:space="preserve"> por ciento. Los gastos corrientes</w:t>
      </w:r>
      <w:r>
        <w:t xml:space="preserve"> </w:t>
      </w:r>
      <w:r w:rsidRPr="007E3BFE">
        <w:t xml:space="preserve">y los </w:t>
      </w:r>
      <w:r>
        <w:t>rel</w:t>
      </w:r>
      <w:r>
        <w:t>a</w:t>
      </w:r>
      <w:r>
        <w:t>cionados con</w:t>
      </w:r>
      <w:r w:rsidRPr="007E3BFE">
        <w:t xml:space="preserve"> operaciones financieras presentan un grado de ejecución del </w:t>
      </w:r>
      <w:r>
        <w:t>94 y del 95</w:t>
      </w:r>
      <w:r w:rsidRPr="007E3BFE">
        <w:t xml:space="preserve"> por ciento</w:t>
      </w:r>
      <w:r>
        <w:t xml:space="preserve"> respectivamente</w:t>
      </w:r>
      <w:r w:rsidRPr="007E3BFE">
        <w:t xml:space="preserve">. </w:t>
      </w:r>
      <w:r>
        <w:t>Sin embargo</w:t>
      </w:r>
      <w:r w:rsidRPr="007E3BFE">
        <w:t xml:space="preserve">, el grado de ejecución de los gastos de capital fue del </w:t>
      </w:r>
      <w:r>
        <w:t>48</w:t>
      </w:r>
      <w:r w:rsidRPr="007E3BFE">
        <w:t xml:space="preserve"> por ciento.</w:t>
      </w:r>
    </w:p>
    <w:p w:rsidR="00EC4F97" w:rsidRDefault="00EC4F97" w:rsidP="00EC4F97">
      <w:pPr>
        <w:pStyle w:val="texto"/>
      </w:pPr>
      <w:r w:rsidRPr="007E3BFE">
        <w:t>Los gastos del sector público local en 201</w:t>
      </w:r>
      <w:r>
        <w:t>7</w:t>
      </w:r>
      <w:r w:rsidRPr="007E3BFE">
        <w:t xml:space="preserve"> ascendieron a </w:t>
      </w:r>
      <w:r>
        <w:t>752,03</w:t>
      </w:r>
      <w:r w:rsidRPr="007E3BFE">
        <w:t xml:space="preserve"> millones de eu</w:t>
      </w:r>
      <w:r>
        <w:t xml:space="preserve">ros y fueron un cinco por ciento superiores a los de 2016; destacan </w:t>
      </w:r>
      <w:r w:rsidRPr="007E3BFE">
        <w:t>los</w:t>
      </w:r>
      <w:r>
        <w:t xml:space="preserve"> gastos de personal y los</w:t>
      </w:r>
      <w:r w:rsidRPr="007E3BFE">
        <w:t xml:space="preserve"> gastos en bienes corrientes y servicios con porcentajes </w:t>
      </w:r>
      <w:r>
        <w:t>del</w:t>
      </w:r>
      <w:r w:rsidRPr="007E3BFE">
        <w:t xml:space="preserve"> 3</w:t>
      </w:r>
      <w:r>
        <w:t xml:space="preserve">6 y 35 </w:t>
      </w:r>
      <w:r w:rsidRPr="007E3BFE">
        <w:t>por ciento</w:t>
      </w:r>
      <w:r>
        <w:t>, respectivamente,</w:t>
      </w:r>
      <w:r w:rsidRPr="007E3BFE">
        <w:t xml:space="preserve"> sobre el total de gastos reconocidos. </w:t>
      </w:r>
      <w:r>
        <w:t>Por otro lado, l</w:t>
      </w:r>
      <w:r w:rsidRPr="007E3BFE">
        <w:t xml:space="preserve">as inversiones representan el </w:t>
      </w:r>
      <w:r>
        <w:t>doce</w:t>
      </w:r>
      <w:r w:rsidRPr="007E3BFE">
        <w:t xml:space="preserve"> por ciento del total de gastos.</w:t>
      </w:r>
      <w:r>
        <w:t xml:space="preserve"> </w:t>
      </w:r>
    </w:p>
    <w:p w:rsidR="00EC4F97" w:rsidRDefault="00EC4F97" w:rsidP="00EC4F97">
      <w:pPr>
        <w:pStyle w:val="texto"/>
      </w:pPr>
      <w:r>
        <w:t>Las variaciones más significativas con respecto al año 2016 se dan en los gastos por operaciones financieras y en los gastos de capital que aumentan un 34 y un 23 por ciento respectivamente.</w:t>
      </w:r>
    </w:p>
    <w:p w:rsidR="00EC4F97" w:rsidRDefault="00EC4F97" w:rsidP="00EC4F97">
      <w:pPr>
        <w:spacing w:after="0"/>
        <w:ind w:firstLine="0"/>
        <w:jc w:val="left"/>
        <w:rPr>
          <w:spacing w:val="6"/>
          <w:sz w:val="26"/>
          <w:szCs w:val="24"/>
        </w:rPr>
      </w:pPr>
      <w:r>
        <w:br w:type="page"/>
      </w:r>
    </w:p>
    <w:p w:rsidR="00EC4F97" w:rsidRDefault="00EC4F97" w:rsidP="00091A43">
      <w:pPr>
        <w:pStyle w:val="texto"/>
        <w:spacing w:after="180"/>
      </w:pPr>
      <w:r>
        <w:t xml:space="preserve">En el siguiente cuadro mostramos la </w:t>
      </w:r>
      <w:r w:rsidRPr="007E3BFE">
        <w:t>clasificación funcional de estos gas</w:t>
      </w:r>
      <w:r>
        <w:t>tos:</w:t>
      </w:r>
    </w:p>
    <w:p w:rsidR="00EC4F97" w:rsidRPr="008D13A6" w:rsidRDefault="00EC4F97" w:rsidP="00EC4F97">
      <w:pPr>
        <w:pStyle w:val="texto"/>
        <w:spacing w:after="40"/>
        <w:jc w:val="right"/>
        <w:rPr>
          <w:sz w:val="20"/>
          <w:szCs w:val="20"/>
        </w:rPr>
      </w:pPr>
      <w:r w:rsidRPr="008D13A6">
        <w:rPr>
          <w:sz w:val="20"/>
          <w:szCs w:val="20"/>
        </w:rPr>
        <w:t>(en millones de euros)</w:t>
      </w:r>
    </w:p>
    <w:tbl>
      <w:tblPr>
        <w:tblW w:w="8897" w:type="dxa"/>
        <w:tblBorders>
          <w:top w:val="single" w:sz="4" w:space="0" w:color="auto"/>
          <w:bottom w:val="single" w:sz="4" w:space="0" w:color="auto"/>
          <w:insideH w:val="single" w:sz="4" w:space="0" w:color="auto"/>
        </w:tblBorders>
        <w:tblLook w:val="00A0" w:firstRow="1" w:lastRow="0" w:firstColumn="1" w:lastColumn="0" w:noHBand="0" w:noVBand="0"/>
      </w:tblPr>
      <w:tblGrid>
        <w:gridCol w:w="4219"/>
        <w:gridCol w:w="2693"/>
        <w:gridCol w:w="1985"/>
      </w:tblGrid>
      <w:tr w:rsidR="00EC4F97" w:rsidRPr="008426B0" w:rsidTr="00422AD9">
        <w:tc>
          <w:tcPr>
            <w:tcW w:w="4219" w:type="dxa"/>
            <w:shd w:val="clear" w:color="auto" w:fill="FBD4B4" w:themeFill="accent6" w:themeFillTint="66"/>
          </w:tcPr>
          <w:p w:rsidR="00EC4F97" w:rsidRPr="008426B0" w:rsidRDefault="00EC4F97" w:rsidP="00422AD9">
            <w:pPr>
              <w:pStyle w:val="texto"/>
              <w:spacing w:after="0" w:line="240" w:lineRule="atLeast"/>
              <w:ind w:firstLine="0"/>
              <w:rPr>
                <w:rFonts w:ascii="Arial" w:hAnsi="Arial" w:cs="Arial"/>
                <w:sz w:val="18"/>
                <w:szCs w:val="18"/>
              </w:rPr>
            </w:pPr>
            <w:r w:rsidRPr="008426B0">
              <w:rPr>
                <w:rFonts w:ascii="Arial" w:hAnsi="Arial" w:cs="Arial"/>
                <w:sz w:val="18"/>
                <w:szCs w:val="18"/>
              </w:rPr>
              <w:t>Función</w:t>
            </w:r>
          </w:p>
        </w:tc>
        <w:tc>
          <w:tcPr>
            <w:tcW w:w="2693" w:type="dxa"/>
            <w:shd w:val="clear" w:color="auto" w:fill="FBD4B4" w:themeFill="accent6" w:themeFillTint="66"/>
          </w:tcPr>
          <w:p w:rsidR="00EC4F97" w:rsidRPr="008426B0" w:rsidRDefault="00EC4F97" w:rsidP="00422AD9">
            <w:pPr>
              <w:pStyle w:val="texto"/>
              <w:spacing w:after="0" w:line="240" w:lineRule="atLeast"/>
              <w:ind w:firstLine="0"/>
              <w:jc w:val="right"/>
              <w:rPr>
                <w:rFonts w:ascii="Arial" w:hAnsi="Arial" w:cs="Arial"/>
                <w:sz w:val="18"/>
                <w:szCs w:val="18"/>
              </w:rPr>
            </w:pPr>
            <w:r w:rsidRPr="008426B0">
              <w:rPr>
                <w:rFonts w:ascii="Arial" w:hAnsi="Arial" w:cs="Arial"/>
                <w:sz w:val="18"/>
                <w:szCs w:val="18"/>
              </w:rPr>
              <w:t>Importe</w:t>
            </w:r>
          </w:p>
        </w:tc>
        <w:tc>
          <w:tcPr>
            <w:tcW w:w="1985" w:type="dxa"/>
            <w:shd w:val="clear" w:color="auto" w:fill="FBD4B4" w:themeFill="accent6" w:themeFillTint="66"/>
          </w:tcPr>
          <w:p w:rsidR="00EC4F97" w:rsidRPr="008426B0" w:rsidRDefault="00EC4F97" w:rsidP="00422AD9">
            <w:pPr>
              <w:pStyle w:val="texto"/>
              <w:spacing w:after="0" w:line="240" w:lineRule="atLeast"/>
              <w:ind w:firstLine="0"/>
              <w:jc w:val="right"/>
              <w:rPr>
                <w:rFonts w:ascii="Arial" w:hAnsi="Arial" w:cs="Arial"/>
                <w:sz w:val="18"/>
                <w:szCs w:val="18"/>
              </w:rPr>
            </w:pPr>
            <w:r w:rsidRPr="008426B0">
              <w:rPr>
                <w:rFonts w:ascii="Arial" w:hAnsi="Arial" w:cs="Arial"/>
                <w:sz w:val="18"/>
                <w:szCs w:val="18"/>
              </w:rPr>
              <w:t>% s/</w:t>
            </w:r>
            <w:r>
              <w:rPr>
                <w:rFonts w:ascii="Arial" w:hAnsi="Arial" w:cs="Arial"/>
                <w:sz w:val="18"/>
                <w:szCs w:val="18"/>
              </w:rPr>
              <w:t>G</w:t>
            </w:r>
            <w:r w:rsidRPr="008426B0">
              <w:rPr>
                <w:rFonts w:ascii="Arial" w:hAnsi="Arial" w:cs="Arial"/>
                <w:sz w:val="18"/>
                <w:szCs w:val="18"/>
              </w:rPr>
              <w:t>asto total</w:t>
            </w:r>
          </w:p>
        </w:tc>
      </w:tr>
      <w:tr w:rsidR="00EC4F97" w:rsidTr="00422AD9">
        <w:tc>
          <w:tcPr>
            <w:tcW w:w="4219" w:type="dxa"/>
            <w:tcBorders>
              <w:bottom w:val="single" w:sz="2" w:space="0" w:color="auto"/>
            </w:tcBorders>
          </w:tcPr>
          <w:p w:rsidR="00EC4F97" w:rsidRPr="00303D20" w:rsidRDefault="00EC4F97" w:rsidP="00422AD9">
            <w:pPr>
              <w:pStyle w:val="texto"/>
              <w:spacing w:after="0" w:line="240" w:lineRule="atLeast"/>
              <w:ind w:firstLine="0"/>
              <w:rPr>
                <w:rFonts w:ascii="Arial Narrow" w:hAnsi="Arial Narrow"/>
                <w:sz w:val="20"/>
                <w:szCs w:val="20"/>
              </w:rPr>
            </w:pPr>
            <w:r w:rsidRPr="00303D20">
              <w:rPr>
                <w:rFonts w:ascii="Arial Narrow" w:hAnsi="Arial Narrow"/>
                <w:sz w:val="20"/>
                <w:szCs w:val="20"/>
              </w:rPr>
              <w:t>Bienestar comunitario</w:t>
            </w:r>
          </w:p>
        </w:tc>
        <w:tc>
          <w:tcPr>
            <w:tcW w:w="2693" w:type="dxa"/>
            <w:tcBorders>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104,45</w:t>
            </w:r>
          </w:p>
        </w:tc>
        <w:tc>
          <w:tcPr>
            <w:tcW w:w="1985" w:type="dxa"/>
            <w:tcBorders>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14</w:t>
            </w:r>
          </w:p>
        </w:tc>
      </w:tr>
      <w:tr w:rsidR="00EC4F97" w:rsidTr="00422AD9">
        <w:tc>
          <w:tcPr>
            <w:tcW w:w="4219" w:type="dxa"/>
            <w:tcBorders>
              <w:top w:val="single" w:sz="2" w:space="0" w:color="auto"/>
              <w:bottom w:val="single" w:sz="2" w:space="0" w:color="auto"/>
            </w:tcBorders>
          </w:tcPr>
          <w:p w:rsidR="00EC4F97" w:rsidRPr="00303D20" w:rsidRDefault="00EC4F97" w:rsidP="00422AD9">
            <w:pPr>
              <w:pStyle w:val="texto"/>
              <w:spacing w:after="0" w:line="240" w:lineRule="atLeast"/>
              <w:ind w:firstLine="0"/>
              <w:rPr>
                <w:rFonts w:ascii="Arial Narrow" w:hAnsi="Arial Narrow"/>
                <w:sz w:val="20"/>
                <w:szCs w:val="20"/>
              </w:rPr>
            </w:pPr>
            <w:r w:rsidRPr="00303D20">
              <w:rPr>
                <w:rFonts w:ascii="Arial Narrow" w:hAnsi="Arial Narrow"/>
                <w:sz w:val="20"/>
                <w:szCs w:val="20"/>
              </w:rPr>
              <w:t>Servicios de carácter general</w:t>
            </w:r>
          </w:p>
        </w:tc>
        <w:tc>
          <w:tcPr>
            <w:tcW w:w="2693"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87</w:t>
            </w:r>
            <w:r>
              <w:rPr>
                <w:rFonts w:ascii="Arial Narrow" w:hAnsi="Arial Narrow"/>
                <w:sz w:val="20"/>
                <w:szCs w:val="20"/>
              </w:rPr>
              <w:t>,34</w:t>
            </w:r>
          </w:p>
        </w:tc>
        <w:tc>
          <w:tcPr>
            <w:tcW w:w="1985"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12</w:t>
            </w:r>
          </w:p>
        </w:tc>
      </w:tr>
      <w:tr w:rsidR="00EC4F97" w:rsidTr="00422AD9">
        <w:tc>
          <w:tcPr>
            <w:tcW w:w="4219" w:type="dxa"/>
            <w:tcBorders>
              <w:top w:val="single" w:sz="2" w:space="0" w:color="auto"/>
              <w:bottom w:val="single" w:sz="2" w:space="0" w:color="auto"/>
            </w:tcBorders>
          </w:tcPr>
          <w:p w:rsidR="00EC4F97" w:rsidRPr="00303D20" w:rsidRDefault="00EC4F97" w:rsidP="00422AD9">
            <w:pPr>
              <w:pStyle w:val="texto"/>
              <w:spacing w:after="0" w:line="240" w:lineRule="atLeast"/>
              <w:ind w:firstLine="0"/>
              <w:rPr>
                <w:rFonts w:ascii="Arial Narrow" w:hAnsi="Arial Narrow"/>
                <w:sz w:val="20"/>
                <w:szCs w:val="20"/>
              </w:rPr>
            </w:pPr>
            <w:r w:rsidRPr="00303D20">
              <w:rPr>
                <w:rFonts w:ascii="Arial Narrow" w:hAnsi="Arial Narrow"/>
                <w:sz w:val="20"/>
                <w:szCs w:val="20"/>
              </w:rPr>
              <w:t>Educación</w:t>
            </w:r>
          </w:p>
        </w:tc>
        <w:tc>
          <w:tcPr>
            <w:tcW w:w="2693"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66</w:t>
            </w:r>
            <w:r>
              <w:rPr>
                <w:rFonts w:ascii="Arial Narrow" w:hAnsi="Arial Narrow"/>
                <w:sz w:val="20"/>
                <w:szCs w:val="20"/>
              </w:rPr>
              <w:t>,36</w:t>
            </w:r>
          </w:p>
        </w:tc>
        <w:tc>
          <w:tcPr>
            <w:tcW w:w="1985"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9</w:t>
            </w:r>
          </w:p>
        </w:tc>
      </w:tr>
      <w:tr w:rsidR="00EC4F97" w:rsidTr="00422AD9">
        <w:tc>
          <w:tcPr>
            <w:tcW w:w="4219" w:type="dxa"/>
            <w:tcBorders>
              <w:top w:val="single" w:sz="2" w:space="0" w:color="auto"/>
              <w:bottom w:val="single" w:sz="2" w:space="0" w:color="auto"/>
            </w:tcBorders>
          </w:tcPr>
          <w:p w:rsidR="00EC4F97" w:rsidRPr="00303D20" w:rsidRDefault="00EC4F97" w:rsidP="00422AD9">
            <w:pPr>
              <w:pStyle w:val="texto"/>
              <w:spacing w:after="0" w:line="240" w:lineRule="atLeast"/>
              <w:ind w:firstLine="0"/>
              <w:rPr>
                <w:rFonts w:ascii="Arial Narrow" w:hAnsi="Arial Narrow"/>
                <w:sz w:val="20"/>
                <w:szCs w:val="20"/>
              </w:rPr>
            </w:pPr>
            <w:r w:rsidRPr="00303D20">
              <w:rPr>
                <w:rFonts w:ascii="Arial Narrow" w:hAnsi="Arial Narrow"/>
                <w:sz w:val="20"/>
                <w:szCs w:val="20"/>
              </w:rPr>
              <w:t>Servicios sociales y promoción social</w:t>
            </w:r>
          </w:p>
        </w:tc>
        <w:tc>
          <w:tcPr>
            <w:tcW w:w="2693"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66</w:t>
            </w:r>
            <w:r>
              <w:rPr>
                <w:rFonts w:ascii="Arial Narrow" w:hAnsi="Arial Narrow"/>
                <w:sz w:val="20"/>
                <w:szCs w:val="20"/>
              </w:rPr>
              <w:t>,80</w:t>
            </w:r>
          </w:p>
        </w:tc>
        <w:tc>
          <w:tcPr>
            <w:tcW w:w="1985"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9</w:t>
            </w:r>
          </w:p>
        </w:tc>
      </w:tr>
      <w:tr w:rsidR="00EC4F97" w:rsidTr="00422AD9">
        <w:tc>
          <w:tcPr>
            <w:tcW w:w="4219" w:type="dxa"/>
            <w:tcBorders>
              <w:top w:val="single" w:sz="2" w:space="0" w:color="auto"/>
              <w:bottom w:val="single" w:sz="2" w:space="0" w:color="auto"/>
            </w:tcBorders>
          </w:tcPr>
          <w:p w:rsidR="00EC4F97" w:rsidRPr="00303D20" w:rsidRDefault="00EC4F97" w:rsidP="00422AD9">
            <w:pPr>
              <w:pStyle w:val="texto"/>
              <w:spacing w:after="0" w:line="240" w:lineRule="atLeast"/>
              <w:ind w:firstLine="0"/>
              <w:rPr>
                <w:rFonts w:ascii="Arial Narrow" w:hAnsi="Arial Narrow"/>
                <w:sz w:val="20"/>
                <w:szCs w:val="20"/>
              </w:rPr>
            </w:pPr>
            <w:r w:rsidRPr="00303D20">
              <w:rPr>
                <w:rFonts w:ascii="Arial Narrow" w:hAnsi="Arial Narrow"/>
                <w:sz w:val="20"/>
                <w:szCs w:val="20"/>
              </w:rPr>
              <w:t>Vivienda y urbanismo</w:t>
            </w:r>
          </w:p>
        </w:tc>
        <w:tc>
          <w:tcPr>
            <w:tcW w:w="2693"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59</w:t>
            </w:r>
            <w:r>
              <w:rPr>
                <w:rFonts w:ascii="Arial Narrow" w:hAnsi="Arial Narrow"/>
                <w:sz w:val="20"/>
                <w:szCs w:val="20"/>
              </w:rPr>
              <w:t>,79</w:t>
            </w:r>
          </w:p>
        </w:tc>
        <w:tc>
          <w:tcPr>
            <w:tcW w:w="1985"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8</w:t>
            </w:r>
          </w:p>
        </w:tc>
      </w:tr>
      <w:tr w:rsidR="00EC4F97" w:rsidTr="00422AD9">
        <w:tc>
          <w:tcPr>
            <w:tcW w:w="4219" w:type="dxa"/>
            <w:tcBorders>
              <w:top w:val="single" w:sz="2" w:space="0" w:color="auto"/>
              <w:bottom w:val="single" w:sz="2" w:space="0" w:color="auto"/>
            </w:tcBorders>
          </w:tcPr>
          <w:p w:rsidR="00EC4F97" w:rsidRPr="00303D20" w:rsidRDefault="00EC4F97" w:rsidP="00422AD9">
            <w:pPr>
              <w:pStyle w:val="texto"/>
              <w:spacing w:after="0" w:line="240" w:lineRule="atLeast"/>
              <w:ind w:firstLine="0"/>
              <w:rPr>
                <w:rFonts w:ascii="Arial Narrow" w:hAnsi="Arial Narrow"/>
                <w:sz w:val="20"/>
                <w:szCs w:val="20"/>
              </w:rPr>
            </w:pPr>
            <w:r w:rsidRPr="00303D20">
              <w:rPr>
                <w:rFonts w:ascii="Arial Narrow" w:hAnsi="Arial Narrow"/>
                <w:sz w:val="20"/>
                <w:szCs w:val="20"/>
              </w:rPr>
              <w:t>Cultura</w:t>
            </w:r>
          </w:p>
        </w:tc>
        <w:tc>
          <w:tcPr>
            <w:tcW w:w="2693"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57</w:t>
            </w:r>
            <w:r>
              <w:rPr>
                <w:rFonts w:ascii="Arial Narrow" w:hAnsi="Arial Narrow"/>
                <w:sz w:val="20"/>
                <w:szCs w:val="20"/>
              </w:rPr>
              <w:t>,43</w:t>
            </w:r>
          </w:p>
        </w:tc>
        <w:tc>
          <w:tcPr>
            <w:tcW w:w="1985"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8</w:t>
            </w:r>
          </w:p>
        </w:tc>
      </w:tr>
      <w:tr w:rsidR="00EC4F97" w:rsidTr="00422AD9">
        <w:tc>
          <w:tcPr>
            <w:tcW w:w="4219" w:type="dxa"/>
            <w:tcBorders>
              <w:top w:val="single" w:sz="2" w:space="0" w:color="auto"/>
              <w:bottom w:val="single" w:sz="2" w:space="0" w:color="auto"/>
            </w:tcBorders>
          </w:tcPr>
          <w:p w:rsidR="00EC4F97" w:rsidRPr="00303D20" w:rsidRDefault="00EC4F97" w:rsidP="00422AD9">
            <w:pPr>
              <w:pStyle w:val="texto"/>
              <w:spacing w:after="0" w:line="240" w:lineRule="atLeast"/>
              <w:ind w:firstLine="0"/>
              <w:rPr>
                <w:rFonts w:ascii="Arial Narrow" w:hAnsi="Arial Narrow"/>
                <w:sz w:val="20"/>
                <w:szCs w:val="20"/>
              </w:rPr>
            </w:pPr>
            <w:r w:rsidRPr="00303D20">
              <w:rPr>
                <w:rFonts w:ascii="Arial Narrow" w:hAnsi="Arial Narrow"/>
                <w:sz w:val="20"/>
                <w:szCs w:val="20"/>
              </w:rPr>
              <w:t>Seguridad y movilidad ciudadana</w:t>
            </w:r>
          </w:p>
        </w:tc>
        <w:tc>
          <w:tcPr>
            <w:tcW w:w="2693"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50</w:t>
            </w:r>
            <w:r>
              <w:rPr>
                <w:rFonts w:ascii="Arial Narrow" w:hAnsi="Arial Narrow"/>
                <w:sz w:val="20"/>
                <w:szCs w:val="20"/>
              </w:rPr>
              <w:t>,06</w:t>
            </w:r>
          </w:p>
        </w:tc>
        <w:tc>
          <w:tcPr>
            <w:tcW w:w="1985"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7</w:t>
            </w:r>
          </w:p>
        </w:tc>
      </w:tr>
      <w:tr w:rsidR="00EC4F97" w:rsidTr="00422AD9">
        <w:tc>
          <w:tcPr>
            <w:tcW w:w="4219" w:type="dxa"/>
            <w:tcBorders>
              <w:top w:val="single" w:sz="2" w:space="0" w:color="auto"/>
              <w:bottom w:val="single" w:sz="2" w:space="0" w:color="auto"/>
            </w:tcBorders>
          </w:tcPr>
          <w:p w:rsidR="00EC4F97" w:rsidRPr="00303D20" w:rsidRDefault="00EC4F97" w:rsidP="00422AD9">
            <w:pPr>
              <w:pStyle w:val="texto"/>
              <w:spacing w:after="0" w:line="240" w:lineRule="atLeast"/>
              <w:ind w:firstLine="0"/>
              <w:rPr>
                <w:rFonts w:ascii="Arial Narrow" w:hAnsi="Arial Narrow"/>
                <w:sz w:val="20"/>
                <w:szCs w:val="20"/>
              </w:rPr>
            </w:pPr>
            <w:r w:rsidRPr="00303D20">
              <w:rPr>
                <w:rFonts w:ascii="Arial Narrow" w:hAnsi="Arial Narrow"/>
                <w:sz w:val="20"/>
                <w:szCs w:val="20"/>
              </w:rPr>
              <w:t>Pensiones</w:t>
            </w:r>
          </w:p>
        </w:tc>
        <w:tc>
          <w:tcPr>
            <w:tcW w:w="2693"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49</w:t>
            </w:r>
            <w:r>
              <w:rPr>
                <w:rFonts w:ascii="Arial Narrow" w:hAnsi="Arial Narrow"/>
                <w:sz w:val="20"/>
                <w:szCs w:val="20"/>
              </w:rPr>
              <w:t>,88</w:t>
            </w:r>
          </w:p>
        </w:tc>
        <w:tc>
          <w:tcPr>
            <w:tcW w:w="1985"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7</w:t>
            </w:r>
          </w:p>
        </w:tc>
      </w:tr>
      <w:tr w:rsidR="00EC4F97" w:rsidTr="00422AD9">
        <w:tc>
          <w:tcPr>
            <w:tcW w:w="4219" w:type="dxa"/>
            <w:tcBorders>
              <w:top w:val="single" w:sz="2" w:space="0" w:color="auto"/>
              <w:bottom w:val="single" w:sz="2" w:space="0" w:color="auto"/>
            </w:tcBorders>
          </w:tcPr>
          <w:p w:rsidR="00EC4F97" w:rsidRPr="00303D20" w:rsidRDefault="00EC4F97" w:rsidP="00422AD9">
            <w:pPr>
              <w:pStyle w:val="texto"/>
              <w:spacing w:after="0" w:line="240" w:lineRule="atLeast"/>
              <w:ind w:firstLine="0"/>
              <w:rPr>
                <w:rFonts w:ascii="Arial Narrow" w:hAnsi="Arial Narrow"/>
                <w:sz w:val="20"/>
                <w:szCs w:val="20"/>
              </w:rPr>
            </w:pPr>
            <w:r w:rsidRPr="00303D20">
              <w:rPr>
                <w:rFonts w:ascii="Arial Narrow" w:hAnsi="Arial Narrow"/>
                <w:sz w:val="20"/>
                <w:szCs w:val="20"/>
              </w:rPr>
              <w:t>Deuda pública</w:t>
            </w:r>
          </w:p>
        </w:tc>
        <w:tc>
          <w:tcPr>
            <w:tcW w:w="2693"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46</w:t>
            </w:r>
            <w:r>
              <w:rPr>
                <w:rFonts w:ascii="Arial Narrow" w:hAnsi="Arial Narrow"/>
                <w:sz w:val="20"/>
                <w:szCs w:val="20"/>
              </w:rPr>
              <w:t>,23</w:t>
            </w:r>
          </w:p>
        </w:tc>
        <w:tc>
          <w:tcPr>
            <w:tcW w:w="1985"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6</w:t>
            </w:r>
          </w:p>
        </w:tc>
      </w:tr>
      <w:tr w:rsidR="00EC4F97" w:rsidTr="00422AD9">
        <w:tc>
          <w:tcPr>
            <w:tcW w:w="4219" w:type="dxa"/>
            <w:tcBorders>
              <w:top w:val="single" w:sz="2" w:space="0" w:color="auto"/>
              <w:bottom w:val="single" w:sz="2" w:space="0" w:color="auto"/>
            </w:tcBorders>
          </w:tcPr>
          <w:p w:rsidR="00EC4F97" w:rsidRPr="00303D20" w:rsidRDefault="00EC4F97" w:rsidP="00422AD9">
            <w:pPr>
              <w:pStyle w:val="texto"/>
              <w:spacing w:after="0" w:line="240" w:lineRule="atLeast"/>
              <w:ind w:firstLine="0"/>
              <w:rPr>
                <w:rFonts w:ascii="Arial Narrow" w:hAnsi="Arial Narrow"/>
                <w:sz w:val="20"/>
                <w:szCs w:val="20"/>
              </w:rPr>
            </w:pPr>
            <w:r w:rsidRPr="00303D20">
              <w:rPr>
                <w:rFonts w:ascii="Arial Narrow" w:hAnsi="Arial Narrow"/>
                <w:sz w:val="20"/>
                <w:szCs w:val="20"/>
              </w:rPr>
              <w:t>Deporte</w:t>
            </w:r>
          </w:p>
        </w:tc>
        <w:tc>
          <w:tcPr>
            <w:tcW w:w="2693"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41</w:t>
            </w:r>
            <w:r>
              <w:rPr>
                <w:rFonts w:ascii="Arial Narrow" w:hAnsi="Arial Narrow"/>
                <w:sz w:val="20"/>
                <w:szCs w:val="20"/>
              </w:rPr>
              <w:t>,07</w:t>
            </w:r>
          </w:p>
        </w:tc>
        <w:tc>
          <w:tcPr>
            <w:tcW w:w="1985" w:type="dxa"/>
            <w:tcBorders>
              <w:top w:val="single" w:sz="2" w:space="0" w:color="auto"/>
              <w:bottom w:val="single" w:sz="2"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5</w:t>
            </w:r>
          </w:p>
        </w:tc>
      </w:tr>
      <w:tr w:rsidR="00EC4F97" w:rsidTr="00422AD9">
        <w:tc>
          <w:tcPr>
            <w:tcW w:w="4219" w:type="dxa"/>
            <w:tcBorders>
              <w:top w:val="single" w:sz="2" w:space="0" w:color="auto"/>
              <w:bottom w:val="single" w:sz="4" w:space="0" w:color="auto"/>
            </w:tcBorders>
          </w:tcPr>
          <w:p w:rsidR="00EC4F97" w:rsidRPr="00303D20" w:rsidRDefault="00EC4F97" w:rsidP="00422AD9">
            <w:pPr>
              <w:pStyle w:val="texto"/>
              <w:spacing w:after="0" w:line="240" w:lineRule="atLeast"/>
              <w:ind w:firstLine="0"/>
              <w:rPr>
                <w:rFonts w:ascii="Arial Narrow" w:hAnsi="Arial Narrow"/>
                <w:sz w:val="20"/>
                <w:szCs w:val="20"/>
              </w:rPr>
            </w:pPr>
            <w:r w:rsidRPr="00303D20">
              <w:rPr>
                <w:rFonts w:ascii="Arial Narrow" w:hAnsi="Arial Narrow"/>
                <w:sz w:val="20"/>
                <w:szCs w:val="20"/>
              </w:rPr>
              <w:t>Otras</w:t>
            </w:r>
          </w:p>
        </w:tc>
        <w:tc>
          <w:tcPr>
            <w:tcW w:w="2693" w:type="dxa"/>
            <w:tcBorders>
              <w:top w:val="single" w:sz="2" w:space="0" w:color="auto"/>
              <w:bottom w:val="single" w:sz="4"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122</w:t>
            </w:r>
            <w:r>
              <w:rPr>
                <w:rFonts w:ascii="Arial Narrow" w:hAnsi="Arial Narrow"/>
                <w:sz w:val="20"/>
                <w:szCs w:val="20"/>
              </w:rPr>
              <w:t>,62</w:t>
            </w:r>
          </w:p>
        </w:tc>
        <w:tc>
          <w:tcPr>
            <w:tcW w:w="1985" w:type="dxa"/>
            <w:tcBorders>
              <w:top w:val="single" w:sz="2" w:space="0" w:color="auto"/>
              <w:bottom w:val="single" w:sz="4" w:space="0" w:color="auto"/>
            </w:tcBorders>
          </w:tcPr>
          <w:p w:rsidR="00EC4F97" w:rsidRPr="00303D20" w:rsidRDefault="00EC4F97" w:rsidP="00422AD9">
            <w:pPr>
              <w:pStyle w:val="texto"/>
              <w:spacing w:after="0" w:line="240" w:lineRule="atLeast"/>
              <w:ind w:firstLine="0"/>
              <w:jc w:val="right"/>
              <w:rPr>
                <w:rFonts w:ascii="Arial Narrow" w:hAnsi="Arial Narrow"/>
                <w:color w:val="FF0000"/>
                <w:sz w:val="20"/>
                <w:szCs w:val="20"/>
              </w:rPr>
            </w:pPr>
            <w:r w:rsidRPr="00303D20">
              <w:rPr>
                <w:rFonts w:ascii="Arial Narrow" w:hAnsi="Arial Narrow"/>
                <w:sz w:val="20"/>
                <w:szCs w:val="20"/>
              </w:rPr>
              <w:t>16</w:t>
            </w:r>
          </w:p>
        </w:tc>
      </w:tr>
      <w:tr w:rsidR="00EC4F97" w:rsidRPr="008426B0" w:rsidTr="00422AD9">
        <w:tc>
          <w:tcPr>
            <w:tcW w:w="4219" w:type="dxa"/>
            <w:shd w:val="clear" w:color="auto" w:fill="FBD4B4" w:themeFill="accent6" w:themeFillTint="66"/>
          </w:tcPr>
          <w:p w:rsidR="00EC4F97" w:rsidRPr="008426B0" w:rsidRDefault="00EC4F97" w:rsidP="00422AD9">
            <w:pPr>
              <w:pStyle w:val="texto"/>
              <w:spacing w:after="0" w:line="240" w:lineRule="atLeast"/>
              <w:ind w:firstLine="0"/>
              <w:rPr>
                <w:rFonts w:ascii="Arial" w:hAnsi="Arial" w:cs="Arial"/>
                <w:sz w:val="18"/>
                <w:szCs w:val="18"/>
              </w:rPr>
            </w:pPr>
            <w:r w:rsidRPr="008426B0">
              <w:rPr>
                <w:rFonts w:ascii="Arial" w:hAnsi="Arial" w:cs="Arial"/>
                <w:sz w:val="18"/>
                <w:szCs w:val="18"/>
              </w:rPr>
              <w:t>Total</w:t>
            </w:r>
          </w:p>
        </w:tc>
        <w:tc>
          <w:tcPr>
            <w:tcW w:w="2693" w:type="dxa"/>
            <w:shd w:val="clear" w:color="auto" w:fill="FBD4B4" w:themeFill="accent6" w:themeFillTint="66"/>
          </w:tcPr>
          <w:p w:rsidR="00EC4F97" w:rsidRPr="008426B0" w:rsidRDefault="00EC4F97" w:rsidP="00422AD9">
            <w:pPr>
              <w:pStyle w:val="texto"/>
              <w:spacing w:after="0" w:line="240" w:lineRule="atLeast"/>
              <w:ind w:firstLine="0"/>
              <w:jc w:val="right"/>
              <w:rPr>
                <w:rFonts w:ascii="Arial" w:hAnsi="Arial" w:cs="Arial"/>
                <w:sz w:val="18"/>
                <w:szCs w:val="18"/>
              </w:rPr>
            </w:pPr>
            <w:r w:rsidRPr="008426B0">
              <w:rPr>
                <w:rFonts w:ascii="Arial" w:hAnsi="Arial" w:cs="Arial"/>
                <w:sz w:val="18"/>
                <w:szCs w:val="18"/>
              </w:rPr>
              <w:t>752,03</w:t>
            </w:r>
          </w:p>
        </w:tc>
        <w:tc>
          <w:tcPr>
            <w:tcW w:w="1985" w:type="dxa"/>
            <w:shd w:val="clear" w:color="auto" w:fill="FBD4B4" w:themeFill="accent6" w:themeFillTint="66"/>
          </w:tcPr>
          <w:p w:rsidR="00EC4F97" w:rsidRPr="008426B0" w:rsidRDefault="00EC4F97" w:rsidP="00422AD9">
            <w:pPr>
              <w:pStyle w:val="texto"/>
              <w:spacing w:after="0" w:line="240" w:lineRule="atLeast"/>
              <w:ind w:firstLine="0"/>
              <w:jc w:val="right"/>
              <w:rPr>
                <w:rFonts w:ascii="Arial" w:hAnsi="Arial" w:cs="Arial"/>
                <w:sz w:val="18"/>
                <w:szCs w:val="18"/>
              </w:rPr>
            </w:pPr>
            <w:r w:rsidRPr="008426B0">
              <w:rPr>
                <w:rFonts w:ascii="Arial" w:hAnsi="Arial" w:cs="Arial"/>
                <w:sz w:val="18"/>
                <w:szCs w:val="18"/>
              </w:rPr>
              <w:t>100</w:t>
            </w:r>
          </w:p>
        </w:tc>
      </w:tr>
    </w:tbl>
    <w:p w:rsidR="00EC4F97" w:rsidRDefault="00EC4F97" w:rsidP="00091A43">
      <w:pPr>
        <w:pStyle w:val="texto"/>
        <w:spacing w:before="140"/>
      </w:pPr>
      <w:r>
        <w:t>El bienestar comunitario (recogida y tratamiento de residuos, alumbrado o limpieza entre otros) es la función que supuso un mayor gasto en 2017 en el sector público local con 104.45 millones de euros (14 por ciento del total), s</w:t>
      </w:r>
      <w:r>
        <w:t>e</w:t>
      </w:r>
      <w:r>
        <w:t xml:space="preserve">guida de los servicios de carácter general que supusieron el 12 por ciento con 87,34 millones de euros. </w:t>
      </w:r>
    </w:p>
    <w:p w:rsidR="00EC4F97" w:rsidRPr="007E3BFE" w:rsidRDefault="00EC4F97" w:rsidP="00EC4F97">
      <w:pPr>
        <w:pStyle w:val="texto"/>
      </w:pPr>
      <w:r w:rsidRPr="007E3BFE">
        <w:t>El 8</w:t>
      </w:r>
      <w:r>
        <w:t>6</w:t>
      </w:r>
      <w:r w:rsidRPr="007E3BFE">
        <w:t xml:space="preserve"> por ciento de los gastos corresponden a </w:t>
      </w:r>
      <w:r>
        <w:t>municipios y concejos y el 14 por ciento restante a mancomunidades y agrupaciones.</w:t>
      </w:r>
    </w:p>
    <w:p w:rsidR="00EC4F97" w:rsidRPr="007E3BFE" w:rsidRDefault="00EC4F97" w:rsidP="00091A43">
      <w:pPr>
        <w:pStyle w:val="atitulo2"/>
        <w:spacing w:before="180" w:after="120"/>
      </w:pPr>
      <w:bookmarkStart w:id="59" w:name="_Toc465686690"/>
      <w:bookmarkStart w:id="60" w:name="_Toc529773884"/>
      <w:bookmarkStart w:id="61" w:name="_Toc24100145"/>
      <w:bookmarkStart w:id="62" w:name="_Toc24451743"/>
      <w:r w:rsidRPr="007E3BFE">
        <w:t xml:space="preserve">V.3. </w:t>
      </w:r>
      <w:bookmarkEnd w:id="59"/>
      <w:r>
        <w:t>Indicadores y magnitudes</w:t>
      </w:r>
      <w:bookmarkEnd w:id="60"/>
      <w:bookmarkEnd w:id="61"/>
      <w:bookmarkEnd w:id="62"/>
    </w:p>
    <w:p w:rsidR="00EC4F97" w:rsidRDefault="00EC4F97" w:rsidP="00091A43">
      <w:pPr>
        <w:pStyle w:val="texto"/>
        <w:spacing w:after="180"/>
      </w:pPr>
      <w:r>
        <w:t>En el siguiente cuadro mostramos la evolución y distribución de cada 100 euros gastados en el sector público local y su financiación:</w:t>
      </w:r>
    </w:p>
    <w:tbl>
      <w:tblPr>
        <w:tblW w:w="884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388"/>
        <w:gridCol w:w="869"/>
        <w:gridCol w:w="1149"/>
        <w:gridCol w:w="2622"/>
        <w:gridCol w:w="799"/>
        <w:gridCol w:w="1019"/>
      </w:tblGrid>
      <w:tr w:rsidR="00EC4F97" w:rsidRPr="0081390E" w:rsidTr="00422AD9">
        <w:trPr>
          <w:trHeight w:val="255"/>
          <w:jc w:val="center"/>
        </w:trPr>
        <w:tc>
          <w:tcPr>
            <w:tcW w:w="2388" w:type="dxa"/>
            <w:shd w:val="clear" w:color="auto" w:fill="FBD4B4" w:themeFill="accent6" w:themeFillTint="66"/>
            <w:vAlign w:val="center"/>
          </w:tcPr>
          <w:p w:rsidR="00EC4F97" w:rsidRPr="0081390E" w:rsidRDefault="00EC4F97" w:rsidP="00422AD9">
            <w:pPr>
              <w:keepLines/>
              <w:tabs>
                <w:tab w:val="right" w:pos="2835"/>
                <w:tab w:val="right" w:pos="3969"/>
                <w:tab w:val="right" w:pos="5103"/>
                <w:tab w:val="right" w:pos="6237"/>
                <w:tab w:val="right" w:pos="7371"/>
              </w:tabs>
              <w:spacing w:after="0"/>
              <w:ind w:firstLine="0"/>
              <w:contextualSpacing/>
              <w:rPr>
                <w:rFonts w:ascii="Arial" w:hAnsi="Arial" w:cs="Arial"/>
                <w:spacing w:val="6"/>
                <w:sz w:val="18"/>
                <w:szCs w:val="24"/>
              </w:rPr>
            </w:pPr>
            <w:r w:rsidRPr="0081390E">
              <w:rPr>
                <w:rFonts w:ascii="Arial" w:hAnsi="Arial" w:cs="Arial"/>
                <w:spacing w:val="6"/>
                <w:sz w:val="18"/>
                <w:szCs w:val="24"/>
              </w:rPr>
              <w:t>Naturaleza del gasto</w:t>
            </w:r>
          </w:p>
        </w:tc>
        <w:tc>
          <w:tcPr>
            <w:tcW w:w="869" w:type="dxa"/>
            <w:tcBorders>
              <w:right w:val="nil"/>
            </w:tcBorders>
            <w:shd w:val="clear" w:color="auto" w:fill="FBD4B4" w:themeFill="accent6" w:themeFillTint="66"/>
            <w:vAlign w:val="center"/>
          </w:tcPr>
          <w:p w:rsidR="00EC4F97" w:rsidRPr="0081390E" w:rsidRDefault="00EC4F97" w:rsidP="00422AD9">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81390E">
              <w:rPr>
                <w:rFonts w:ascii="Arial" w:hAnsi="Arial" w:cs="Arial"/>
                <w:spacing w:val="6"/>
                <w:sz w:val="18"/>
                <w:szCs w:val="24"/>
              </w:rPr>
              <w:t xml:space="preserve">2016 </w:t>
            </w:r>
          </w:p>
        </w:tc>
        <w:tc>
          <w:tcPr>
            <w:tcW w:w="1149" w:type="dxa"/>
            <w:tcBorders>
              <w:left w:val="nil"/>
              <w:right w:val="single" w:sz="4" w:space="0" w:color="auto"/>
            </w:tcBorders>
            <w:shd w:val="clear" w:color="auto" w:fill="FBD4B4" w:themeFill="accent6" w:themeFillTint="66"/>
            <w:vAlign w:val="center"/>
          </w:tcPr>
          <w:p w:rsidR="00EC4F97" w:rsidRPr="0081390E" w:rsidRDefault="00EC4F97" w:rsidP="00422AD9">
            <w:pPr>
              <w:keepLines/>
              <w:tabs>
                <w:tab w:val="right" w:pos="2835"/>
                <w:tab w:val="right" w:pos="3969"/>
                <w:tab w:val="right" w:pos="5103"/>
                <w:tab w:val="right" w:pos="6237"/>
                <w:tab w:val="right" w:pos="7371"/>
              </w:tabs>
              <w:spacing w:after="0"/>
              <w:ind w:right="132" w:firstLine="0"/>
              <w:contextualSpacing/>
              <w:jc w:val="right"/>
              <w:rPr>
                <w:rFonts w:ascii="Arial" w:hAnsi="Arial" w:cs="Arial"/>
                <w:spacing w:val="6"/>
                <w:sz w:val="18"/>
                <w:szCs w:val="24"/>
              </w:rPr>
            </w:pPr>
            <w:r w:rsidRPr="0081390E">
              <w:rPr>
                <w:rFonts w:ascii="Arial" w:hAnsi="Arial" w:cs="Arial"/>
                <w:spacing w:val="6"/>
                <w:sz w:val="18"/>
                <w:szCs w:val="24"/>
              </w:rPr>
              <w:t>2017</w:t>
            </w:r>
          </w:p>
        </w:tc>
        <w:tc>
          <w:tcPr>
            <w:tcW w:w="2622" w:type="dxa"/>
            <w:tcBorders>
              <w:left w:val="single" w:sz="4" w:space="0" w:color="auto"/>
            </w:tcBorders>
            <w:shd w:val="clear" w:color="auto" w:fill="FBD4B4" w:themeFill="accent6" w:themeFillTint="66"/>
            <w:vAlign w:val="center"/>
          </w:tcPr>
          <w:p w:rsidR="00EC4F97" w:rsidRPr="0081390E" w:rsidRDefault="00EC4F97" w:rsidP="00422AD9">
            <w:pPr>
              <w:keepLines/>
              <w:tabs>
                <w:tab w:val="right" w:pos="2835"/>
                <w:tab w:val="right" w:pos="3969"/>
                <w:tab w:val="right" w:pos="5103"/>
                <w:tab w:val="right" w:pos="6237"/>
                <w:tab w:val="right" w:pos="7371"/>
              </w:tabs>
              <w:spacing w:after="0"/>
              <w:ind w:left="149" w:firstLine="0"/>
              <w:contextualSpacing/>
              <w:jc w:val="left"/>
              <w:rPr>
                <w:rFonts w:ascii="Arial" w:hAnsi="Arial" w:cs="Arial"/>
                <w:spacing w:val="6"/>
                <w:sz w:val="18"/>
                <w:szCs w:val="24"/>
              </w:rPr>
            </w:pPr>
            <w:r w:rsidRPr="0081390E">
              <w:rPr>
                <w:rFonts w:ascii="Arial" w:hAnsi="Arial" w:cs="Arial"/>
                <w:spacing w:val="6"/>
                <w:sz w:val="18"/>
                <w:szCs w:val="24"/>
              </w:rPr>
              <w:t>Fuente de financiación</w:t>
            </w:r>
          </w:p>
        </w:tc>
        <w:tc>
          <w:tcPr>
            <w:tcW w:w="799" w:type="dxa"/>
            <w:shd w:val="clear" w:color="auto" w:fill="FBD4B4" w:themeFill="accent6" w:themeFillTint="66"/>
            <w:vAlign w:val="center"/>
          </w:tcPr>
          <w:p w:rsidR="00EC4F97" w:rsidRPr="0081390E" w:rsidRDefault="00EC4F97" w:rsidP="00422AD9">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cs="Arial"/>
                <w:spacing w:val="6"/>
                <w:sz w:val="18"/>
                <w:szCs w:val="24"/>
              </w:rPr>
              <w:t>2</w:t>
            </w:r>
            <w:r w:rsidRPr="0081390E">
              <w:rPr>
                <w:rFonts w:ascii="Arial" w:hAnsi="Arial" w:cs="Arial"/>
                <w:spacing w:val="6"/>
                <w:sz w:val="18"/>
                <w:szCs w:val="24"/>
              </w:rPr>
              <w:t>016</w:t>
            </w:r>
          </w:p>
        </w:tc>
        <w:tc>
          <w:tcPr>
            <w:tcW w:w="1019" w:type="dxa"/>
            <w:shd w:val="clear" w:color="auto" w:fill="FBD4B4" w:themeFill="accent6" w:themeFillTint="66"/>
            <w:vAlign w:val="center"/>
          </w:tcPr>
          <w:p w:rsidR="00EC4F97" w:rsidRPr="0081390E" w:rsidRDefault="00EC4F97" w:rsidP="00422AD9">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81390E">
              <w:rPr>
                <w:rFonts w:ascii="Arial" w:hAnsi="Arial" w:cs="Arial"/>
                <w:spacing w:val="6"/>
                <w:sz w:val="18"/>
                <w:szCs w:val="24"/>
              </w:rPr>
              <w:t>2017</w:t>
            </w:r>
          </w:p>
        </w:tc>
      </w:tr>
      <w:tr w:rsidR="00EC4F97" w:rsidRPr="00B01865" w:rsidTr="00422AD9">
        <w:trPr>
          <w:trHeight w:val="198"/>
          <w:jc w:val="center"/>
        </w:trPr>
        <w:tc>
          <w:tcPr>
            <w:tcW w:w="2388" w:type="dxa"/>
            <w:tcBorders>
              <w:bottom w:val="single" w:sz="2" w:space="0" w:color="auto"/>
            </w:tcBorders>
            <w:vAlign w:val="center"/>
          </w:tcPr>
          <w:p w:rsidR="00EC4F97" w:rsidRPr="00032B45" w:rsidRDefault="00EC4F97" w:rsidP="00422AD9">
            <w:pPr>
              <w:spacing w:after="0"/>
              <w:ind w:firstLine="0"/>
              <w:jc w:val="left"/>
              <w:rPr>
                <w:rFonts w:ascii="Arial Narrow" w:hAnsi="Arial Narrow" w:cs="Arial"/>
                <w:sz w:val="18"/>
                <w:szCs w:val="18"/>
                <w:lang w:val="es-ES" w:eastAsia="es-ES"/>
              </w:rPr>
            </w:pPr>
            <w:r w:rsidRPr="00032B45">
              <w:rPr>
                <w:rFonts w:ascii="Arial Narrow" w:hAnsi="Arial Narrow" w:cs="Arial"/>
                <w:sz w:val="18"/>
                <w:szCs w:val="18"/>
                <w:lang w:val="es-ES" w:eastAsia="es-ES"/>
              </w:rPr>
              <w:t>Personal</w:t>
            </w:r>
          </w:p>
        </w:tc>
        <w:tc>
          <w:tcPr>
            <w:tcW w:w="869" w:type="dxa"/>
            <w:tcBorders>
              <w:bottom w:val="single" w:sz="2" w:space="0" w:color="auto"/>
              <w:right w:val="nil"/>
            </w:tcBorders>
            <w:vAlign w:val="center"/>
          </w:tcPr>
          <w:p w:rsidR="00EC4F97" w:rsidRPr="00032B45" w:rsidRDefault="00EC4F97" w:rsidP="00422AD9">
            <w:pPr>
              <w:tabs>
                <w:tab w:val="left" w:pos="653"/>
                <w:tab w:val="left" w:pos="1212"/>
                <w:tab w:val="left" w:pos="1296"/>
              </w:tabs>
              <w:spacing w:after="0"/>
              <w:ind w:firstLine="0"/>
              <w:jc w:val="right"/>
              <w:rPr>
                <w:rFonts w:ascii="Arial Narrow" w:hAnsi="Arial Narrow" w:cs="Arial"/>
                <w:sz w:val="18"/>
                <w:szCs w:val="18"/>
                <w:lang w:val="es-ES" w:eastAsia="es-ES"/>
              </w:rPr>
            </w:pPr>
            <w:r w:rsidRPr="00032B45">
              <w:rPr>
                <w:rFonts w:ascii="Arial Narrow" w:hAnsi="Arial Narrow" w:cs="Arial"/>
                <w:sz w:val="18"/>
                <w:szCs w:val="18"/>
                <w:lang w:val="es-ES" w:eastAsia="es-ES"/>
              </w:rPr>
              <w:t>37</w:t>
            </w:r>
          </w:p>
        </w:tc>
        <w:tc>
          <w:tcPr>
            <w:tcW w:w="1149" w:type="dxa"/>
            <w:tcBorders>
              <w:left w:val="nil"/>
              <w:bottom w:val="single" w:sz="2" w:space="0" w:color="auto"/>
              <w:right w:val="single" w:sz="4" w:space="0" w:color="auto"/>
            </w:tcBorders>
            <w:vAlign w:val="center"/>
          </w:tcPr>
          <w:p w:rsidR="00EC4F97" w:rsidRPr="00032B45" w:rsidRDefault="00EC4F97" w:rsidP="00422AD9">
            <w:pPr>
              <w:tabs>
                <w:tab w:val="left" w:pos="1212"/>
                <w:tab w:val="left" w:pos="1296"/>
              </w:tabs>
              <w:spacing w:after="0"/>
              <w:ind w:right="132" w:firstLine="0"/>
              <w:jc w:val="right"/>
              <w:rPr>
                <w:rFonts w:ascii="Arial Narrow" w:hAnsi="Arial Narrow" w:cs="Arial"/>
                <w:color w:val="FF0000"/>
                <w:sz w:val="18"/>
                <w:szCs w:val="18"/>
                <w:lang w:val="es-ES" w:eastAsia="es-ES"/>
              </w:rPr>
            </w:pPr>
            <w:r w:rsidRPr="00032B45">
              <w:rPr>
                <w:rFonts w:ascii="Arial Narrow" w:hAnsi="Arial Narrow" w:cs="Arial"/>
                <w:sz w:val="18"/>
                <w:szCs w:val="18"/>
                <w:lang w:val="es-ES" w:eastAsia="es-ES"/>
              </w:rPr>
              <w:t>36</w:t>
            </w:r>
          </w:p>
        </w:tc>
        <w:tc>
          <w:tcPr>
            <w:tcW w:w="2622" w:type="dxa"/>
            <w:tcBorders>
              <w:left w:val="single" w:sz="4" w:space="0" w:color="auto"/>
              <w:bottom w:val="single" w:sz="2" w:space="0" w:color="auto"/>
            </w:tcBorders>
            <w:vAlign w:val="center"/>
          </w:tcPr>
          <w:p w:rsidR="00EC4F97" w:rsidRPr="00032B45" w:rsidRDefault="00EC4F97" w:rsidP="00422AD9">
            <w:pPr>
              <w:spacing w:after="0"/>
              <w:ind w:left="149" w:firstLine="0"/>
              <w:jc w:val="left"/>
              <w:rPr>
                <w:rFonts w:ascii="Arial Narrow" w:hAnsi="Arial Narrow" w:cs="Arial"/>
                <w:sz w:val="18"/>
                <w:szCs w:val="18"/>
                <w:lang w:val="es-ES" w:eastAsia="es-ES"/>
              </w:rPr>
            </w:pPr>
            <w:r w:rsidRPr="00032B45">
              <w:rPr>
                <w:rFonts w:ascii="Arial Narrow" w:hAnsi="Arial Narrow" w:cs="Arial"/>
                <w:sz w:val="18"/>
                <w:szCs w:val="18"/>
                <w:lang w:val="es-ES" w:eastAsia="es-ES"/>
              </w:rPr>
              <w:t>Ingresos tributarios</w:t>
            </w:r>
          </w:p>
        </w:tc>
        <w:tc>
          <w:tcPr>
            <w:tcW w:w="799" w:type="dxa"/>
            <w:tcBorders>
              <w:bottom w:val="single" w:sz="2" w:space="0" w:color="auto"/>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sz w:val="18"/>
                <w:szCs w:val="18"/>
                <w:lang w:val="es-ES" w:eastAsia="es-ES"/>
              </w:rPr>
            </w:pPr>
            <w:r w:rsidRPr="00032B45">
              <w:rPr>
                <w:rFonts w:ascii="Arial Narrow" w:hAnsi="Arial Narrow" w:cs="Arial"/>
                <w:sz w:val="18"/>
                <w:szCs w:val="18"/>
                <w:lang w:val="es-ES" w:eastAsia="es-ES"/>
              </w:rPr>
              <w:t>49</w:t>
            </w:r>
          </w:p>
        </w:tc>
        <w:tc>
          <w:tcPr>
            <w:tcW w:w="1019" w:type="dxa"/>
            <w:tcBorders>
              <w:bottom w:val="single" w:sz="2" w:space="0" w:color="auto"/>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color w:val="FF0000"/>
                <w:sz w:val="18"/>
                <w:szCs w:val="18"/>
                <w:lang w:val="es-ES" w:eastAsia="es-ES"/>
              </w:rPr>
            </w:pPr>
            <w:r w:rsidRPr="00032B45">
              <w:rPr>
                <w:rFonts w:ascii="Arial Narrow" w:hAnsi="Arial Narrow" w:cs="Arial"/>
                <w:sz w:val="18"/>
                <w:szCs w:val="18"/>
                <w:lang w:val="es-ES" w:eastAsia="es-ES"/>
              </w:rPr>
              <w:t>47</w:t>
            </w:r>
          </w:p>
        </w:tc>
      </w:tr>
      <w:tr w:rsidR="00EC4F97" w:rsidRPr="00B01865" w:rsidTr="00422AD9">
        <w:trPr>
          <w:trHeight w:val="198"/>
          <w:jc w:val="center"/>
        </w:trPr>
        <w:tc>
          <w:tcPr>
            <w:tcW w:w="2388" w:type="dxa"/>
            <w:tcBorders>
              <w:top w:val="single" w:sz="2" w:space="0" w:color="auto"/>
              <w:bottom w:val="single" w:sz="2" w:space="0" w:color="auto"/>
            </w:tcBorders>
            <w:vAlign w:val="center"/>
          </w:tcPr>
          <w:p w:rsidR="00EC4F97" w:rsidRPr="00032B45" w:rsidRDefault="00EC4F97" w:rsidP="00422AD9">
            <w:pPr>
              <w:spacing w:after="0"/>
              <w:ind w:firstLine="0"/>
              <w:jc w:val="left"/>
              <w:rPr>
                <w:rFonts w:ascii="Arial Narrow" w:hAnsi="Arial Narrow" w:cs="Arial"/>
                <w:sz w:val="18"/>
                <w:szCs w:val="18"/>
                <w:lang w:val="es-ES" w:eastAsia="es-ES"/>
              </w:rPr>
            </w:pPr>
            <w:r w:rsidRPr="00032B45">
              <w:rPr>
                <w:rFonts w:ascii="Arial Narrow" w:hAnsi="Arial Narrow" w:cs="Arial"/>
                <w:sz w:val="18"/>
                <w:szCs w:val="18"/>
                <w:lang w:val="es-ES" w:eastAsia="es-ES"/>
              </w:rPr>
              <w:t>Bienes corrientes y servicios</w:t>
            </w:r>
          </w:p>
        </w:tc>
        <w:tc>
          <w:tcPr>
            <w:tcW w:w="869" w:type="dxa"/>
            <w:tcBorders>
              <w:top w:val="single" w:sz="2" w:space="0" w:color="auto"/>
              <w:bottom w:val="single" w:sz="2" w:space="0" w:color="auto"/>
              <w:right w:val="nil"/>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sz w:val="18"/>
                <w:szCs w:val="18"/>
                <w:lang w:val="es-ES" w:eastAsia="es-ES"/>
              </w:rPr>
            </w:pPr>
            <w:r w:rsidRPr="00032B45">
              <w:rPr>
                <w:rFonts w:ascii="Arial Narrow" w:hAnsi="Arial Narrow" w:cs="Arial"/>
                <w:sz w:val="18"/>
                <w:szCs w:val="18"/>
                <w:lang w:val="es-ES" w:eastAsia="es-ES"/>
              </w:rPr>
              <w:t>37</w:t>
            </w:r>
          </w:p>
        </w:tc>
        <w:tc>
          <w:tcPr>
            <w:tcW w:w="1149" w:type="dxa"/>
            <w:tcBorders>
              <w:top w:val="single" w:sz="2" w:space="0" w:color="auto"/>
              <w:left w:val="nil"/>
              <w:bottom w:val="single" w:sz="2" w:space="0" w:color="auto"/>
              <w:right w:val="single" w:sz="4" w:space="0" w:color="auto"/>
            </w:tcBorders>
            <w:vAlign w:val="center"/>
          </w:tcPr>
          <w:p w:rsidR="00EC4F97" w:rsidRPr="00032B45" w:rsidRDefault="00EC4F97" w:rsidP="00422AD9">
            <w:pPr>
              <w:tabs>
                <w:tab w:val="left" w:pos="1212"/>
                <w:tab w:val="left" w:pos="1296"/>
              </w:tabs>
              <w:spacing w:after="0"/>
              <w:ind w:right="132" w:firstLine="0"/>
              <w:jc w:val="right"/>
              <w:rPr>
                <w:rFonts w:ascii="Arial Narrow" w:hAnsi="Arial Narrow" w:cs="Arial"/>
                <w:color w:val="FF0000"/>
                <w:sz w:val="18"/>
                <w:szCs w:val="18"/>
                <w:lang w:val="es-ES" w:eastAsia="es-ES"/>
              </w:rPr>
            </w:pPr>
            <w:r w:rsidRPr="00032B45">
              <w:rPr>
                <w:rFonts w:ascii="Arial Narrow" w:hAnsi="Arial Narrow" w:cs="Arial"/>
                <w:sz w:val="18"/>
                <w:szCs w:val="18"/>
                <w:lang w:val="es-ES" w:eastAsia="es-ES"/>
              </w:rPr>
              <w:t>35</w:t>
            </w:r>
          </w:p>
        </w:tc>
        <w:tc>
          <w:tcPr>
            <w:tcW w:w="2622" w:type="dxa"/>
            <w:tcBorders>
              <w:top w:val="single" w:sz="2" w:space="0" w:color="auto"/>
              <w:left w:val="single" w:sz="4" w:space="0" w:color="auto"/>
              <w:bottom w:val="single" w:sz="2" w:space="0" w:color="auto"/>
            </w:tcBorders>
            <w:vAlign w:val="center"/>
          </w:tcPr>
          <w:p w:rsidR="00EC4F97" w:rsidRPr="00032B45" w:rsidRDefault="00EC4F97" w:rsidP="00422AD9">
            <w:pPr>
              <w:spacing w:after="0"/>
              <w:ind w:left="149" w:firstLine="0"/>
              <w:jc w:val="left"/>
              <w:rPr>
                <w:rFonts w:ascii="Arial Narrow" w:hAnsi="Arial Narrow" w:cs="Arial"/>
                <w:sz w:val="18"/>
                <w:szCs w:val="18"/>
                <w:lang w:val="es-ES" w:eastAsia="es-ES"/>
              </w:rPr>
            </w:pPr>
            <w:r w:rsidRPr="00032B45">
              <w:rPr>
                <w:rFonts w:ascii="Arial Narrow" w:hAnsi="Arial Narrow" w:cs="Arial"/>
                <w:sz w:val="18"/>
                <w:szCs w:val="18"/>
                <w:lang w:val="es-ES" w:eastAsia="es-ES"/>
              </w:rPr>
              <w:t>Ingresos por transferencias</w:t>
            </w:r>
          </w:p>
        </w:tc>
        <w:tc>
          <w:tcPr>
            <w:tcW w:w="799" w:type="dxa"/>
            <w:tcBorders>
              <w:top w:val="single" w:sz="2" w:space="0" w:color="auto"/>
              <w:bottom w:val="single" w:sz="2" w:space="0" w:color="auto"/>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sz w:val="18"/>
                <w:szCs w:val="18"/>
                <w:lang w:val="es-ES" w:eastAsia="es-ES"/>
              </w:rPr>
            </w:pPr>
            <w:r w:rsidRPr="00032B45">
              <w:rPr>
                <w:rFonts w:ascii="Arial Narrow" w:hAnsi="Arial Narrow" w:cs="Arial"/>
                <w:sz w:val="18"/>
                <w:szCs w:val="18"/>
                <w:lang w:val="es-ES" w:eastAsia="es-ES"/>
              </w:rPr>
              <w:t>43</w:t>
            </w:r>
          </w:p>
        </w:tc>
        <w:tc>
          <w:tcPr>
            <w:tcW w:w="1019" w:type="dxa"/>
            <w:tcBorders>
              <w:top w:val="single" w:sz="2" w:space="0" w:color="auto"/>
              <w:bottom w:val="single" w:sz="2" w:space="0" w:color="auto"/>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color w:val="FF0000"/>
                <w:sz w:val="18"/>
                <w:szCs w:val="18"/>
                <w:lang w:val="es-ES" w:eastAsia="es-ES"/>
              </w:rPr>
            </w:pPr>
            <w:r w:rsidRPr="00032B45">
              <w:rPr>
                <w:rFonts w:ascii="Arial Narrow" w:hAnsi="Arial Narrow" w:cs="Arial"/>
                <w:sz w:val="18"/>
                <w:szCs w:val="18"/>
                <w:lang w:val="es-ES" w:eastAsia="es-ES"/>
              </w:rPr>
              <w:t>44</w:t>
            </w:r>
          </w:p>
        </w:tc>
      </w:tr>
      <w:tr w:rsidR="00EC4F97" w:rsidRPr="00B01865" w:rsidTr="00422AD9">
        <w:trPr>
          <w:trHeight w:val="198"/>
          <w:jc w:val="center"/>
        </w:trPr>
        <w:tc>
          <w:tcPr>
            <w:tcW w:w="2388" w:type="dxa"/>
            <w:tcBorders>
              <w:top w:val="single" w:sz="2" w:space="0" w:color="auto"/>
              <w:bottom w:val="single" w:sz="2" w:space="0" w:color="auto"/>
            </w:tcBorders>
            <w:vAlign w:val="center"/>
          </w:tcPr>
          <w:p w:rsidR="00EC4F97" w:rsidRPr="00032B45" w:rsidRDefault="00EC4F97" w:rsidP="00422AD9">
            <w:pPr>
              <w:spacing w:after="0"/>
              <w:ind w:firstLine="0"/>
              <w:jc w:val="left"/>
              <w:rPr>
                <w:rFonts w:ascii="Arial Narrow" w:hAnsi="Arial Narrow" w:cs="Arial"/>
                <w:sz w:val="18"/>
                <w:szCs w:val="18"/>
                <w:lang w:val="es-ES" w:eastAsia="es-ES"/>
              </w:rPr>
            </w:pPr>
            <w:r w:rsidRPr="00032B45">
              <w:rPr>
                <w:rFonts w:ascii="Arial Narrow" w:hAnsi="Arial Narrow" w:cs="Arial"/>
                <w:sz w:val="18"/>
                <w:szCs w:val="18"/>
                <w:lang w:val="es-ES" w:eastAsia="es-ES"/>
              </w:rPr>
              <w:t>Gastos transferencias</w:t>
            </w:r>
          </w:p>
        </w:tc>
        <w:tc>
          <w:tcPr>
            <w:tcW w:w="869" w:type="dxa"/>
            <w:tcBorders>
              <w:top w:val="single" w:sz="2" w:space="0" w:color="auto"/>
              <w:bottom w:val="single" w:sz="2" w:space="0" w:color="auto"/>
              <w:right w:val="nil"/>
            </w:tcBorders>
            <w:vAlign w:val="center"/>
          </w:tcPr>
          <w:p w:rsidR="00EC4F97" w:rsidRPr="00032B45" w:rsidRDefault="00EC4F97" w:rsidP="00422AD9">
            <w:pPr>
              <w:tabs>
                <w:tab w:val="left" w:pos="653"/>
                <w:tab w:val="left" w:pos="1212"/>
                <w:tab w:val="left" w:pos="1296"/>
              </w:tabs>
              <w:spacing w:after="0"/>
              <w:ind w:firstLine="0"/>
              <w:jc w:val="right"/>
              <w:rPr>
                <w:rFonts w:ascii="Arial Narrow" w:hAnsi="Arial Narrow" w:cs="Arial"/>
                <w:sz w:val="18"/>
                <w:szCs w:val="18"/>
                <w:lang w:val="es-ES" w:eastAsia="es-ES"/>
              </w:rPr>
            </w:pPr>
            <w:r w:rsidRPr="00032B45">
              <w:rPr>
                <w:rFonts w:ascii="Arial Narrow" w:hAnsi="Arial Narrow" w:cs="Arial"/>
                <w:sz w:val="18"/>
                <w:szCs w:val="18"/>
                <w:lang w:val="es-ES" w:eastAsia="es-ES"/>
              </w:rPr>
              <w:t>10</w:t>
            </w:r>
          </w:p>
        </w:tc>
        <w:tc>
          <w:tcPr>
            <w:tcW w:w="1149" w:type="dxa"/>
            <w:tcBorders>
              <w:top w:val="single" w:sz="2" w:space="0" w:color="auto"/>
              <w:left w:val="nil"/>
              <w:bottom w:val="single" w:sz="2" w:space="0" w:color="auto"/>
              <w:right w:val="single" w:sz="4" w:space="0" w:color="auto"/>
            </w:tcBorders>
            <w:vAlign w:val="center"/>
          </w:tcPr>
          <w:p w:rsidR="00EC4F97" w:rsidRPr="00032B45" w:rsidRDefault="00EC4F97" w:rsidP="00422AD9">
            <w:pPr>
              <w:tabs>
                <w:tab w:val="left" w:pos="1212"/>
                <w:tab w:val="left" w:pos="1296"/>
              </w:tabs>
              <w:spacing w:after="0"/>
              <w:ind w:right="132" w:firstLine="0"/>
              <w:jc w:val="right"/>
              <w:rPr>
                <w:rFonts w:ascii="Arial Narrow" w:hAnsi="Arial Narrow" w:cs="Arial"/>
                <w:color w:val="FF0000"/>
                <w:sz w:val="18"/>
                <w:szCs w:val="18"/>
                <w:lang w:val="es-ES" w:eastAsia="es-ES"/>
              </w:rPr>
            </w:pPr>
            <w:r w:rsidRPr="00032B45">
              <w:rPr>
                <w:rFonts w:ascii="Arial Narrow" w:hAnsi="Arial Narrow" w:cs="Arial"/>
                <w:sz w:val="18"/>
                <w:szCs w:val="18"/>
                <w:lang w:val="es-ES" w:eastAsia="es-ES"/>
              </w:rPr>
              <w:t>10</w:t>
            </w:r>
          </w:p>
        </w:tc>
        <w:tc>
          <w:tcPr>
            <w:tcW w:w="2622" w:type="dxa"/>
            <w:tcBorders>
              <w:top w:val="single" w:sz="2" w:space="0" w:color="auto"/>
              <w:left w:val="single" w:sz="4" w:space="0" w:color="auto"/>
              <w:bottom w:val="single" w:sz="2" w:space="0" w:color="auto"/>
            </w:tcBorders>
            <w:vAlign w:val="center"/>
          </w:tcPr>
          <w:p w:rsidR="00EC4F97" w:rsidRPr="00032B45" w:rsidRDefault="00EC4F97" w:rsidP="00422AD9">
            <w:pPr>
              <w:spacing w:after="0"/>
              <w:ind w:left="149" w:firstLine="0"/>
              <w:jc w:val="left"/>
              <w:rPr>
                <w:rFonts w:ascii="Arial Narrow" w:hAnsi="Arial Narrow" w:cs="Arial"/>
                <w:sz w:val="18"/>
                <w:szCs w:val="18"/>
                <w:lang w:val="es-ES" w:eastAsia="es-ES"/>
              </w:rPr>
            </w:pPr>
            <w:r w:rsidRPr="00032B45">
              <w:rPr>
                <w:rFonts w:ascii="Arial Narrow" w:hAnsi="Arial Narrow" w:cs="Arial"/>
                <w:sz w:val="18"/>
                <w:szCs w:val="18"/>
                <w:lang w:val="es-ES" w:eastAsia="es-ES"/>
              </w:rPr>
              <w:t>Ingresos patrimoniales y otros</w:t>
            </w:r>
          </w:p>
        </w:tc>
        <w:tc>
          <w:tcPr>
            <w:tcW w:w="799" w:type="dxa"/>
            <w:tcBorders>
              <w:top w:val="single" w:sz="2" w:space="0" w:color="auto"/>
              <w:bottom w:val="single" w:sz="2" w:space="0" w:color="auto"/>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sz w:val="18"/>
                <w:szCs w:val="18"/>
                <w:lang w:val="es-ES" w:eastAsia="es-ES"/>
              </w:rPr>
            </w:pPr>
            <w:r w:rsidRPr="00032B45">
              <w:rPr>
                <w:rFonts w:ascii="Arial Narrow" w:hAnsi="Arial Narrow" w:cs="Arial"/>
                <w:sz w:val="18"/>
                <w:szCs w:val="18"/>
                <w:lang w:val="es-ES" w:eastAsia="es-ES"/>
              </w:rPr>
              <w:t>7</w:t>
            </w:r>
          </w:p>
        </w:tc>
        <w:tc>
          <w:tcPr>
            <w:tcW w:w="1019" w:type="dxa"/>
            <w:tcBorders>
              <w:top w:val="single" w:sz="2" w:space="0" w:color="auto"/>
              <w:bottom w:val="single" w:sz="2" w:space="0" w:color="auto"/>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color w:val="FF0000"/>
                <w:sz w:val="18"/>
                <w:szCs w:val="18"/>
                <w:lang w:val="es-ES" w:eastAsia="es-ES"/>
              </w:rPr>
            </w:pPr>
            <w:r w:rsidRPr="00032B45">
              <w:rPr>
                <w:rFonts w:ascii="Arial Narrow" w:hAnsi="Arial Narrow" w:cs="Arial"/>
                <w:sz w:val="18"/>
                <w:szCs w:val="18"/>
                <w:lang w:val="es-ES" w:eastAsia="es-ES"/>
              </w:rPr>
              <w:t>8</w:t>
            </w:r>
          </w:p>
        </w:tc>
      </w:tr>
      <w:tr w:rsidR="00EC4F97" w:rsidRPr="00B01865" w:rsidTr="00422AD9">
        <w:trPr>
          <w:trHeight w:val="198"/>
          <w:jc w:val="center"/>
        </w:trPr>
        <w:tc>
          <w:tcPr>
            <w:tcW w:w="2388" w:type="dxa"/>
            <w:tcBorders>
              <w:top w:val="single" w:sz="2" w:space="0" w:color="auto"/>
              <w:bottom w:val="single" w:sz="2" w:space="0" w:color="auto"/>
            </w:tcBorders>
            <w:vAlign w:val="center"/>
          </w:tcPr>
          <w:p w:rsidR="00EC4F97" w:rsidRPr="00032B45" w:rsidRDefault="00EC4F97" w:rsidP="00422AD9">
            <w:pPr>
              <w:spacing w:after="0"/>
              <w:ind w:firstLine="0"/>
              <w:jc w:val="left"/>
              <w:rPr>
                <w:rFonts w:ascii="Arial Narrow" w:hAnsi="Arial Narrow" w:cs="Arial"/>
                <w:sz w:val="18"/>
                <w:szCs w:val="18"/>
                <w:lang w:val="es-ES" w:eastAsia="es-ES"/>
              </w:rPr>
            </w:pPr>
            <w:r w:rsidRPr="00032B45">
              <w:rPr>
                <w:rFonts w:ascii="Arial Narrow" w:hAnsi="Arial Narrow" w:cs="Arial"/>
                <w:sz w:val="18"/>
                <w:szCs w:val="18"/>
                <w:lang w:val="es-ES" w:eastAsia="es-ES"/>
              </w:rPr>
              <w:t>Inversiones reales</w:t>
            </w:r>
          </w:p>
        </w:tc>
        <w:tc>
          <w:tcPr>
            <w:tcW w:w="869" w:type="dxa"/>
            <w:tcBorders>
              <w:top w:val="single" w:sz="2" w:space="0" w:color="auto"/>
              <w:bottom w:val="single" w:sz="2" w:space="0" w:color="auto"/>
              <w:right w:val="nil"/>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sz w:val="18"/>
                <w:szCs w:val="18"/>
                <w:lang w:val="es-ES" w:eastAsia="es-ES"/>
              </w:rPr>
            </w:pPr>
            <w:r w:rsidRPr="00032B45">
              <w:rPr>
                <w:rFonts w:ascii="Arial Narrow" w:hAnsi="Arial Narrow" w:cs="Arial"/>
                <w:sz w:val="18"/>
                <w:szCs w:val="18"/>
                <w:lang w:val="es-ES" w:eastAsia="es-ES"/>
              </w:rPr>
              <w:t>10</w:t>
            </w:r>
          </w:p>
        </w:tc>
        <w:tc>
          <w:tcPr>
            <w:tcW w:w="1149" w:type="dxa"/>
            <w:tcBorders>
              <w:top w:val="single" w:sz="2" w:space="0" w:color="auto"/>
              <w:left w:val="nil"/>
              <w:bottom w:val="single" w:sz="2" w:space="0" w:color="auto"/>
              <w:right w:val="single" w:sz="4" w:space="0" w:color="auto"/>
            </w:tcBorders>
            <w:vAlign w:val="center"/>
          </w:tcPr>
          <w:p w:rsidR="00EC4F97" w:rsidRPr="00032B45" w:rsidRDefault="00EC4F97" w:rsidP="00422AD9">
            <w:pPr>
              <w:tabs>
                <w:tab w:val="left" w:pos="1212"/>
                <w:tab w:val="left" w:pos="1296"/>
              </w:tabs>
              <w:spacing w:after="0"/>
              <w:ind w:right="132" w:firstLine="0"/>
              <w:jc w:val="right"/>
              <w:rPr>
                <w:rFonts w:ascii="Arial Narrow" w:hAnsi="Arial Narrow" w:cs="Arial"/>
                <w:color w:val="FF0000"/>
                <w:sz w:val="18"/>
                <w:szCs w:val="18"/>
                <w:lang w:val="es-ES" w:eastAsia="es-ES"/>
              </w:rPr>
            </w:pPr>
            <w:r w:rsidRPr="00032B45">
              <w:rPr>
                <w:rFonts w:ascii="Arial Narrow" w:hAnsi="Arial Narrow" w:cs="Arial"/>
                <w:sz w:val="18"/>
                <w:szCs w:val="18"/>
                <w:lang w:val="es-ES" w:eastAsia="es-ES"/>
              </w:rPr>
              <w:t>12</w:t>
            </w:r>
          </w:p>
        </w:tc>
        <w:tc>
          <w:tcPr>
            <w:tcW w:w="2622" w:type="dxa"/>
            <w:tcBorders>
              <w:top w:val="single" w:sz="2" w:space="0" w:color="auto"/>
              <w:left w:val="single" w:sz="4" w:space="0" w:color="auto"/>
              <w:bottom w:val="single" w:sz="2" w:space="0" w:color="auto"/>
            </w:tcBorders>
            <w:vAlign w:val="center"/>
          </w:tcPr>
          <w:p w:rsidR="00EC4F97" w:rsidRPr="00032B45" w:rsidRDefault="00EC4F97" w:rsidP="00422AD9">
            <w:pPr>
              <w:spacing w:after="0"/>
              <w:ind w:left="149" w:firstLine="0"/>
              <w:jc w:val="left"/>
              <w:rPr>
                <w:rFonts w:ascii="Arial Narrow" w:hAnsi="Arial Narrow" w:cs="Arial"/>
                <w:sz w:val="18"/>
                <w:szCs w:val="18"/>
                <w:lang w:val="es-ES" w:eastAsia="es-ES"/>
              </w:rPr>
            </w:pPr>
            <w:r w:rsidRPr="00032B45">
              <w:rPr>
                <w:rFonts w:ascii="Arial Narrow" w:hAnsi="Arial Narrow" w:cs="Arial"/>
                <w:sz w:val="18"/>
                <w:szCs w:val="18"/>
                <w:lang w:val="es-ES" w:eastAsia="es-ES"/>
              </w:rPr>
              <w:t>Endeudamiento</w:t>
            </w:r>
          </w:p>
        </w:tc>
        <w:tc>
          <w:tcPr>
            <w:tcW w:w="799" w:type="dxa"/>
            <w:tcBorders>
              <w:top w:val="single" w:sz="2" w:space="0" w:color="auto"/>
              <w:bottom w:val="single" w:sz="2" w:space="0" w:color="auto"/>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sz w:val="18"/>
                <w:szCs w:val="18"/>
                <w:lang w:val="es-ES" w:eastAsia="es-ES"/>
              </w:rPr>
            </w:pPr>
            <w:r w:rsidRPr="00032B45">
              <w:rPr>
                <w:rFonts w:ascii="Arial Narrow" w:hAnsi="Arial Narrow" w:cs="Arial"/>
                <w:sz w:val="18"/>
                <w:szCs w:val="18"/>
                <w:lang w:val="es-ES" w:eastAsia="es-ES"/>
              </w:rPr>
              <w:t>1</w:t>
            </w:r>
          </w:p>
        </w:tc>
        <w:tc>
          <w:tcPr>
            <w:tcW w:w="1019" w:type="dxa"/>
            <w:tcBorders>
              <w:top w:val="single" w:sz="2" w:space="0" w:color="auto"/>
              <w:bottom w:val="single" w:sz="2" w:space="0" w:color="auto"/>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color w:val="FF0000"/>
                <w:sz w:val="18"/>
                <w:szCs w:val="18"/>
                <w:lang w:val="es-ES" w:eastAsia="es-ES"/>
              </w:rPr>
            </w:pPr>
            <w:r w:rsidRPr="00032B45">
              <w:rPr>
                <w:rFonts w:ascii="Arial Narrow" w:hAnsi="Arial Narrow" w:cs="Arial"/>
                <w:sz w:val="18"/>
                <w:szCs w:val="18"/>
                <w:lang w:val="es-ES" w:eastAsia="es-ES"/>
              </w:rPr>
              <w:t>1</w:t>
            </w:r>
          </w:p>
        </w:tc>
      </w:tr>
      <w:tr w:rsidR="00EC4F97" w:rsidRPr="00B01865" w:rsidTr="00422AD9">
        <w:trPr>
          <w:trHeight w:val="198"/>
          <w:jc w:val="center"/>
        </w:trPr>
        <w:tc>
          <w:tcPr>
            <w:tcW w:w="2388" w:type="dxa"/>
            <w:tcBorders>
              <w:top w:val="single" w:sz="2" w:space="0" w:color="auto"/>
              <w:bottom w:val="single" w:sz="2" w:space="0" w:color="auto"/>
            </w:tcBorders>
            <w:vAlign w:val="center"/>
          </w:tcPr>
          <w:p w:rsidR="00EC4F97" w:rsidRPr="00032B45" w:rsidRDefault="00EC4F97" w:rsidP="00422AD9">
            <w:pPr>
              <w:spacing w:after="0"/>
              <w:ind w:firstLine="0"/>
              <w:jc w:val="left"/>
              <w:rPr>
                <w:rFonts w:ascii="Arial Narrow" w:hAnsi="Arial Narrow" w:cs="Arial"/>
                <w:sz w:val="18"/>
                <w:szCs w:val="18"/>
                <w:lang w:val="es-ES" w:eastAsia="es-ES"/>
              </w:rPr>
            </w:pPr>
            <w:r w:rsidRPr="00032B45">
              <w:rPr>
                <w:rFonts w:ascii="Arial Narrow" w:hAnsi="Arial Narrow" w:cs="Arial"/>
                <w:sz w:val="18"/>
                <w:szCs w:val="18"/>
                <w:lang w:val="es-ES" w:eastAsia="es-ES"/>
              </w:rPr>
              <w:t>Carga financiera</w:t>
            </w:r>
          </w:p>
        </w:tc>
        <w:tc>
          <w:tcPr>
            <w:tcW w:w="869" w:type="dxa"/>
            <w:tcBorders>
              <w:top w:val="single" w:sz="2" w:space="0" w:color="auto"/>
              <w:bottom w:val="single" w:sz="2" w:space="0" w:color="auto"/>
              <w:right w:val="nil"/>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sz w:val="18"/>
                <w:szCs w:val="18"/>
                <w:lang w:val="es-ES" w:eastAsia="es-ES"/>
              </w:rPr>
            </w:pPr>
            <w:r w:rsidRPr="00032B45">
              <w:rPr>
                <w:rFonts w:ascii="Arial Narrow" w:hAnsi="Arial Narrow" w:cs="Arial"/>
                <w:sz w:val="18"/>
                <w:szCs w:val="18"/>
                <w:lang w:val="es-ES" w:eastAsia="es-ES"/>
              </w:rPr>
              <w:t>5</w:t>
            </w:r>
          </w:p>
        </w:tc>
        <w:tc>
          <w:tcPr>
            <w:tcW w:w="1149" w:type="dxa"/>
            <w:tcBorders>
              <w:top w:val="single" w:sz="2" w:space="0" w:color="auto"/>
              <w:left w:val="nil"/>
              <w:bottom w:val="single" w:sz="2" w:space="0" w:color="auto"/>
              <w:right w:val="single" w:sz="4" w:space="0" w:color="auto"/>
            </w:tcBorders>
            <w:vAlign w:val="center"/>
          </w:tcPr>
          <w:p w:rsidR="00EC4F97" w:rsidRPr="00032B45" w:rsidRDefault="00EC4F97" w:rsidP="00422AD9">
            <w:pPr>
              <w:tabs>
                <w:tab w:val="left" w:pos="1212"/>
                <w:tab w:val="left" w:pos="1296"/>
              </w:tabs>
              <w:spacing w:after="0"/>
              <w:ind w:right="132" w:firstLine="0"/>
              <w:jc w:val="right"/>
              <w:rPr>
                <w:rFonts w:ascii="Arial Narrow" w:hAnsi="Arial Narrow" w:cs="Arial"/>
                <w:color w:val="FF0000"/>
                <w:sz w:val="18"/>
                <w:szCs w:val="18"/>
                <w:lang w:val="es-ES" w:eastAsia="es-ES"/>
              </w:rPr>
            </w:pPr>
            <w:r w:rsidRPr="00032B45">
              <w:rPr>
                <w:rFonts w:ascii="Arial Narrow" w:hAnsi="Arial Narrow" w:cs="Arial"/>
                <w:sz w:val="18"/>
                <w:szCs w:val="18"/>
                <w:lang w:val="es-ES" w:eastAsia="es-ES"/>
              </w:rPr>
              <w:t>6</w:t>
            </w:r>
          </w:p>
        </w:tc>
        <w:tc>
          <w:tcPr>
            <w:tcW w:w="2622" w:type="dxa"/>
            <w:tcBorders>
              <w:top w:val="single" w:sz="2" w:space="0" w:color="auto"/>
              <w:left w:val="single" w:sz="4" w:space="0" w:color="auto"/>
              <w:bottom w:val="single" w:sz="2" w:space="0" w:color="auto"/>
            </w:tcBorders>
            <w:vAlign w:val="center"/>
          </w:tcPr>
          <w:p w:rsidR="00EC4F97" w:rsidRPr="00032B45" w:rsidRDefault="00EC4F97" w:rsidP="00422AD9">
            <w:pPr>
              <w:spacing w:after="0"/>
              <w:ind w:left="149" w:firstLine="0"/>
              <w:jc w:val="left"/>
              <w:rPr>
                <w:rFonts w:ascii="Arial Narrow" w:hAnsi="Arial Narrow" w:cs="Arial"/>
                <w:sz w:val="18"/>
                <w:szCs w:val="18"/>
                <w:lang w:val="es-ES" w:eastAsia="es-ES"/>
              </w:rPr>
            </w:pPr>
          </w:p>
        </w:tc>
        <w:tc>
          <w:tcPr>
            <w:tcW w:w="799" w:type="dxa"/>
            <w:tcBorders>
              <w:top w:val="single" w:sz="2" w:space="0" w:color="auto"/>
              <w:bottom w:val="single" w:sz="2" w:space="0" w:color="auto"/>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sz w:val="18"/>
                <w:szCs w:val="18"/>
                <w:lang w:val="es-ES" w:eastAsia="es-ES"/>
              </w:rPr>
            </w:pPr>
          </w:p>
        </w:tc>
        <w:tc>
          <w:tcPr>
            <w:tcW w:w="1019" w:type="dxa"/>
            <w:tcBorders>
              <w:top w:val="single" w:sz="2" w:space="0" w:color="auto"/>
              <w:bottom w:val="single" w:sz="2" w:space="0" w:color="auto"/>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color w:val="FF0000"/>
                <w:sz w:val="18"/>
                <w:szCs w:val="18"/>
                <w:lang w:val="es-ES" w:eastAsia="es-ES"/>
              </w:rPr>
            </w:pPr>
          </w:p>
        </w:tc>
      </w:tr>
      <w:tr w:rsidR="00EC4F97" w:rsidRPr="00B01865" w:rsidTr="00422AD9">
        <w:trPr>
          <w:trHeight w:val="198"/>
          <w:jc w:val="center"/>
        </w:trPr>
        <w:tc>
          <w:tcPr>
            <w:tcW w:w="2388" w:type="dxa"/>
            <w:tcBorders>
              <w:top w:val="single" w:sz="2" w:space="0" w:color="auto"/>
              <w:bottom w:val="single" w:sz="4" w:space="0" w:color="auto"/>
            </w:tcBorders>
            <w:vAlign w:val="center"/>
          </w:tcPr>
          <w:p w:rsidR="00EC4F97" w:rsidRPr="00032B45" w:rsidRDefault="00EC4F97" w:rsidP="00422AD9">
            <w:pPr>
              <w:spacing w:after="0"/>
              <w:ind w:firstLine="0"/>
              <w:jc w:val="left"/>
              <w:rPr>
                <w:rFonts w:ascii="Arial Narrow" w:hAnsi="Arial Narrow" w:cs="Arial"/>
                <w:sz w:val="18"/>
                <w:szCs w:val="18"/>
                <w:lang w:val="es-ES" w:eastAsia="es-ES"/>
              </w:rPr>
            </w:pPr>
            <w:r w:rsidRPr="00032B45">
              <w:rPr>
                <w:rFonts w:ascii="Arial Narrow" w:hAnsi="Arial Narrow" w:cs="Arial"/>
                <w:sz w:val="18"/>
                <w:szCs w:val="18"/>
                <w:lang w:val="es-ES" w:eastAsia="es-ES"/>
              </w:rPr>
              <w:t>Activos financieros</w:t>
            </w:r>
          </w:p>
        </w:tc>
        <w:tc>
          <w:tcPr>
            <w:tcW w:w="869" w:type="dxa"/>
            <w:tcBorders>
              <w:top w:val="single" w:sz="2" w:space="0" w:color="auto"/>
              <w:bottom w:val="single" w:sz="4" w:space="0" w:color="auto"/>
              <w:right w:val="nil"/>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sz w:val="18"/>
                <w:szCs w:val="18"/>
                <w:lang w:val="es-ES" w:eastAsia="es-ES"/>
              </w:rPr>
            </w:pPr>
            <w:r w:rsidRPr="00032B45">
              <w:rPr>
                <w:rFonts w:ascii="Arial Narrow" w:hAnsi="Arial Narrow" w:cs="Arial"/>
                <w:sz w:val="18"/>
                <w:szCs w:val="18"/>
                <w:lang w:val="es-ES" w:eastAsia="es-ES"/>
              </w:rPr>
              <w:t>1</w:t>
            </w:r>
          </w:p>
        </w:tc>
        <w:tc>
          <w:tcPr>
            <w:tcW w:w="1149" w:type="dxa"/>
            <w:tcBorders>
              <w:top w:val="single" w:sz="2" w:space="0" w:color="auto"/>
              <w:left w:val="nil"/>
              <w:bottom w:val="single" w:sz="4" w:space="0" w:color="auto"/>
              <w:right w:val="single" w:sz="4" w:space="0" w:color="auto"/>
            </w:tcBorders>
            <w:vAlign w:val="center"/>
          </w:tcPr>
          <w:p w:rsidR="00EC4F97" w:rsidRPr="00032B45" w:rsidRDefault="00EC4F97" w:rsidP="00422AD9">
            <w:pPr>
              <w:tabs>
                <w:tab w:val="left" w:pos="1212"/>
                <w:tab w:val="left" w:pos="1296"/>
              </w:tabs>
              <w:spacing w:after="0"/>
              <w:ind w:right="132" w:firstLine="0"/>
              <w:jc w:val="right"/>
              <w:rPr>
                <w:rFonts w:ascii="Arial Narrow" w:hAnsi="Arial Narrow" w:cs="Arial"/>
                <w:color w:val="FF0000"/>
                <w:sz w:val="18"/>
                <w:szCs w:val="18"/>
                <w:lang w:val="es-ES" w:eastAsia="es-ES"/>
              </w:rPr>
            </w:pPr>
            <w:r w:rsidRPr="00032B45">
              <w:rPr>
                <w:rFonts w:ascii="Arial Narrow" w:hAnsi="Arial Narrow" w:cs="Arial"/>
                <w:sz w:val="18"/>
                <w:szCs w:val="18"/>
                <w:lang w:val="es-ES" w:eastAsia="es-ES"/>
              </w:rPr>
              <w:t>1</w:t>
            </w:r>
          </w:p>
        </w:tc>
        <w:tc>
          <w:tcPr>
            <w:tcW w:w="2622" w:type="dxa"/>
            <w:tcBorders>
              <w:top w:val="single" w:sz="2" w:space="0" w:color="auto"/>
              <w:left w:val="single" w:sz="4" w:space="0" w:color="auto"/>
              <w:bottom w:val="single" w:sz="4" w:space="0" w:color="auto"/>
            </w:tcBorders>
            <w:vAlign w:val="center"/>
          </w:tcPr>
          <w:p w:rsidR="00EC4F97" w:rsidRPr="00032B45" w:rsidRDefault="00EC4F97" w:rsidP="00422AD9">
            <w:pPr>
              <w:spacing w:after="0"/>
              <w:ind w:left="149" w:firstLine="0"/>
              <w:jc w:val="left"/>
              <w:rPr>
                <w:rFonts w:ascii="Arial Narrow" w:hAnsi="Arial Narrow" w:cs="Arial"/>
                <w:sz w:val="18"/>
                <w:szCs w:val="18"/>
                <w:lang w:val="es-ES" w:eastAsia="es-ES"/>
              </w:rPr>
            </w:pPr>
          </w:p>
        </w:tc>
        <w:tc>
          <w:tcPr>
            <w:tcW w:w="799" w:type="dxa"/>
            <w:tcBorders>
              <w:top w:val="single" w:sz="2" w:space="0" w:color="auto"/>
              <w:bottom w:val="single" w:sz="4" w:space="0" w:color="auto"/>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sz w:val="18"/>
                <w:szCs w:val="18"/>
                <w:lang w:val="es-ES" w:eastAsia="es-ES"/>
              </w:rPr>
            </w:pPr>
          </w:p>
        </w:tc>
        <w:tc>
          <w:tcPr>
            <w:tcW w:w="1019" w:type="dxa"/>
            <w:tcBorders>
              <w:top w:val="single" w:sz="2" w:space="0" w:color="auto"/>
              <w:bottom w:val="single" w:sz="4" w:space="0" w:color="auto"/>
            </w:tcBorders>
            <w:vAlign w:val="center"/>
          </w:tcPr>
          <w:p w:rsidR="00EC4F97" w:rsidRPr="00032B45" w:rsidRDefault="00EC4F97" w:rsidP="00422AD9">
            <w:pPr>
              <w:tabs>
                <w:tab w:val="left" w:pos="1212"/>
                <w:tab w:val="left" w:pos="1296"/>
              </w:tabs>
              <w:spacing w:after="0"/>
              <w:ind w:firstLine="0"/>
              <w:jc w:val="right"/>
              <w:rPr>
                <w:rFonts w:ascii="Arial Narrow" w:hAnsi="Arial Narrow" w:cs="Arial"/>
                <w:color w:val="FF0000"/>
                <w:sz w:val="18"/>
                <w:szCs w:val="18"/>
                <w:lang w:val="es-ES" w:eastAsia="es-ES"/>
              </w:rPr>
            </w:pPr>
          </w:p>
        </w:tc>
      </w:tr>
      <w:tr w:rsidR="00EC4F97" w:rsidRPr="0081390E" w:rsidTr="00422AD9">
        <w:trPr>
          <w:trHeight w:val="255"/>
          <w:jc w:val="center"/>
        </w:trPr>
        <w:tc>
          <w:tcPr>
            <w:tcW w:w="2388" w:type="dxa"/>
            <w:shd w:val="clear" w:color="auto" w:fill="FBD4B4" w:themeFill="accent6" w:themeFillTint="66"/>
            <w:vAlign w:val="center"/>
          </w:tcPr>
          <w:p w:rsidR="00EC4F97" w:rsidRPr="0081390E" w:rsidRDefault="00EC4F97" w:rsidP="00422AD9">
            <w:pPr>
              <w:keepLines/>
              <w:tabs>
                <w:tab w:val="right" w:pos="2835"/>
                <w:tab w:val="right" w:pos="3969"/>
                <w:tab w:val="right" w:pos="5103"/>
                <w:tab w:val="right" w:pos="6237"/>
                <w:tab w:val="right" w:pos="7371"/>
              </w:tabs>
              <w:spacing w:after="0"/>
              <w:ind w:firstLine="0"/>
              <w:rPr>
                <w:rFonts w:ascii="Arial" w:hAnsi="Arial"/>
                <w:spacing w:val="6"/>
                <w:sz w:val="18"/>
                <w:szCs w:val="24"/>
                <w:lang w:val="es-ES" w:eastAsia="es-ES"/>
              </w:rPr>
            </w:pPr>
          </w:p>
        </w:tc>
        <w:tc>
          <w:tcPr>
            <w:tcW w:w="869" w:type="dxa"/>
            <w:tcBorders>
              <w:right w:val="nil"/>
            </w:tcBorders>
            <w:shd w:val="clear" w:color="auto" w:fill="FBD4B4" w:themeFill="accent6" w:themeFillTint="66"/>
            <w:vAlign w:val="center"/>
          </w:tcPr>
          <w:p w:rsidR="00EC4F97" w:rsidRPr="0081390E" w:rsidRDefault="00EC4F97" w:rsidP="00422AD9">
            <w:pPr>
              <w:keepLines/>
              <w:tabs>
                <w:tab w:val="right" w:pos="2835"/>
                <w:tab w:val="right" w:pos="3969"/>
                <w:tab w:val="right" w:pos="5103"/>
                <w:tab w:val="right" w:pos="6237"/>
                <w:tab w:val="right" w:pos="7371"/>
              </w:tabs>
              <w:spacing w:after="0"/>
              <w:ind w:right="1" w:firstLine="0"/>
              <w:jc w:val="right"/>
              <w:rPr>
                <w:rFonts w:ascii="Arial" w:hAnsi="Arial"/>
                <w:spacing w:val="6"/>
                <w:sz w:val="18"/>
                <w:szCs w:val="24"/>
                <w:lang w:val="es-ES" w:eastAsia="es-ES"/>
              </w:rPr>
            </w:pPr>
            <w:r w:rsidRPr="0081390E">
              <w:rPr>
                <w:rFonts w:ascii="Arial" w:hAnsi="Arial"/>
                <w:spacing w:val="6"/>
                <w:sz w:val="18"/>
                <w:szCs w:val="24"/>
                <w:lang w:val="es-ES" w:eastAsia="es-ES"/>
              </w:rPr>
              <w:t>100</w:t>
            </w:r>
          </w:p>
        </w:tc>
        <w:tc>
          <w:tcPr>
            <w:tcW w:w="1149" w:type="dxa"/>
            <w:tcBorders>
              <w:left w:val="nil"/>
              <w:right w:val="single" w:sz="4" w:space="0" w:color="auto"/>
            </w:tcBorders>
            <w:shd w:val="clear" w:color="auto" w:fill="FBD4B4" w:themeFill="accent6" w:themeFillTint="66"/>
            <w:vAlign w:val="center"/>
          </w:tcPr>
          <w:p w:rsidR="00EC4F97" w:rsidRPr="0081390E" w:rsidRDefault="00EC4F97" w:rsidP="00422AD9">
            <w:pPr>
              <w:keepLines/>
              <w:tabs>
                <w:tab w:val="right" w:pos="2835"/>
                <w:tab w:val="right" w:pos="3969"/>
                <w:tab w:val="right" w:pos="5103"/>
                <w:tab w:val="right" w:pos="6237"/>
                <w:tab w:val="right" w:pos="7371"/>
              </w:tabs>
              <w:spacing w:after="0"/>
              <w:ind w:right="132" w:firstLine="0"/>
              <w:jc w:val="right"/>
              <w:rPr>
                <w:rFonts w:ascii="Arial" w:hAnsi="Arial"/>
                <w:color w:val="FF0000"/>
                <w:spacing w:val="6"/>
                <w:sz w:val="18"/>
                <w:szCs w:val="24"/>
                <w:lang w:val="es-ES" w:eastAsia="es-ES"/>
              </w:rPr>
            </w:pPr>
            <w:r w:rsidRPr="0081390E">
              <w:rPr>
                <w:rFonts w:ascii="Arial" w:hAnsi="Arial"/>
                <w:spacing w:val="6"/>
                <w:sz w:val="18"/>
                <w:szCs w:val="24"/>
                <w:lang w:val="es-ES" w:eastAsia="es-ES"/>
              </w:rPr>
              <w:t>100</w:t>
            </w:r>
          </w:p>
        </w:tc>
        <w:tc>
          <w:tcPr>
            <w:tcW w:w="2622" w:type="dxa"/>
            <w:tcBorders>
              <w:left w:val="single" w:sz="4" w:space="0" w:color="auto"/>
            </w:tcBorders>
            <w:shd w:val="clear" w:color="auto" w:fill="FBD4B4" w:themeFill="accent6" w:themeFillTint="66"/>
            <w:vAlign w:val="center"/>
          </w:tcPr>
          <w:p w:rsidR="00EC4F97" w:rsidRPr="0081390E" w:rsidRDefault="00EC4F97" w:rsidP="00422AD9">
            <w:pPr>
              <w:keepLines/>
              <w:tabs>
                <w:tab w:val="right" w:pos="2835"/>
                <w:tab w:val="right" w:pos="3969"/>
                <w:tab w:val="right" w:pos="5103"/>
                <w:tab w:val="right" w:pos="6237"/>
                <w:tab w:val="right" w:pos="7371"/>
              </w:tabs>
              <w:spacing w:after="0"/>
              <w:ind w:left="149" w:firstLine="0"/>
              <w:rPr>
                <w:rFonts w:ascii="Arial" w:hAnsi="Arial"/>
                <w:spacing w:val="6"/>
                <w:sz w:val="18"/>
                <w:szCs w:val="24"/>
                <w:lang w:val="es-ES" w:eastAsia="es-ES"/>
              </w:rPr>
            </w:pPr>
          </w:p>
        </w:tc>
        <w:tc>
          <w:tcPr>
            <w:tcW w:w="799" w:type="dxa"/>
            <w:shd w:val="clear" w:color="auto" w:fill="FBD4B4" w:themeFill="accent6" w:themeFillTint="66"/>
            <w:vAlign w:val="center"/>
          </w:tcPr>
          <w:p w:rsidR="00EC4F97" w:rsidRPr="0081390E"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eastAsia="es-ES"/>
              </w:rPr>
            </w:pPr>
            <w:r w:rsidRPr="0081390E">
              <w:rPr>
                <w:rFonts w:ascii="Arial" w:hAnsi="Arial"/>
                <w:spacing w:val="6"/>
                <w:sz w:val="18"/>
                <w:szCs w:val="24"/>
                <w:lang w:val="es-ES" w:eastAsia="es-ES"/>
              </w:rPr>
              <w:t>100</w:t>
            </w:r>
          </w:p>
        </w:tc>
        <w:tc>
          <w:tcPr>
            <w:tcW w:w="1019" w:type="dxa"/>
            <w:shd w:val="clear" w:color="auto" w:fill="FBD4B4" w:themeFill="accent6" w:themeFillTint="66"/>
            <w:vAlign w:val="center"/>
          </w:tcPr>
          <w:p w:rsidR="00EC4F97" w:rsidRPr="0081390E" w:rsidRDefault="00EC4F97" w:rsidP="00422AD9">
            <w:pPr>
              <w:keepLines/>
              <w:tabs>
                <w:tab w:val="right" w:pos="2835"/>
                <w:tab w:val="right" w:pos="3969"/>
                <w:tab w:val="right" w:pos="5103"/>
                <w:tab w:val="right" w:pos="6237"/>
                <w:tab w:val="right" w:pos="7371"/>
              </w:tabs>
              <w:spacing w:after="0"/>
              <w:ind w:firstLine="0"/>
              <w:jc w:val="right"/>
              <w:rPr>
                <w:rFonts w:ascii="Arial" w:hAnsi="Arial"/>
                <w:color w:val="FF0000"/>
                <w:spacing w:val="6"/>
                <w:sz w:val="18"/>
                <w:szCs w:val="24"/>
                <w:lang w:val="es-ES" w:eastAsia="es-ES"/>
              </w:rPr>
            </w:pPr>
            <w:r w:rsidRPr="0081390E">
              <w:rPr>
                <w:rFonts w:ascii="Arial" w:hAnsi="Arial"/>
                <w:spacing w:val="6"/>
                <w:sz w:val="18"/>
                <w:szCs w:val="24"/>
                <w:lang w:val="es-ES" w:eastAsia="es-ES"/>
              </w:rPr>
              <w:t>100</w:t>
            </w:r>
          </w:p>
        </w:tc>
      </w:tr>
    </w:tbl>
    <w:p w:rsidR="00EC4F97" w:rsidRDefault="00EC4F97" w:rsidP="00091A43">
      <w:pPr>
        <w:pStyle w:val="texto"/>
        <w:spacing w:before="120" w:after="120"/>
      </w:pPr>
      <w:r>
        <w:t>Como se observa, las variaciones entre un ejercicio y otro no son significat</w:t>
      </w:r>
      <w:r>
        <w:t>i</w:t>
      </w:r>
      <w:r>
        <w:t>vas, si bien el peso de los gastos referidos a bienes corrientes y servicios di</w:t>
      </w:r>
      <w:r>
        <w:t>s</w:t>
      </w:r>
      <w:r>
        <w:t>minuye en dos puntos; en cuanto a los ingresos, el peso de los ingresos tribut</w:t>
      </w:r>
      <w:r>
        <w:t>a</w:t>
      </w:r>
      <w:r>
        <w:t>rios disminuye dos puntos aunque se compensa con el aumento producido en los ingresos por transferencias e ingresos patrimoniales y otros.</w:t>
      </w:r>
      <w:r w:rsidR="00091A43">
        <w:t xml:space="preserve"> Dentro de los ingresos tributarios destacar la importante disminución del impuesto sobre el incremento de valor de los terrenos de naturaleza urbana cuya liquidación fue paralizada en 2017 tras la Sentencia del Tribunal Constitucional.</w:t>
      </w:r>
    </w:p>
    <w:p w:rsidR="00091A43" w:rsidRDefault="00091A43" w:rsidP="00091A43">
      <w:pPr>
        <w:pStyle w:val="texto"/>
        <w:spacing w:before="120" w:after="120"/>
      </w:pPr>
      <w:r>
        <w:t xml:space="preserve">Así mismo, y en cuanto a los ingresos por transferencias el incremento se debe principalmente al último Plan de Infraestructuras Locales 2017-2019 cuya ejecución comenzó en 2017.  </w:t>
      </w:r>
    </w:p>
    <w:p w:rsidR="00EC4F97" w:rsidRDefault="00EC4F97" w:rsidP="00EC4F97">
      <w:pPr>
        <w:pStyle w:val="texto"/>
      </w:pPr>
      <w:r w:rsidRPr="007E3BFE">
        <w:t>A continuación se muestra la evolución de algunos indicadores de la situ</w:t>
      </w:r>
      <w:r w:rsidRPr="007E3BFE">
        <w:t>a</w:t>
      </w:r>
      <w:r w:rsidRPr="007E3BFE">
        <w:t>ción financiera de las entidades locales en los años 201</w:t>
      </w:r>
      <w:r>
        <w:t>3</w:t>
      </w:r>
      <w:r w:rsidRPr="007E3BFE">
        <w:t>-201</w:t>
      </w:r>
      <w:r>
        <w:t>7</w:t>
      </w:r>
      <w:r w:rsidRPr="007E3BFE">
        <w:t>:</w:t>
      </w:r>
    </w:p>
    <w:p w:rsidR="00EC4F97" w:rsidRPr="00DA1B49" w:rsidRDefault="00EC4F97" w:rsidP="00EC4F97">
      <w:pPr>
        <w:pStyle w:val="texto"/>
        <w:spacing w:before="100" w:after="60"/>
        <w:jc w:val="right"/>
        <w:rPr>
          <w:i/>
          <w:sz w:val="20"/>
          <w:szCs w:val="20"/>
        </w:rPr>
      </w:pPr>
      <w:r>
        <w:rPr>
          <w:i/>
          <w:sz w:val="20"/>
          <w:szCs w:val="20"/>
        </w:rPr>
        <w:t>(</w:t>
      </w:r>
      <w:r w:rsidRPr="00DA1B49">
        <w:rPr>
          <w:i/>
          <w:sz w:val="20"/>
          <w:szCs w:val="20"/>
        </w:rPr>
        <w:t>en millones de euros)</w:t>
      </w:r>
    </w:p>
    <w:tbl>
      <w:tblPr>
        <w:tblW w:w="8701" w:type="dxa"/>
        <w:jc w:val="center"/>
        <w:tblCellMar>
          <w:left w:w="70" w:type="dxa"/>
          <w:right w:w="70" w:type="dxa"/>
        </w:tblCellMar>
        <w:tblLook w:val="00A0" w:firstRow="1" w:lastRow="0" w:firstColumn="1" w:lastColumn="0" w:noHBand="0" w:noVBand="0"/>
      </w:tblPr>
      <w:tblGrid>
        <w:gridCol w:w="3080"/>
        <w:gridCol w:w="733"/>
        <w:gridCol w:w="732"/>
        <w:gridCol w:w="732"/>
        <w:gridCol w:w="822"/>
        <w:gridCol w:w="822"/>
        <w:gridCol w:w="889"/>
        <w:gridCol w:w="891"/>
      </w:tblGrid>
      <w:tr w:rsidR="00EC4F97" w:rsidRPr="009A1C98" w:rsidTr="00422AD9">
        <w:trPr>
          <w:trHeight w:val="20"/>
          <w:jc w:val="center"/>
        </w:trPr>
        <w:tc>
          <w:tcPr>
            <w:tcW w:w="3080" w:type="dxa"/>
            <w:tcBorders>
              <w:top w:val="single" w:sz="4" w:space="0" w:color="auto"/>
              <w:bottom w:val="single" w:sz="4" w:space="0" w:color="auto"/>
            </w:tcBorders>
            <w:shd w:val="clear" w:color="auto" w:fill="FBD4B4" w:themeFill="accent6" w:themeFillTint="66"/>
            <w:vAlign w:val="center"/>
          </w:tcPr>
          <w:p w:rsidR="00EC4F97" w:rsidRPr="009A1C98" w:rsidRDefault="00EC4F97" w:rsidP="00422AD9">
            <w:pPr>
              <w:spacing w:after="0" w:line="240" w:lineRule="atLeast"/>
              <w:ind w:firstLine="0"/>
              <w:jc w:val="left"/>
              <w:rPr>
                <w:rFonts w:ascii="Arial" w:hAnsi="Arial" w:cs="Arial"/>
                <w:color w:val="000000"/>
                <w:sz w:val="18"/>
                <w:szCs w:val="18"/>
                <w:lang w:eastAsia="es-ES"/>
              </w:rPr>
            </w:pPr>
            <w:r w:rsidRPr="009A1C98">
              <w:rPr>
                <w:rFonts w:ascii="Arial" w:hAnsi="Arial" w:cs="Arial"/>
                <w:color w:val="000000"/>
                <w:sz w:val="18"/>
                <w:szCs w:val="18"/>
                <w:lang w:eastAsia="es-ES"/>
              </w:rPr>
              <w:t>Indicadores</w:t>
            </w:r>
          </w:p>
        </w:tc>
        <w:tc>
          <w:tcPr>
            <w:tcW w:w="733" w:type="dxa"/>
            <w:tcBorders>
              <w:top w:val="single" w:sz="4" w:space="0" w:color="auto"/>
              <w:bottom w:val="single" w:sz="4" w:space="0" w:color="auto"/>
            </w:tcBorders>
            <w:shd w:val="clear" w:color="auto" w:fill="FBD4B4" w:themeFill="accent6" w:themeFillTint="66"/>
            <w:vAlign w:val="center"/>
          </w:tcPr>
          <w:p w:rsidR="00EC4F97" w:rsidRPr="009A1C98" w:rsidRDefault="00EC4F97" w:rsidP="00422AD9">
            <w:pPr>
              <w:spacing w:after="0" w:line="240" w:lineRule="atLeast"/>
              <w:ind w:firstLine="0"/>
              <w:jc w:val="right"/>
              <w:rPr>
                <w:rFonts w:ascii="Arial" w:hAnsi="Arial" w:cs="Arial"/>
                <w:color w:val="000000"/>
                <w:sz w:val="18"/>
                <w:szCs w:val="18"/>
                <w:lang w:eastAsia="es-ES"/>
              </w:rPr>
            </w:pPr>
            <w:r w:rsidRPr="009A1C98">
              <w:rPr>
                <w:rFonts w:ascii="Arial" w:hAnsi="Arial" w:cs="Arial"/>
                <w:color w:val="000000"/>
                <w:sz w:val="18"/>
                <w:szCs w:val="18"/>
                <w:lang w:eastAsia="es-ES"/>
              </w:rPr>
              <w:t>2013</w:t>
            </w:r>
          </w:p>
        </w:tc>
        <w:tc>
          <w:tcPr>
            <w:tcW w:w="732" w:type="dxa"/>
            <w:tcBorders>
              <w:top w:val="single" w:sz="4" w:space="0" w:color="auto"/>
              <w:bottom w:val="single" w:sz="4" w:space="0" w:color="auto"/>
            </w:tcBorders>
            <w:shd w:val="clear" w:color="auto" w:fill="FBD4B4" w:themeFill="accent6" w:themeFillTint="66"/>
            <w:vAlign w:val="center"/>
          </w:tcPr>
          <w:p w:rsidR="00EC4F97" w:rsidRPr="009A1C98" w:rsidRDefault="00EC4F97" w:rsidP="00422AD9">
            <w:pPr>
              <w:spacing w:after="0" w:line="240" w:lineRule="atLeast"/>
              <w:ind w:firstLine="0"/>
              <w:jc w:val="right"/>
              <w:rPr>
                <w:rFonts w:ascii="Arial" w:hAnsi="Arial" w:cs="Arial"/>
                <w:color w:val="000000"/>
                <w:sz w:val="18"/>
                <w:szCs w:val="18"/>
                <w:lang w:eastAsia="es-ES"/>
              </w:rPr>
            </w:pPr>
            <w:r w:rsidRPr="009A1C98">
              <w:rPr>
                <w:rFonts w:ascii="Arial" w:hAnsi="Arial" w:cs="Arial"/>
                <w:color w:val="000000"/>
                <w:sz w:val="18"/>
                <w:szCs w:val="18"/>
                <w:lang w:eastAsia="es-ES"/>
              </w:rPr>
              <w:t>2014</w:t>
            </w:r>
          </w:p>
        </w:tc>
        <w:tc>
          <w:tcPr>
            <w:tcW w:w="732" w:type="dxa"/>
            <w:tcBorders>
              <w:top w:val="single" w:sz="4" w:space="0" w:color="auto"/>
              <w:bottom w:val="single" w:sz="4" w:space="0" w:color="auto"/>
            </w:tcBorders>
            <w:shd w:val="clear" w:color="auto" w:fill="FBD4B4" w:themeFill="accent6" w:themeFillTint="66"/>
            <w:vAlign w:val="center"/>
          </w:tcPr>
          <w:p w:rsidR="00EC4F97" w:rsidRPr="009A1C98" w:rsidRDefault="00EC4F97" w:rsidP="00422AD9">
            <w:pPr>
              <w:spacing w:after="0" w:line="240" w:lineRule="atLeast"/>
              <w:ind w:firstLine="0"/>
              <w:jc w:val="right"/>
              <w:rPr>
                <w:rFonts w:ascii="Arial" w:hAnsi="Arial" w:cs="Arial"/>
                <w:color w:val="000000"/>
                <w:sz w:val="18"/>
                <w:szCs w:val="18"/>
                <w:lang w:eastAsia="es-ES"/>
              </w:rPr>
            </w:pPr>
            <w:r w:rsidRPr="009A1C98">
              <w:rPr>
                <w:rFonts w:ascii="Arial" w:hAnsi="Arial" w:cs="Arial"/>
                <w:color w:val="000000"/>
                <w:sz w:val="18"/>
                <w:szCs w:val="18"/>
                <w:lang w:eastAsia="es-ES"/>
              </w:rPr>
              <w:t>2015</w:t>
            </w:r>
          </w:p>
        </w:tc>
        <w:tc>
          <w:tcPr>
            <w:tcW w:w="822" w:type="dxa"/>
            <w:tcBorders>
              <w:top w:val="single" w:sz="4" w:space="0" w:color="auto"/>
              <w:bottom w:val="single" w:sz="4" w:space="0" w:color="auto"/>
            </w:tcBorders>
            <w:shd w:val="clear" w:color="auto" w:fill="FBD4B4" w:themeFill="accent6" w:themeFillTint="66"/>
            <w:vAlign w:val="center"/>
          </w:tcPr>
          <w:p w:rsidR="00EC4F97" w:rsidRPr="009A1C98" w:rsidRDefault="00EC4F97" w:rsidP="00422AD9">
            <w:pPr>
              <w:spacing w:after="0" w:line="240" w:lineRule="atLeast"/>
              <w:ind w:firstLine="0"/>
              <w:jc w:val="right"/>
              <w:rPr>
                <w:rFonts w:ascii="Arial" w:hAnsi="Arial" w:cs="Arial"/>
                <w:color w:val="000000"/>
                <w:sz w:val="18"/>
                <w:szCs w:val="18"/>
                <w:lang w:eastAsia="es-ES"/>
              </w:rPr>
            </w:pPr>
            <w:r w:rsidRPr="009A1C98">
              <w:rPr>
                <w:rFonts w:ascii="Arial" w:hAnsi="Arial" w:cs="Arial"/>
                <w:color w:val="000000"/>
                <w:sz w:val="18"/>
                <w:szCs w:val="18"/>
                <w:lang w:eastAsia="es-ES"/>
              </w:rPr>
              <w:t>2016</w:t>
            </w:r>
          </w:p>
        </w:tc>
        <w:tc>
          <w:tcPr>
            <w:tcW w:w="822" w:type="dxa"/>
            <w:tcBorders>
              <w:top w:val="single" w:sz="4" w:space="0" w:color="auto"/>
              <w:bottom w:val="single" w:sz="4" w:space="0" w:color="auto"/>
            </w:tcBorders>
            <w:shd w:val="clear" w:color="auto" w:fill="FBD4B4" w:themeFill="accent6" w:themeFillTint="66"/>
            <w:vAlign w:val="center"/>
          </w:tcPr>
          <w:p w:rsidR="00EC4F97" w:rsidRPr="009A1C98" w:rsidRDefault="00EC4F97" w:rsidP="00422AD9">
            <w:pPr>
              <w:spacing w:after="0" w:line="240" w:lineRule="atLeast"/>
              <w:ind w:firstLine="0"/>
              <w:jc w:val="right"/>
              <w:rPr>
                <w:rFonts w:ascii="Arial" w:hAnsi="Arial" w:cs="Arial"/>
                <w:color w:val="000000"/>
                <w:sz w:val="18"/>
                <w:szCs w:val="18"/>
                <w:lang w:eastAsia="es-ES"/>
              </w:rPr>
            </w:pPr>
            <w:r w:rsidRPr="009A1C98">
              <w:rPr>
                <w:rFonts w:ascii="Arial" w:hAnsi="Arial" w:cs="Arial"/>
                <w:color w:val="000000"/>
                <w:sz w:val="18"/>
                <w:szCs w:val="18"/>
                <w:lang w:eastAsia="es-ES"/>
              </w:rPr>
              <w:t>2017</w:t>
            </w:r>
          </w:p>
        </w:tc>
        <w:tc>
          <w:tcPr>
            <w:tcW w:w="889" w:type="dxa"/>
            <w:tcBorders>
              <w:top w:val="single" w:sz="4" w:space="0" w:color="auto"/>
              <w:bottom w:val="single" w:sz="4" w:space="0" w:color="auto"/>
            </w:tcBorders>
            <w:shd w:val="clear" w:color="auto" w:fill="FBD4B4" w:themeFill="accent6" w:themeFillTint="66"/>
          </w:tcPr>
          <w:p w:rsidR="00EC4F97" w:rsidRPr="009A1C98" w:rsidRDefault="00EC4F97" w:rsidP="00422AD9">
            <w:pPr>
              <w:spacing w:after="0" w:line="240" w:lineRule="atLeast"/>
              <w:ind w:firstLine="0"/>
              <w:jc w:val="right"/>
              <w:rPr>
                <w:rFonts w:ascii="Arial" w:hAnsi="Arial" w:cs="Arial"/>
                <w:color w:val="000000"/>
                <w:sz w:val="18"/>
                <w:szCs w:val="18"/>
                <w:lang w:eastAsia="es-ES"/>
              </w:rPr>
            </w:pPr>
            <w:r w:rsidRPr="009A1C98">
              <w:rPr>
                <w:rFonts w:ascii="Arial" w:hAnsi="Arial" w:cs="Arial"/>
                <w:color w:val="000000"/>
                <w:sz w:val="18"/>
                <w:szCs w:val="18"/>
                <w:lang w:eastAsia="es-ES"/>
              </w:rPr>
              <w:t xml:space="preserve">% </w:t>
            </w:r>
            <w:r>
              <w:rPr>
                <w:rFonts w:ascii="Arial" w:hAnsi="Arial" w:cs="Arial"/>
                <w:color w:val="000000"/>
                <w:sz w:val="18"/>
                <w:szCs w:val="18"/>
                <w:lang w:eastAsia="es-ES"/>
              </w:rPr>
              <w:t>V</w:t>
            </w:r>
            <w:r w:rsidRPr="009A1C98">
              <w:rPr>
                <w:rFonts w:ascii="Arial" w:hAnsi="Arial" w:cs="Arial"/>
                <w:color w:val="000000"/>
                <w:sz w:val="18"/>
                <w:szCs w:val="18"/>
                <w:lang w:eastAsia="es-ES"/>
              </w:rPr>
              <w:t xml:space="preserve">ar. </w:t>
            </w:r>
          </w:p>
          <w:p w:rsidR="00EC4F97" w:rsidRPr="009A1C98" w:rsidRDefault="00EC4F97" w:rsidP="00422AD9">
            <w:pPr>
              <w:spacing w:after="0" w:line="240" w:lineRule="atLeast"/>
              <w:ind w:firstLine="0"/>
              <w:jc w:val="right"/>
              <w:rPr>
                <w:rFonts w:ascii="Arial" w:hAnsi="Arial" w:cs="Arial"/>
                <w:color w:val="000000"/>
                <w:sz w:val="18"/>
                <w:szCs w:val="18"/>
                <w:lang w:eastAsia="es-ES"/>
              </w:rPr>
            </w:pPr>
            <w:r w:rsidRPr="009A1C98">
              <w:rPr>
                <w:rFonts w:ascii="Arial" w:hAnsi="Arial" w:cs="Arial"/>
                <w:color w:val="000000"/>
                <w:sz w:val="18"/>
                <w:szCs w:val="18"/>
                <w:lang w:eastAsia="es-ES"/>
              </w:rPr>
              <w:t>2017/13</w:t>
            </w:r>
          </w:p>
        </w:tc>
        <w:tc>
          <w:tcPr>
            <w:tcW w:w="891" w:type="dxa"/>
            <w:tcBorders>
              <w:top w:val="single" w:sz="4" w:space="0" w:color="auto"/>
              <w:bottom w:val="single" w:sz="4" w:space="0" w:color="auto"/>
            </w:tcBorders>
            <w:shd w:val="clear" w:color="auto" w:fill="FBD4B4" w:themeFill="accent6" w:themeFillTint="66"/>
            <w:noWrap/>
          </w:tcPr>
          <w:p w:rsidR="00EC4F97" w:rsidRPr="009A1C98" w:rsidRDefault="00EC4F97" w:rsidP="00422AD9">
            <w:pPr>
              <w:spacing w:after="0" w:line="240" w:lineRule="atLeast"/>
              <w:ind w:firstLine="0"/>
              <w:jc w:val="right"/>
              <w:rPr>
                <w:rFonts w:ascii="Arial" w:hAnsi="Arial" w:cs="Arial"/>
                <w:color w:val="000000"/>
                <w:sz w:val="18"/>
                <w:szCs w:val="18"/>
                <w:lang w:eastAsia="es-ES"/>
              </w:rPr>
            </w:pPr>
            <w:r w:rsidRPr="009A1C98">
              <w:rPr>
                <w:rFonts w:ascii="Arial" w:hAnsi="Arial" w:cs="Arial"/>
                <w:color w:val="000000"/>
                <w:sz w:val="18"/>
                <w:szCs w:val="18"/>
                <w:lang w:eastAsia="es-ES"/>
              </w:rPr>
              <w:t xml:space="preserve">% </w:t>
            </w:r>
            <w:r>
              <w:rPr>
                <w:rFonts w:ascii="Arial" w:hAnsi="Arial" w:cs="Arial"/>
                <w:color w:val="000000"/>
                <w:sz w:val="18"/>
                <w:szCs w:val="18"/>
                <w:lang w:eastAsia="es-ES"/>
              </w:rPr>
              <w:t>V</w:t>
            </w:r>
            <w:r w:rsidRPr="009A1C98">
              <w:rPr>
                <w:rFonts w:ascii="Arial" w:hAnsi="Arial" w:cs="Arial"/>
                <w:color w:val="000000"/>
                <w:sz w:val="18"/>
                <w:szCs w:val="18"/>
                <w:lang w:eastAsia="es-ES"/>
              </w:rPr>
              <w:t>ar.</w:t>
            </w:r>
          </w:p>
          <w:p w:rsidR="00EC4F97" w:rsidRPr="009A1C98" w:rsidRDefault="00EC4F97" w:rsidP="00422AD9">
            <w:pPr>
              <w:spacing w:after="0" w:line="240" w:lineRule="atLeast"/>
              <w:ind w:firstLine="0"/>
              <w:jc w:val="right"/>
              <w:rPr>
                <w:rFonts w:ascii="Arial" w:hAnsi="Arial" w:cs="Arial"/>
                <w:color w:val="000000"/>
                <w:sz w:val="18"/>
                <w:szCs w:val="18"/>
                <w:lang w:eastAsia="es-ES"/>
              </w:rPr>
            </w:pPr>
            <w:r w:rsidRPr="009A1C98">
              <w:rPr>
                <w:rFonts w:ascii="Arial" w:hAnsi="Arial" w:cs="Arial"/>
                <w:color w:val="000000"/>
                <w:sz w:val="18"/>
                <w:szCs w:val="18"/>
                <w:lang w:eastAsia="es-ES"/>
              </w:rPr>
              <w:t>2017/16</w:t>
            </w:r>
          </w:p>
        </w:tc>
      </w:tr>
      <w:tr w:rsidR="00EC4F97" w:rsidRPr="00886B0B" w:rsidTr="00422AD9">
        <w:trPr>
          <w:trHeight w:val="255"/>
          <w:jc w:val="center"/>
        </w:trPr>
        <w:tc>
          <w:tcPr>
            <w:tcW w:w="3080"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lang w:eastAsia="es-ES"/>
              </w:rPr>
            </w:pPr>
            <w:r w:rsidRPr="00886B0B">
              <w:rPr>
                <w:rFonts w:ascii="Arial Narrow" w:hAnsi="Arial Narrow"/>
                <w:color w:val="000000"/>
                <w:sz w:val="18"/>
                <w:szCs w:val="18"/>
                <w:lang w:eastAsia="es-ES"/>
              </w:rPr>
              <w:t>Total Ingresos</w:t>
            </w:r>
          </w:p>
        </w:tc>
        <w:tc>
          <w:tcPr>
            <w:tcW w:w="733"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741,93</w:t>
            </w:r>
          </w:p>
        </w:tc>
        <w:tc>
          <w:tcPr>
            <w:tcW w:w="732"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747,88</w:t>
            </w:r>
          </w:p>
        </w:tc>
        <w:tc>
          <w:tcPr>
            <w:tcW w:w="732"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751,27</w:t>
            </w:r>
          </w:p>
        </w:tc>
        <w:tc>
          <w:tcPr>
            <w:tcW w:w="822"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765,30</w:t>
            </w:r>
          </w:p>
        </w:tc>
        <w:tc>
          <w:tcPr>
            <w:tcW w:w="822"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778,12</w:t>
            </w:r>
          </w:p>
        </w:tc>
        <w:tc>
          <w:tcPr>
            <w:tcW w:w="889"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5</w:t>
            </w:r>
          </w:p>
        </w:tc>
        <w:tc>
          <w:tcPr>
            <w:tcW w:w="891"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2</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lang w:eastAsia="es-ES"/>
              </w:rPr>
            </w:pPr>
            <w:r w:rsidRPr="00886B0B">
              <w:rPr>
                <w:rFonts w:ascii="Arial Narrow" w:hAnsi="Arial Narrow"/>
                <w:color w:val="000000"/>
                <w:sz w:val="18"/>
                <w:szCs w:val="18"/>
                <w:lang w:eastAsia="es-ES"/>
              </w:rPr>
              <w:t>Total Gastos</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724,57</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720,77</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732,93</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717,40</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752,03</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4</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5</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lang w:eastAsia="es-ES"/>
              </w:rPr>
            </w:pPr>
            <w:r w:rsidRPr="00886B0B">
              <w:rPr>
                <w:rFonts w:ascii="Arial Narrow" w:hAnsi="Arial Narrow"/>
                <w:color w:val="000000"/>
                <w:sz w:val="18"/>
                <w:szCs w:val="18"/>
                <w:lang w:eastAsia="es-ES"/>
              </w:rPr>
              <w:t>Ingresos tributarios</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344,39</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348,96</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359,12</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371,55</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365,41</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6</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-2</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lang w:eastAsia="es-ES"/>
              </w:rPr>
            </w:pPr>
            <w:r w:rsidRPr="00886B0B">
              <w:rPr>
                <w:rFonts w:ascii="Arial Narrow" w:hAnsi="Arial Narrow"/>
                <w:color w:val="000000"/>
                <w:sz w:val="18"/>
                <w:szCs w:val="18"/>
                <w:lang w:eastAsia="es-ES"/>
              </w:rPr>
              <w:t>Ingresos por transferencias</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336,54</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336,54</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323,05</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332,00</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344,75</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2</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4</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lang w:eastAsia="es-ES"/>
              </w:rPr>
            </w:pPr>
            <w:r w:rsidRPr="00886B0B">
              <w:rPr>
                <w:rFonts w:ascii="Arial Narrow" w:hAnsi="Arial Narrow"/>
                <w:color w:val="000000"/>
                <w:sz w:val="18"/>
                <w:szCs w:val="18"/>
                <w:lang w:eastAsia="es-ES"/>
              </w:rPr>
              <w:t>Gastos de funcionamiento</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583,27</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584,50</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591,74</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598,92</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605,09</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4</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1</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lang w:eastAsia="es-ES"/>
              </w:rPr>
            </w:pPr>
            <w:r w:rsidRPr="00886B0B">
              <w:rPr>
                <w:rFonts w:ascii="Arial Narrow" w:hAnsi="Arial Narrow"/>
                <w:color w:val="000000"/>
                <w:sz w:val="18"/>
                <w:szCs w:val="18"/>
                <w:lang w:eastAsia="es-ES"/>
              </w:rPr>
              <w:t>Gasto de capital</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98,9</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94,68</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79,57</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79,69</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97,69</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-1</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23</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lang w:eastAsia="es-ES"/>
              </w:rPr>
            </w:pPr>
            <w:r w:rsidRPr="00886B0B">
              <w:rPr>
                <w:rFonts w:ascii="Arial Narrow" w:hAnsi="Arial Narrow"/>
                <w:color w:val="000000"/>
                <w:sz w:val="18"/>
                <w:szCs w:val="18"/>
                <w:lang w:eastAsia="es-ES"/>
              </w:rPr>
              <w:t>Resultado presupuestario no financiero</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45,89</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56,02</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60,42</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78,22</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62,35</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36</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-20</w:t>
            </w:r>
          </w:p>
        </w:tc>
      </w:tr>
      <w:tr w:rsidR="00EC4F97" w:rsidRPr="009650FE" w:rsidTr="00422AD9">
        <w:trPr>
          <w:trHeight w:val="255"/>
          <w:jc w:val="center"/>
        </w:trPr>
        <w:tc>
          <w:tcPr>
            <w:tcW w:w="3080"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left"/>
              <w:rPr>
                <w:rFonts w:ascii="Arial Narrow" w:hAnsi="Arial Narrow"/>
                <w:color w:val="000000"/>
                <w:sz w:val="18"/>
                <w:szCs w:val="18"/>
                <w:lang w:eastAsia="es-ES"/>
              </w:rPr>
            </w:pPr>
            <w:r w:rsidRPr="009650FE">
              <w:rPr>
                <w:rFonts w:ascii="Arial Narrow" w:hAnsi="Arial Narrow"/>
                <w:color w:val="000000"/>
                <w:sz w:val="18"/>
                <w:szCs w:val="18"/>
                <w:lang w:eastAsia="es-ES"/>
              </w:rPr>
              <w:t xml:space="preserve">Ahorro bruto </w:t>
            </w:r>
          </w:p>
        </w:tc>
        <w:tc>
          <w:tcPr>
            <w:tcW w:w="733"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100,97</w:t>
            </w:r>
          </w:p>
        </w:tc>
        <w:tc>
          <w:tcPr>
            <w:tcW w:w="73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110,94</w:t>
            </w:r>
          </w:p>
        </w:tc>
        <w:tc>
          <w:tcPr>
            <w:tcW w:w="73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112,95</w:t>
            </w:r>
          </w:p>
        </w:tc>
        <w:tc>
          <w:tcPr>
            <w:tcW w:w="82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123,24</w:t>
            </w:r>
          </w:p>
        </w:tc>
        <w:tc>
          <w:tcPr>
            <w:tcW w:w="82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111,44</w:t>
            </w:r>
          </w:p>
        </w:tc>
        <w:tc>
          <w:tcPr>
            <w:tcW w:w="889"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10</w:t>
            </w:r>
          </w:p>
        </w:tc>
        <w:tc>
          <w:tcPr>
            <w:tcW w:w="891"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-10</w:t>
            </w:r>
          </w:p>
        </w:tc>
      </w:tr>
      <w:tr w:rsidR="00EC4F97" w:rsidRPr="009650FE" w:rsidTr="00422AD9">
        <w:trPr>
          <w:trHeight w:val="255"/>
          <w:jc w:val="center"/>
        </w:trPr>
        <w:tc>
          <w:tcPr>
            <w:tcW w:w="3080"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left"/>
              <w:rPr>
                <w:rFonts w:ascii="Arial Narrow" w:hAnsi="Arial Narrow"/>
                <w:color w:val="000000"/>
                <w:sz w:val="18"/>
                <w:szCs w:val="18"/>
                <w:lang w:eastAsia="es-ES"/>
              </w:rPr>
            </w:pPr>
            <w:r w:rsidRPr="009650FE">
              <w:rPr>
                <w:rFonts w:ascii="Arial Narrow" w:hAnsi="Arial Narrow"/>
                <w:color w:val="000000"/>
                <w:sz w:val="18"/>
                <w:szCs w:val="18"/>
                <w:lang w:eastAsia="es-ES"/>
              </w:rPr>
              <w:t>Carga financiera</w:t>
            </w:r>
          </w:p>
        </w:tc>
        <w:tc>
          <w:tcPr>
            <w:tcW w:w="733"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38,08</w:t>
            </w:r>
          </w:p>
        </w:tc>
        <w:tc>
          <w:tcPr>
            <w:tcW w:w="73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39,08</w:t>
            </w:r>
          </w:p>
        </w:tc>
        <w:tc>
          <w:tcPr>
            <w:tcW w:w="73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49,89</w:t>
            </w:r>
          </w:p>
        </w:tc>
        <w:tc>
          <w:tcPr>
            <w:tcW w:w="82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37,59</w:t>
            </w:r>
          </w:p>
        </w:tc>
        <w:tc>
          <w:tcPr>
            <w:tcW w:w="82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47,48</w:t>
            </w:r>
          </w:p>
        </w:tc>
        <w:tc>
          <w:tcPr>
            <w:tcW w:w="889"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25</w:t>
            </w:r>
          </w:p>
        </w:tc>
        <w:tc>
          <w:tcPr>
            <w:tcW w:w="891"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26</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left"/>
              <w:rPr>
                <w:rFonts w:ascii="Arial Narrow" w:hAnsi="Arial Narrow"/>
                <w:color w:val="000000"/>
                <w:sz w:val="18"/>
                <w:szCs w:val="18"/>
                <w:lang w:eastAsia="es-ES"/>
              </w:rPr>
            </w:pPr>
            <w:r w:rsidRPr="009650FE">
              <w:rPr>
                <w:rFonts w:ascii="Arial Narrow" w:hAnsi="Arial Narrow"/>
                <w:color w:val="000000"/>
                <w:sz w:val="18"/>
                <w:szCs w:val="18"/>
                <w:lang w:eastAsia="es-ES"/>
              </w:rPr>
              <w:t xml:space="preserve">Ahorro neto </w:t>
            </w:r>
          </w:p>
        </w:tc>
        <w:tc>
          <w:tcPr>
            <w:tcW w:w="733"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62,89</w:t>
            </w:r>
          </w:p>
        </w:tc>
        <w:tc>
          <w:tcPr>
            <w:tcW w:w="73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71,80</w:t>
            </w:r>
          </w:p>
        </w:tc>
        <w:tc>
          <w:tcPr>
            <w:tcW w:w="73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63,00</w:t>
            </w:r>
          </w:p>
        </w:tc>
        <w:tc>
          <w:tcPr>
            <w:tcW w:w="82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85,41</w:t>
            </w:r>
          </w:p>
        </w:tc>
        <w:tc>
          <w:tcPr>
            <w:tcW w:w="82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63,95</w:t>
            </w:r>
          </w:p>
        </w:tc>
        <w:tc>
          <w:tcPr>
            <w:tcW w:w="889"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2</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9650FE">
              <w:rPr>
                <w:rFonts w:ascii="Arial Narrow" w:hAnsi="Arial Narrow"/>
                <w:color w:val="000000"/>
                <w:sz w:val="18"/>
                <w:szCs w:val="18"/>
                <w:lang w:eastAsia="es-ES"/>
              </w:rPr>
              <w:t>-25</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lang w:eastAsia="es-ES"/>
              </w:rPr>
            </w:pPr>
            <w:r w:rsidRPr="00886B0B">
              <w:rPr>
                <w:rFonts w:ascii="Arial Narrow" w:hAnsi="Arial Narrow"/>
                <w:color w:val="000000"/>
                <w:sz w:val="18"/>
                <w:szCs w:val="18"/>
                <w:lang w:eastAsia="es-ES"/>
              </w:rPr>
              <w:t>Índice de endeudamiento</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5,57</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5,61</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7,08</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5,23</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6,63</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19</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27</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lang w:eastAsia="es-ES"/>
              </w:rPr>
            </w:pPr>
            <w:r w:rsidRPr="00886B0B">
              <w:rPr>
                <w:rFonts w:ascii="Arial Narrow" w:hAnsi="Arial Narrow"/>
                <w:color w:val="000000"/>
                <w:sz w:val="18"/>
                <w:szCs w:val="18"/>
                <w:lang w:eastAsia="es-ES"/>
              </w:rPr>
              <w:t>% ahorro bruto / ingresos corrientes</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14,76</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15,83</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15,98</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17,15</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15,55</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5</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-9</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lang w:eastAsia="es-ES"/>
              </w:rPr>
            </w:pPr>
            <w:r w:rsidRPr="00886B0B">
              <w:rPr>
                <w:rFonts w:ascii="Arial Narrow" w:hAnsi="Arial Narrow"/>
                <w:color w:val="000000"/>
                <w:sz w:val="18"/>
                <w:szCs w:val="18"/>
                <w:lang w:eastAsia="es-ES"/>
              </w:rPr>
              <w:t>% Capacidad de endeudamiento</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9,19</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10,22</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9,19</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11,92</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8,93</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-3</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-25</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lang w:eastAsia="es-ES"/>
              </w:rPr>
            </w:pPr>
            <w:r w:rsidRPr="00886B0B">
              <w:rPr>
                <w:rFonts w:ascii="Arial Narrow" w:hAnsi="Arial Narrow"/>
                <w:color w:val="000000"/>
                <w:sz w:val="18"/>
                <w:szCs w:val="18"/>
                <w:lang w:eastAsia="es-ES"/>
              </w:rPr>
              <w:t>Deuda viva</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381,92</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337,96</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301,39</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278,88</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228,70</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-40</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-18</w:t>
            </w:r>
          </w:p>
        </w:tc>
      </w:tr>
      <w:tr w:rsidR="00EC4F97" w:rsidRPr="00886B0B" w:rsidTr="00422AD9">
        <w:trPr>
          <w:trHeight w:val="255"/>
          <w:jc w:val="center"/>
        </w:trPr>
        <w:tc>
          <w:tcPr>
            <w:tcW w:w="3080"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lang w:eastAsia="es-ES"/>
              </w:rPr>
            </w:pPr>
            <w:r w:rsidRPr="00886B0B">
              <w:rPr>
                <w:rFonts w:ascii="Arial Narrow" w:hAnsi="Arial Narrow"/>
                <w:color w:val="000000"/>
                <w:sz w:val="18"/>
                <w:szCs w:val="18"/>
                <w:lang w:eastAsia="es-ES"/>
              </w:rPr>
              <w:t>Remanente Tesorería gastos g</w:t>
            </w:r>
            <w:r>
              <w:rPr>
                <w:rFonts w:ascii="Arial Narrow" w:hAnsi="Arial Narrow"/>
                <w:color w:val="000000"/>
                <w:sz w:val="18"/>
                <w:szCs w:val="18"/>
                <w:lang w:eastAsia="es-ES"/>
              </w:rPr>
              <w:t>ene</w:t>
            </w:r>
            <w:r w:rsidRPr="00886B0B">
              <w:rPr>
                <w:rFonts w:ascii="Arial Narrow" w:hAnsi="Arial Narrow"/>
                <w:color w:val="000000"/>
                <w:sz w:val="18"/>
                <w:szCs w:val="18"/>
                <w:lang w:eastAsia="es-ES"/>
              </w:rPr>
              <w:t>rales</w:t>
            </w:r>
          </w:p>
        </w:tc>
        <w:tc>
          <w:tcPr>
            <w:tcW w:w="733"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142,27</w:t>
            </w:r>
          </w:p>
        </w:tc>
        <w:tc>
          <w:tcPr>
            <w:tcW w:w="732"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171,28</w:t>
            </w:r>
          </w:p>
        </w:tc>
        <w:tc>
          <w:tcPr>
            <w:tcW w:w="732"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192,42</w:t>
            </w:r>
          </w:p>
        </w:tc>
        <w:tc>
          <w:tcPr>
            <w:tcW w:w="822"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226,99</w:t>
            </w:r>
          </w:p>
        </w:tc>
        <w:tc>
          <w:tcPr>
            <w:tcW w:w="822"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238,45</w:t>
            </w:r>
          </w:p>
        </w:tc>
        <w:tc>
          <w:tcPr>
            <w:tcW w:w="889"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68</w:t>
            </w:r>
          </w:p>
        </w:tc>
        <w:tc>
          <w:tcPr>
            <w:tcW w:w="891"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lang w:eastAsia="es-ES"/>
              </w:rPr>
            </w:pPr>
            <w:r w:rsidRPr="00886B0B">
              <w:rPr>
                <w:rFonts w:ascii="Arial Narrow" w:hAnsi="Arial Narrow"/>
                <w:color w:val="000000"/>
                <w:sz w:val="18"/>
                <w:szCs w:val="18"/>
                <w:lang w:eastAsia="es-ES"/>
              </w:rPr>
              <w:t>5</w:t>
            </w:r>
          </w:p>
        </w:tc>
      </w:tr>
    </w:tbl>
    <w:p w:rsidR="00EC4F97" w:rsidRDefault="00EC4F97" w:rsidP="00EC4F97">
      <w:pPr>
        <w:pStyle w:val="texto"/>
        <w:spacing w:before="200" w:after="120"/>
      </w:pPr>
      <w:r>
        <w:t>De los datos del cuadro anterior destacamos los siguientes:</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80"/>
        <w:ind w:left="0" w:firstLine="289"/>
        <w:rPr>
          <w:rFonts w:cs="Arial"/>
        </w:rPr>
      </w:pPr>
      <w:r w:rsidRPr="00835DDC">
        <w:rPr>
          <w:rFonts w:cs="Arial"/>
        </w:rPr>
        <w:t>En comparación con 201</w:t>
      </w:r>
      <w:r>
        <w:rPr>
          <w:rFonts w:cs="Arial"/>
        </w:rPr>
        <w:t>6</w:t>
      </w:r>
      <w:r w:rsidRPr="00835DDC">
        <w:rPr>
          <w:rFonts w:cs="Arial"/>
        </w:rPr>
        <w:t xml:space="preserve">, los gastos </w:t>
      </w:r>
      <w:r>
        <w:rPr>
          <w:rFonts w:cs="Arial"/>
        </w:rPr>
        <w:t>aumentar</w:t>
      </w:r>
      <w:r w:rsidRPr="00835DDC">
        <w:rPr>
          <w:rFonts w:cs="Arial"/>
        </w:rPr>
        <w:t xml:space="preserve">on </w:t>
      </w:r>
      <w:r>
        <w:rPr>
          <w:rFonts w:cs="Arial"/>
        </w:rPr>
        <w:t>un 5</w:t>
      </w:r>
      <w:r w:rsidRPr="00835DDC">
        <w:rPr>
          <w:rFonts w:cs="Arial"/>
        </w:rPr>
        <w:t xml:space="preserve"> por ciento </w:t>
      </w:r>
      <w:r>
        <w:rPr>
          <w:rFonts w:cs="Arial"/>
        </w:rPr>
        <w:t>mientras que los</w:t>
      </w:r>
      <w:r w:rsidRPr="00835DDC">
        <w:rPr>
          <w:rFonts w:cs="Arial"/>
        </w:rPr>
        <w:t xml:space="preserve"> ingresos aumentaron un </w:t>
      </w:r>
      <w:r>
        <w:rPr>
          <w:rFonts w:cs="Arial"/>
        </w:rPr>
        <w:t>2</w:t>
      </w:r>
      <w:r w:rsidRPr="00835DDC">
        <w:rPr>
          <w:rFonts w:cs="Arial"/>
        </w:rPr>
        <w:t xml:space="preserve"> por ciento. La evolución respecto a 201</w:t>
      </w:r>
      <w:r>
        <w:rPr>
          <w:rFonts w:cs="Arial"/>
        </w:rPr>
        <w:t>3</w:t>
      </w:r>
      <w:r w:rsidRPr="00835DDC">
        <w:rPr>
          <w:rFonts w:cs="Arial"/>
        </w:rPr>
        <w:t xml:space="preserve"> pr</w:t>
      </w:r>
      <w:r w:rsidRPr="00835DDC">
        <w:rPr>
          <w:rFonts w:cs="Arial"/>
        </w:rPr>
        <w:t>e</w:t>
      </w:r>
      <w:r w:rsidRPr="00835DDC">
        <w:rPr>
          <w:rFonts w:cs="Arial"/>
        </w:rPr>
        <w:t xml:space="preserve">senta el mismo signo </w:t>
      </w:r>
      <w:r>
        <w:rPr>
          <w:rFonts w:cs="Arial"/>
        </w:rPr>
        <w:t>si bien los porcentajes de variación han sido de un 4 por ciento en</w:t>
      </w:r>
      <w:r w:rsidRPr="00835DDC">
        <w:rPr>
          <w:rFonts w:cs="Arial"/>
        </w:rPr>
        <w:t xml:space="preserve"> cuanto a los gastos y</w:t>
      </w:r>
      <w:r>
        <w:rPr>
          <w:rFonts w:cs="Arial"/>
        </w:rPr>
        <w:t xml:space="preserve"> un 5 por ciento en cuanto a los ingresos.</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80"/>
        <w:ind w:left="0" w:firstLine="289"/>
        <w:rPr>
          <w:rFonts w:cs="Arial"/>
        </w:rPr>
      </w:pPr>
      <w:r w:rsidRPr="00835DDC">
        <w:rPr>
          <w:rFonts w:cs="Arial"/>
        </w:rPr>
        <w:t xml:space="preserve">Los gastos de capital supusieron </w:t>
      </w:r>
      <w:r>
        <w:rPr>
          <w:rFonts w:cs="Arial"/>
        </w:rPr>
        <w:t>97,69</w:t>
      </w:r>
      <w:r w:rsidRPr="00835DDC">
        <w:rPr>
          <w:rFonts w:cs="Arial"/>
        </w:rPr>
        <w:t xml:space="preserve"> millones de euros, siendo el gasto que más </w:t>
      </w:r>
      <w:r>
        <w:rPr>
          <w:rFonts w:cs="Arial"/>
        </w:rPr>
        <w:t>aumenta</w:t>
      </w:r>
      <w:r w:rsidRPr="00835DDC">
        <w:rPr>
          <w:rFonts w:cs="Arial"/>
        </w:rPr>
        <w:t xml:space="preserve"> </w:t>
      </w:r>
      <w:r>
        <w:rPr>
          <w:rFonts w:cs="Arial"/>
        </w:rPr>
        <w:t>respecto al ejercicio 2016</w:t>
      </w:r>
      <w:r w:rsidRPr="00835DDC">
        <w:rPr>
          <w:rFonts w:cs="Arial"/>
        </w:rPr>
        <w:t xml:space="preserve">, un porcentaje de </w:t>
      </w:r>
      <w:r>
        <w:rPr>
          <w:rFonts w:cs="Arial"/>
        </w:rPr>
        <w:t xml:space="preserve">incremento </w:t>
      </w:r>
      <w:r w:rsidRPr="00835DDC">
        <w:rPr>
          <w:rFonts w:cs="Arial"/>
        </w:rPr>
        <w:t xml:space="preserve">que alcanza el </w:t>
      </w:r>
      <w:r>
        <w:rPr>
          <w:rFonts w:cs="Arial"/>
        </w:rPr>
        <w:t>23</w:t>
      </w:r>
      <w:r w:rsidRPr="00835DDC">
        <w:rPr>
          <w:rFonts w:cs="Arial"/>
        </w:rPr>
        <w:t xml:space="preserve"> por ciento.</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80"/>
        <w:ind w:left="0" w:firstLine="289"/>
        <w:rPr>
          <w:rFonts w:cs="Arial"/>
        </w:rPr>
      </w:pPr>
      <w:r>
        <w:rPr>
          <w:rFonts w:cs="Arial"/>
        </w:rPr>
        <w:t>En 2017</w:t>
      </w:r>
      <w:r w:rsidRPr="00835DDC">
        <w:rPr>
          <w:rFonts w:cs="Arial"/>
        </w:rPr>
        <w:t xml:space="preserve">, el sector público local generó un ahorro </w:t>
      </w:r>
      <w:r>
        <w:rPr>
          <w:rFonts w:cs="Arial"/>
        </w:rPr>
        <w:t>neto de 63,95 millones de euros, una vez atendidos los gastos de funcionamiento y la carga financiera de la deuda. Este ahorro es superior al obtenido en 2013 en un 2 por ciento, si bien, ha disminuido respecto a 2016 en un 25 por ciento. Dicho decremento es debido a la disminución del ahorro bruto así como al incremento de carga f</w:t>
      </w:r>
      <w:r>
        <w:rPr>
          <w:rFonts w:cs="Arial"/>
        </w:rPr>
        <w:t>i</w:t>
      </w:r>
      <w:r>
        <w:rPr>
          <w:rFonts w:cs="Arial"/>
        </w:rPr>
        <w:t>nanciera, esta última ha aumentado un 26 por ciento respecto a 2016.</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00"/>
        <w:ind w:left="0" w:firstLine="289"/>
        <w:rPr>
          <w:rFonts w:cs="Arial"/>
        </w:rPr>
      </w:pPr>
      <w:r w:rsidRPr="00835DDC">
        <w:rPr>
          <w:rFonts w:cs="Arial"/>
        </w:rPr>
        <w:t xml:space="preserve">La deuda viva de las entidades locales de Navarra en </w:t>
      </w:r>
      <w:r>
        <w:rPr>
          <w:rFonts w:cs="Arial"/>
        </w:rPr>
        <w:t>2017</w:t>
      </w:r>
      <w:r w:rsidRPr="00835DDC">
        <w:rPr>
          <w:rFonts w:cs="Arial"/>
        </w:rPr>
        <w:t xml:space="preserve"> ascendía a </w:t>
      </w:r>
      <w:r>
        <w:rPr>
          <w:rFonts w:cs="Arial"/>
        </w:rPr>
        <w:t>228,7</w:t>
      </w:r>
      <w:r w:rsidRPr="00835DDC">
        <w:rPr>
          <w:rFonts w:cs="Arial"/>
        </w:rPr>
        <w:t xml:space="preserve"> millones de euros, a un ti</w:t>
      </w:r>
      <w:r>
        <w:rPr>
          <w:rFonts w:cs="Arial"/>
        </w:rPr>
        <w:t>po medio de interés del 1,54</w:t>
      </w:r>
      <w:r w:rsidRPr="00835DDC">
        <w:rPr>
          <w:rFonts w:cs="Arial"/>
        </w:rPr>
        <w:t xml:space="preserve"> por ciento y con un plazo medio de vencimiento de 10,</w:t>
      </w:r>
      <w:r>
        <w:rPr>
          <w:rFonts w:cs="Arial"/>
        </w:rPr>
        <w:t>11</w:t>
      </w:r>
      <w:r w:rsidRPr="00835DDC">
        <w:rPr>
          <w:rFonts w:cs="Arial"/>
        </w:rPr>
        <w:t xml:space="preserve"> años. </w:t>
      </w:r>
      <w:r>
        <w:rPr>
          <w:rFonts w:cs="Arial"/>
        </w:rPr>
        <w:t>Si comparamos los datos con 2013 y</w:t>
      </w:r>
      <w:r w:rsidRPr="00835DDC">
        <w:rPr>
          <w:rFonts w:cs="Arial"/>
        </w:rPr>
        <w:t xml:space="preserve"> 201</w:t>
      </w:r>
      <w:r>
        <w:rPr>
          <w:rFonts w:cs="Arial"/>
        </w:rPr>
        <w:t>6</w:t>
      </w:r>
      <w:r w:rsidRPr="00835DDC">
        <w:rPr>
          <w:rFonts w:cs="Arial"/>
        </w:rPr>
        <w:t xml:space="preserve">, se observa un descenso del </w:t>
      </w:r>
      <w:r>
        <w:rPr>
          <w:rFonts w:cs="Arial"/>
        </w:rPr>
        <w:t>40 y del 18</w:t>
      </w:r>
      <w:r w:rsidRPr="00835DDC">
        <w:rPr>
          <w:rFonts w:cs="Arial"/>
        </w:rPr>
        <w:t xml:space="preserve"> por ciento</w:t>
      </w:r>
      <w:r>
        <w:rPr>
          <w:rFonts w:cs="Arial"/>
        </w:rPr>
        <w:t>, respectivamente</w:t>
      </w:r>
      <w:r w:rsidRPr="00835DDC">
        <w:rPr>
          <w:rFonts w:cs="Arial"/>
        </w:rPr>
        <w:t xml:space="preserve">. </w:t>
      </w:r>
      <w:r>
        <w:rPr>
          <w:rFonts w:cs="Arial"/>
        </w:rPr>
        <w:t>E</w:t>
      </w:r>
      <w:r>
        <w:rPr>
          <w:rFonts w:cs="Arial"/>
        </w:rPr>
        <w:t>s</w:t>
      </w:r>
      <w:r>
        <w:rPr>
          <w:rFonts w:cs="Arial"/>
        </w:rPr>
        <w:t>tas disminuciones tan significativas se deben, en parte, a las exigencias norm</w:t>
      </w:r>
      <w:r>
        <w:rPr>
          <w:rFonts w:cs="Arial"/>
        </w:rPr>
        <w:t>a</w:t>
      </w:r>
      <w:r>
        <w:rPr>
          <w:rFonts w:cs="Arial"/>
        </w:rPr>
        <w:t>tivas (</w:t>
      </w:r>
      <w:r>
        <w:t>Ley Orgánica 2/2012, de 27 de abril, de Estabilidad Presupuestaria y Sostenibilidad Financiera –</w:t>
      </w:r>
      <w:r>
        <w:rPr>
          <w:rFonts w:cs="Arial"/>
        </w:rPr>
        <w:t>LOEPySF–), que han hecho que en 2017 se amort</w:t>
      </w:r>
      <w:r>
        <w:rPr>
          <w:rFonts w:cs="Arial"/>
        </w:rPr>
        <w:t>i</w:t>
      </w:r>
      <w:r>
        <w:rPr>
          <w:rFonts w:cs="Arial"/>
        </w:rPr>
        <w:t>zara deuda por importe de 44,6 millones de euros y sin embargo, la nueva de</w:t>
      </w:r>
      <w:r>
        <w:rPr>
          <w:rFonts w:cs="Arial"/>
        </w:rPr>
        <w:t>u</w:t>
      </w:r>
      <w:r>
        <w:rPr>
          <w:rFonts w:cs="Arial"/>
        </w:rPr>
        <w:t>da concertada fue de 3,2 millones de euros.</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835DDC">
        <w:rPr>
          <w:rFonts w:cs="Arial"/>
        </w:rPr>
        <w:t>El remanente de tesorería para gastos generales, excedente de recursos g</w:t>
      </w:r>
      <w:r w:rsidRPr="00835DDC">
        <w:rPr>
          <w:rFonts w:cs="Arial"/>
        </w:rPr>
        <w:t>e</w:t>
      </w:r>
      <w:r w:rsidRPr="00835DDC">
        <w:rPr>
          <w:rFonts w:cs="Arial"/>
        </w:rPr>
        <w:t xml:space="preserve">nerados que puede ser utilizado para financiar </w:t>
      </w:r>
      <w:r>
        <w:rPr>
          <w:rFonts w:cs="Arial"/>
        </w:rPr>
        <w:t xml:space="preserve">modificaciones presupuestarias destinadas a afrontar </w:t>
      </w:r>
      <w:r w:rsidRPr="00835DDC">
        <w:rPr>
          <w:rFonts w:cs="Arial"/>
        </w:rPr>
        <w:t>gastos en ejercicios siguientes, ascendió en 201</w:t>
      </w:r>
      <w:r>
        <w:rPr>
          <w:rFonts w:cs="Arial"/>
        </w:rPr>
        <w:t>7</w:t>
      </w:r>
      <w:r w:rsidRPr="00835DDC">
        <w:rPr>
          <w:rFonts w:cs="Arial"/>
        </w:rPr>
        <w:t xml:space="preserve"> a </w:t>
      </w:r>
      <w:r>
        <w:rPr>
          <w:rFonts w:cs="Arial"/>
        </w:rPr>
        <w:t>238,45</w:t>
      </w:r>
      <w:r w:rsidRPr="00835DDC">
        <w:rPr>
          <w:rFonts w:cs="Arial"/>
        </w:rPr>
        <w:t xml:space="preserve"> millones</w:t>
      </w:r>
      <w:r>
        <w:rPr>
          <w:rFonts w:cs="Arial"/>
        </w:rPr>
        <w:t xml:space="preserve"> de euros</w:t>
      </w:r>
      <w:r w:rsidRPr="00835DDC">
        <w:rPr>
          <w:rFonts w:cs="Arial"/>
        </w:rPr>
        <w:t xml:space="preserve">, presentando también una </w:t>
      </w:r>
      <w:r>
        <w:rPr>
          <w:rFonts w:cs="Arial"/>
        </w:rPr>
        <w:t xml:space="preserve">tendencia creciente </w:t>
      </w:r>
      <w:r w:rsidRPr="00835DDC">
        <w:rPr>
          <w:rFonts w:cs="Arial"/>
        </w:rPr>
        <w:t>respecto a 201</w:t>
      </w:r>
      <w:r>
        <w:rPr>
          <w:rFonts w:cs="Arial"/>
        </w:rPr>
        <w:t>3 y 2016</w:t>
      </w:r>
      <w:r w:rsidRPr="00835DDC">
        <w:rPr>
          <w:rFonts w:cs="Arial"/>
        </w:rPr>
        <w:t xml:space="preserve"> al aumentar un </w:t>
      </w:r>
      <w:r>
        <w:rPr>
          <w:rFonts w:cs="Arial"/>
        </w:rPr>
        <w:t>68</w:t>
      </w:r>
      <w:r w:rsidRPr="00835DDC">
        <w:rPr>
          <w:rFonts w:cs="Arial"/>
        </w:rPr>
        <w:t xml:space="preserve"> y un </w:t>
      </w:r>
      <w:r>
        <w:rPr>
          <w:rFonts w:cs="Arial"/>
        </w:rPr>
        <w:t>cinco</w:t>
      </w:r>
      <w:r w:rsidRPr="00835DDC">
        <w:rPr>
          <w:rFonts w:cs="Arial"/>
        </w:rPr>
        <w:t xml:space="preserve"> por ciento respectivamente.</w:t>
      </w:r>
    </w:p>
    <w:p w:rsidR="00EC4F97" w:rsidRPr="007E3BFE" w:rsidRDefault="00EC4F97" w:rsidP="00EC4F97">
      <w:pPr>
        <w:pStyle w:val="atitulo2"/>
        <w:spacing w:before="240"/>
      </w:pPr>
      <w:bookmarkStart w:id="63" w:name="_Toc529773885"/>
      <w:bookmarkStart w:id="64" w:name="_Toc24100146"/>
      <w:bookmarkStart w:id="65" w:name="_Toc24451744"/>
      <w:r>
        <w:t>V.4</w:t>
      </w:r>
      <w:r w:rsidRPr="007E3BFE">
        <w:t xml:space="preserve">. </w:t>
      </w:r>
      <w:r>
        <w:t>Objetivos de estabilidad presupuestaria y sostenibilidad financiera</w:t>
      </w:r>
      <w:bookmarkEnd w:id="63"/>
      <w:bookmarkEnd w:id="64"/>
      <w:bookmarkEnd w:id="65"/>
    </w:p>
    <w:p w:rsidR="00EC4F97" w:rsidRDefault="00EC4F97" w:rsidP="00EC4F97">
      <w:pPr>
        <w:tabs>
          <w:tab w:val="center" w:pos="2835"/>
          <w:tab w:val="center" w:pos="3969"/>
          <w:tab w:val="center" w:pos="5103"/>
          <w:tab w:val="center" w:pos="6237"/>
          <w:tab w:val="center" w:pos="7371"/>
        </w:tabs>
        <w:spacing w:before="120" w:after="120"/>
        <w:ind w:firstLine="284"/>
        <w:rPr>
          <w:spacing w:val="6"/>
          <w:sz w:val="26"/>
          <w:szCs w:val="24"/>
        </w:rPr>
      </w:pPr>
      <w:r>
        <w:rPr>
          <w:spacing w:val="6"/>
          <w:sz w:val="26"/>
          <w:szCs w:val="24"/>
        </w:rPr>
        <w:t>De acuerdo con la LOEPySF, el sector “Administración Pública Local” debe cumplir las siguientes reglas fiscales:</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835DDC">
        <w:rPr>
          <w:rFonts w:cs="Arial"/>
        </w:rPr>
        <w:t xml:space="preserve"> Estabilidad presupuestaria, o equilibrio/capacidad de financiación en el ejercicio, medido en términos de contabilidad nacional.</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835DDC">
        <w:rPr>
          <w:rFonts w:cs="Arial"/>
        </w:rPr>
        <w:t>Regla de gasto, es decir, la variación del gasto computable del sector en 201</w:t>
      </w:r>
      <w:r>
        <w:rPr>
          <w:rFonts w:cs="Arial"/>
        </w:rPr>
        <w:t xml:space="preserve">7 </w:t>
      </w:r>
      <w:r w:rsidRPr="00835DDC">
        <w:rPr>
          <w:rFonts w:cs="Arial"/>
        </w:rPr>
        <w:t>sobre el gasto de 201</w:t>
      </w:r>
      <w:r>
        <w:rPr>
          <w:rFonts w:cs="Arial"/>
        </w:rPr>
        <w:t>6</w:t>
      </w:r>
      <w:r w:rsidRPr="00835DDC">
        <w:rPr>
          <w:rFonts w:cs="Arial"/>
        </w:rPr>
        <w:t xml:space="preserve"> no puede superar la tasa de referencia del crec</w:t>
      </w:r>
      <w:r w:rsidRPr="00835DDC">
        <w:rPr>
          <w:rFonts w:cs="Arial"/>
        </w:rPr>
        <w:t>i</w:t>
      </w:r>
      <w:r w:rsidRPr="00835DDC">
        <w:rPr>
          <w:rFonts w:cs="Arial"/>
        </w:rPr>
        <w:t xml:space="preserve">miento del PIB, que para el citado ejercicio se fijó en el </w:t>
      </w:r>
      <w:r>
        <w:rPr>
          <w:rFonts w:cs="Arial"/>
        </w:rPr>
        <w:t>2,1</w:t>
      </w:r>
      <w:r w:rsidRPr="00835DDC">
        <w:rPr>
          <w:rFonts w:cs="Arial"/>
        </w:rPr>
        <w:t xml:space="preserve"> por ciento.</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835DDC">
        <w:rPr>
          <w:rFonts w:cs="Arial"/>
        </w:rPr>
        <w:t>Sostenibilidad de la deuda pública o que la deuda del sector, en términos de contabilidad nacional, no supere el 110 por ciento de sus ingresos corrientes.</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835DDC">
        <w:rPr>
          <w:rFonts w:cs="Arial"/>
        </w:rPr>
        <w:t>Sostenibilidad de la deuda comercial, o el periodo medio de pago a pr</w:t>
      </w:r>
      <w:r w:rsidRPr="00835DDC">
        <w:rPr>
          <w:rFonts w:cs="Arial"/>
        </w:rPr>
        <w:t>o</w:t>
      </w:r>
      <w:r w:rsidRPr="00835DDC">
        <w:rPr>
          <w:rFonts w:cs="Arial"/>
        </w:rPr>
        <w:t>veedores no puede superar, en términos generales, el plazo de 30 días.</w:t>
      </w:r>
    </w:p>
    <w:p w:rsidR="00EC4F97" w:rsidRDefault="00EC4F97" w:rsidP="00EC4F97">
      <w:pPr>
        <w:tabs>
          <w:tab w:val="center" w:pos="2835"/>
          <w:tab w:val="center" w:pos="3969"/>
          <w:tab w:val="center" w:pos="5103"/>
          <w:tab w:val="center" w:pos="6237"/>
          <w:tab w:val="center" w:pos="7371"/>
        </w:tabs>
        <w:spacing w:before="120" w:after="120"/>
        <w:ind w:firstLine="284"/>
        <w:rPr>
          <w:spacing w:val="6"/>
          <w:sz w:val="26"/>
          <w:szCs w:val="24"/>
        </w:rPr>
      </w:pPr>
      <w:r>
        <w:rPr>
          <w:spacing w:val="6"/>
          <w:sz w:val="26"/>
          <w:szCs w:val="24"/>
        </w:rPr>
        <w:t>En este ámbito, la información aportada por la Dirección General de Adm</w:t>
      </w:r>
      <w:r>
        <w:rPr>
          <w:spacing w:val="6"/>
          <w:sz w:val="26"/>
          <w:szCs w:val="24"/>
        </w:rPr>
        <w:t>i</w:t>
      </w:r>
      <w:r>
        <w:rPr>
          <w:spacing w:val="6"/>
          <w:sz w:val="26"/>
          <w:szCs w:val="24"/>
        </w:rPr>
        <w:t>nistración Local y Despoblación se limita a las entidades locales y sus org</w:t>
      </w:r>
      <w:r>
        <w:rPr>
          <w:spacing w:val="6"/>
          <w:sz w:val="26"/>
          <w:szCs w:val="24"/>
        </w:rPr>
        <w:t>a</w:t>
      </w:r>
      <w:r>
        <w:rPr>
          <w:spacing w:val="6"/>
          <w:sz w:val="26"/>
          <w:szCs w:val="24"/>
        </w:rPr>
        <w:t>nismos autónomos, sin configurar propiamente, en términos de contabilidad n</w:t>
      </w:r>
      <w:r>
        <w:rPr>
          <w:spacing w:val="6"/>
          <w:sz w:val="26"/>
          <w:szCs w:val="24"/>
        </w:rPr>
        <w:t>a</w:t>
      </w:r>
      <w:r>
        <w:rPr>
          <w:spacing w:val="6"/>
          <w:sz w:val="26"/>
          <w:szCs w:val="24"/>
        </w:rPr>
        <w:t>cional, el sector “Administración Pública Local de Navarra”. De acuerdo con estos datos, señalamos lo siguiente:</w:t>
      </w:r>
    </w:p>
    <w:p w:rsidR="00EC4F97" w:rsidRDefault="00EC4F97" w:rsidP="00EC4F97">
      <w:pPr>
        <w:pStyle w:val="Prrafodelista"/>
        <w:numPr>
          <w:ilvl w:val="0"/>
          <w:numId w:val="17"/>
        </w:numPr>
        <w:tabs>
          <w:tab w:val="left" w:pos="567"/>
        </w:tabs>
        <w:spacing w:before="120" w:after="60"/>
        <w:ind w:left="284" w:firstLine="0"/>
        <w:contextualSpacing w:val="0"/>
        <w:rPr>
          <w:spacing w:val="6"/>
          <w:sz w:val="26"/>
          <w:szCs w:val="24"/>
        </w:rPr>
      </w:pPr>
      <w:r w:rsidRPr="006F6A3B">
        <w:rPr>
          <w:spacing w:val="6"/>
          <w:sz w:val="26"/>
          <w:szCs w:val="24"/>
        </w:rPr>
        <w:t>La capacidad de financiación del sector público local en 2017 asciende a 59,06 millones, lo que supone un 21 por ciento menos que el ejercicio ant</w:t>
      </w:r>
      <w:r w:rsidRPr="006F6A3B">
        <w:rPr>
          <w:spacing w:val="6"/>
          <w:sz w:val="26"/>
          <w:szCs w:val="24"/>
        </w:rPr>
        <w:t>e</w:t>
      </w:r>
      <w:r w:rsidRPr="006F6A3B">
        <w:rPr>
          <w:spacing w:val="6"/>
          <w:sz w:val="26"/>
          <w:szCs w:val="24"/>
        </w:rPr>
        <w:t>rior; se ha cumplido por lo tanto con esta regla fiscal tal y como se despre</w:t>
      </w:r>
      <w:r w:rsidRPr="006F6A3B">
        <w:rPr>
          <w:spacing w:val="6"/>
          <w:sz w:val="26"/>
          <w:szCs w:val="24"/>
        </w:rPr>
        <w:t>n</w:t>
      </w:r>
      <w:r w:rsidRPr="006F6A3B">
        <w:rPr>
          <w:spacing w:val="6"/>
          <w:sz w:val="26"/>
          <w:szCs w:val="24"/>
        </w:rPr>
        <w:t>de del siguiente cuadro:</w:t>
      </w:r>
    </w:p>
    <w:p w:rsidR="00EC4F97" w:rsidRPr="00E0155F" w:rsidRDefault="00EC4F97" w:rsidP="00EC4F97">
      <w:pPr>
        <w:pStyle w:val="Prrafodelista"/>
        <w:tabs>
          <w:tab w:val="left" w:pos="567"/>
        </w:tabs>
        <w:spacing w:before="120" w:after="60"/>
        <w:ind w:left="284" w:firstLine="0"/>
        <w:contextualSpacing w:val="0"/>
        <w:jc w:val="right"/>
        <w:rPr>
          <w:spacing w:val="6"/>
          <w:sz w:val="26"/>
          <w:szCs w:val="24"/>
        </w:rPr>
      </w:pPr>
      <w:r w:rsidRPr="00E0155F">
        <w:t xml:space="preserve"> (en millones de euros)</w:t>
      </w:r>
    </w:p>
    <w:tbl>
      <w:tblPr>
        <w:tblW w:w="0" w:type="auto"/>
        <w:tblInd w:w="122" w:type="dxa"/>
        <w:tblBorders>
          <w:top w:val="single" w:sz="4" w:space="0" w:color="auto"/>
          <w:bottom w:val="single" w:sz="4" w:space="0" w:color="auto"/>
        </w:tblBorders>
        <w:tblLook w:val="00A0" w:firstRow="1" w:lastRow="0" w:firstColumn="1" w:lastColumn="0" w:noHBand="0" w:noVBand="0"/>
      </w:tblPr>
      <w:tblGrid>
        <w:gridCol w:w="4541"/>
        <w:gridCol w:w="4234"/>
      </w:tblGrid>
      <w:tr w:rsidR="00EC4F97" w:rsidRPr="0041105A" w:rsidTr="00422AD9">
        <w:trPr>
          <w:trHeight w:val="255"/>
        </w:trPr>
        <w:tc>
          <w:tcPr>
            <w:tcW w:w="4541" w:type="dxa"/>
            <w:tcBorders>
              <w:top w:val="single" w:sz="4" w:space="0" w:color="auto"/>
              <w:bottom w:val="single" w:sz="4" w:space="0" w:color="auto"/>
            </w:tcBorders>
            <w:shd w:val="clear" w:color="auto" w:fill="FBD4B4" w:themeFill="accent6" w:themeFillTint="66"/>
            <w:vAlign w:val="center"/>
          </w:tcPr>
          <w:p w:rsidR="00EC4F97" w:rsidRPr="00303D20" w:rsidRDefault="00EC4F97" w:rsidP="00422AD9">
            <w:pPr>
              <w:pStyle w:val="Prrafodelista"/>
              <w:spacing w:after="0"/>
              <w:ind w:left="0" w:firstLine="0"/>
              <w:contextualSpacing w:val="0"/>
              <w:rPr>
                <w:rFonts w:ascii="Arial" w:hAnsi="Arial" w:cs="Arial"/>
                <w:spacing w:val="6"/>
                <w:sz w:val="18"/>
                <w:szCs w:val="18"/>
              </w:rPr>
            </w:pPr>
            <w:r w:rsidRPr="00303D20">
              <w:rPr>
                <w:rFonts w:ascii="Arial" w:hAnsi="Arial" w:cs="Arial"/>
                <w:spacing w:val="6"/>
                <w:sz w:val="18"/>
                <w:szCs w:val="18"/>
              </w:rPr>
              <w:t>Capacidad/necesidad de financiación</w:t>
            </w:r>
          </w:p>
        </w:tc>
        <w:tc>
          <w:tcPr>
            <w:tcW w:w="4234" w:type="dxa"/>
            <w:tcBorders>
              <w:top w:val="single" w:sz="4" w:space="0" w:color="auto"/>
              <w:bottom w:val="single" w:sz="4" w:space="0" w:color="auto"/>
            </w:tcBorders>
            <w:shd w:val="clear" w:color="auto" w:fill="FBD4B4" w:themeFill="accent6" w:themeFillTint="66"/>
            <w:vAlign w:val="center"/>
          </w:tcPr>
          <w:p w:rsidR="00EC4F97" w:rsidRPr="00303D20" w:rsidRDefault="00EC4F97" w:rsidP="00422AD9">
            <w:pPr>
              <w:pStyle w:val="Prrafodelista"/>
              <w:spacing w:after="0"/>
              <w:ind w:left="0" w:firstLine="0"/>
              <w:contextualSpacing w:val="0"/>
              <w:jc w:val="right"/>
              <w:rPr>
                <w:rFonts w:ascii="Arial" w:hAnsi="Arial" w:cs="Arial"/>
                <w:spacing w:val="6"/>
                <w:sz w:val="18"/>
                <w:szCs w:val="18"/>
              </w:rPr>
            </w:pPr>
            <w:r w:rsidRPr="00303D20">
              <w:rPr>
                <w:rFonts w:ascii="Arial" w:hAnsi="Arial" w:cs="Arial"/>
                <w:spacing w:val="6"/>
                <w:sz w:val="18"/>
                <w:szCs w:val="18"/>
              </w:rPr>
              <w:t>Importe</w:t>
            </w:r>
          </w:p>
        </w:tc>
      </w:tr>
      <w:tr w:rsidR="00EC4F97" w:rsidRPr="0041105A" w:rsidTr="00422AD9">
        <w:trPr>
          <w:trHeight w:val="198"/>
        </w:trPr>
        <w:tc>
          <w:tcPr>
            <w:tcW w:w="4541" w:type="dxa"/>
            <w:tcBorders>
              <w:top w:val="single" w:sz="4" w:space="0" w:color="auto"/>
              <w:bottom w:val="single" w:sz="2" w:space="0" w:color="auto"/>
            </w:tcBorders>
          </w:tcPr>
          <w:p w:rsidR="00EC4F97" w:rsidRPr="00303D20" w:rsidRDefault="00EC4F97" w:rsidP="00422AD9">
            <w:pPr>
              <w:pStyle w:val="Prrafodelista"/>
              <w:spacing w:after="0" w:line="240" w:lineRule="atLeast"/>
              <w:ind w:left="0" w:firstLine="0"/>
              <w:contextualSpacing w:val="0"/>
              <w:rPr>
                <w:rFonts w:ascii="Arial Narrow" w:hAnsi="Arial Narrow"/>
                <w:spacing w:val="6"/>
              </w:rPr>
            </w:pPr>
            <w:r w:rsidRPr="00303D20">
              <w:rPr>
                <w:rFonts w:ascii="Arial Narrow" w:hAnsi="Arial Narrow"/>
                <w:spacing w:val="6"/>
              </w:rPr>
              <w:t>Saldo presupuestario no financiero</w:t>
            </w:r>
          </w:p>
        </w:tc>
        <w:tc>
          <w:tcPr>
            <w:tcW w:w="4234" w:type="dxa"/>
            <w:tcBorders>
              <w:top w:val="single" w:sz="4" w:space="0" w:color="auto"/>
              <w:bottom w:val="single" w:sz="2" w:space="0" w:color="auto"/>
            </w:tcBorders>
          </w:tcPr>
          <w:p w:rsidR="00EC4F97" w:rsidRPr="00303D20" w:rsidRDefault="00EC4F97" w:rsidP="00422AD9">
            <w:pPr>
              <w:pStyle w:val="Prrafodelista"/>
              <w:spacing w:after="0" w:line="240" w:lineRule="atLeast"/>
              <w:ind w:left="0" w:firstLine="0"/>
              <w:contextualSpacing w:val="0"/>
              <w:jc w:val="right"/>
              <w:rPr>
                <w:rFonts w:ascii="Arial Narrow" w:hAnsi="Arial Narrow"/>
                <w:spacing w:val="6"/>
              </w:rPr>
            </w:pPr>
            <w:r>
              <w:rPr>
                <w:rFonts w:ascii="Arial Narrow" w:hAnsi="Arial Narrow"/>
                <w:spacing w:val="6"/>
              </w:rPr>
              <w:t>62,35</w:t>
            </w:r>
          </w:p>
        </w:tc>
      </w:tr>
      <w:tr w:rsidR="00EC4F97" w:rsidRPr="0041105A" w:rsidTr="00422AD9">
        <w:trPr>
          <w:trHeight w:val="198"/>
        </w:trPr>
        <w:tc>
          <w:tcPr>
            <w:tcW w:w="4541" w:type="dxa"/>
            <w:tcBorders>
              <w:top w:val="single" w:sz="2" w:space="0" w:color="auto"/>
              <w:bottom w:val="single" w:sz="4" w:space="0" w:color="auto"/>
            </w:tcBorders>
          </w:tcPr>
          <w:p w:rsidR="00EC4F97" w:rsidRPr="00303D20" w:rsidRDefault="00EC4F97" w:rsidP="00422AD9">
            <w:pPr>
              <w:pStyle w:val="Prrafodelista"/>
              <w:spacing w:after="0" w:line="240" w:lineRule="atLeast"/>
              <w:ind w:left="0" w:firstLine="0"/>
              <w:contextualSpacing w:val="0"/>
              <w:rPr>
                <w:rFonts w:ascii="Arial Narrow" w:hAnsi="Arial Narrow"/>
                <w:spacing w:val="6"/>
              </w:rPr>
            </w:pPr>
            <w:r w:rsidRPr="00303D20">
              <w:rPr>
                <w:rFonts w:ascii="Arial Narrow" w:hAnsi="Arial Narrow"/>
                <w:spacing w:val="6"/>
              </w:rPr>
              <w:t>Ajustes:</w:t>
            </w:r>
          </w:p>
          <w:p w:rsidR="00EC4F97" w:rsidRPr="00303D20" w:rsidRDefault="00EC4F97" w:rsidP="00422AD9">
            <w:pPr>
              <w:pStyle w:val="Prrafodelista"/>
              <w:spacing w:after="0" w:line="240" w:lineRule="atLeast"/>
              <w:ind w:left="0" w:firstLine="200"/>
              <w:contextualSpacing w:val="0"/>
              <w:jc w:val="left"/>
              <w:rPr>
                <w:rFonts w:ascii="Arial Narrow" w:hAnsi="Arial Narrow"/>
                <w:spacing w:val="6"/>
              </w:rPr>
            </w:pPr>
            <w:r w:rsidRPr="00303D20">
              <w:rPr>
                <w:rFonts w:ascii="Arial Narrow" w:hAnsi="Arial Narrow"/>
                <w:spacing w:val="6"/>
              </w:rPr>
              <w:t>Ingresos de recaudación incierta</w:t>
            </w:r>
          </w:p>
          <w:p w:rsidR="00EC4F97" w:rsidRPr="00303D20" w:rsidRDefault="00EC4F97" w:rsidP="00CF2D7C">
            <w:pPr>
              <w:pStyle w:val="Prrafodelista"/>
              <w:spacing w:after="0" w:line="240" w:lineRule="atLeast"/>
              <w:ind w:left="0" w:firstLine="200"/>
              <w:contextualSpacing w:val="0"/>
              <w:jc w:val="left"/>
              <w:rPr>
                <w:rFonts w:ascii="Arial Narrow" w:hAnsi="Arial Narrow"/>
                <w:spacing w:val="6"/>
              </w:rPr>
            </w:pPr>
            <w:r w:rsidRPr="00303D20">
              <w:rPr>
                <w:rFonts w:ascii="Arial Narrow" w:hAnsi="Arial Narrow"/>
                <w:spacing w:val="6"/>
              </w:rPr>
              <w:t xml:space="preserve">Transferencias </w:t>
            </w:r>
            <w:r w:rsidR="00CF2D7C">
              <w:rPr>
                <w:rFonts w:ascii="Arial Narrow" w:hAnsi="Arial Narrow"/>
                <w:spacing w:val="6"/>
              </w:rPr>
              <w:t>recibidas de otras AAPP</w:t>
            </w:r>
          </w:p>
        </w:tc>
        <w:tc>
          <w:tcPr>
            <w:tcW w:w="4234" w:type="dxa"/>
            <w:tcBorders>
              <w:top w:val="single" w:sz="2" w:space="0" w:color="auto"/>
              <w:bottom w:val="single" w:sz="4" w:space="0" w:color="auto"/>
            </w:tcBorders>
          </w:tcPr>
          <w:p w:rsidR="00EC4F97" w:rsidRPr="00303D20" w:rsidRDefault="00EC4F97" w:rsidP="00422AD9">
            <w:pPr>
              <w:pStyle w:val="Prrafodelista"/>
              <w:spacing w:after="0" w:line="240" w:lineRule="atLeast"/>
              <w:ind w:left="0" w:firstLine="0"/>
              <w:contextualSpacing w:val="0"/>
              <w:jc w:val="right"/>
              <w:rPr>
                <w:rFonts w:ascii="Arial Narrow" w:hAnsi="Arial Narrow"/>
                <w:spacing w:val="6"/>
              </w:rPr>
            </w:pPr>
          </w:p>
          <w:p w:rsidR="00EC4F97" w:rsidRPr="00303D20" w:rsidRDefault="00EC4F97" w:rsidP="00422AD9">
            <w:pPr>
              <w:pStyle w:val="Prrafodelista"/>
              <w:spacing w:after="0" w:line="240" w:lineRule="atLeast"/>
              <w:ind w:left="0" w:firstLine="0"/>
              <w:contextualSpacing w:val="0"/>
              <w:jc w:val="right"/>
              <w:rPr>
                <w:rFonts w:ascii="Arial Narrow" w:hAnsi="Arial Narrow"/>
                <w:spacing w:val="6"/>
              </w:rPr>
            </w:pPr>
            <w:r>
              <w:rPr>
                <w:rFonts w:ascii="Arial Narrow" w:hAnsi="Arial Narrow"/>
                <w:spacing w:val="6"/>
              </w:rPr>
              <w:t>(6,44</w:t>
            </w:r>
            <w:r w:rsidRPr="00303D20">
              <w:rPr>
                <w:rFonts w:ascii="Arial Narrow" w:hAnsi="Arial Narrow"/>
                <w:spacing w:val="6"/>
              </w:rPr>
              <w:t>)</w:t>
            </w:r>
          </w:p>
          <w:p w:rsidR="00EC4F97" w:rsidRPr="00303D20" w:rsidRDefault="00EC4F97" w:rsidP="00422AD9">
            <w:pPr>
              <w:pStyle w:val="Prrafodelista"/>
              <w:spacing w:after="0" w:line="240" w:lineRule="atLeast"/>
              <w:ind w:left="0" w:firstLine="0"/>
              <w:contextualSpacing w:val="0"/>
              <w:jc w:val="right"/>
              <w:rPr>
                <w:rFonts w:ascii="Arial Narrow" w:hAnsi="Arial Narrow"/>
                <w:spacing w:val="6"/>
              </w:rPr>
            </w:pPr>
            <w:r w:rsidRPr="00303D20">
              <w:rPr>
                <w:rFonts w:ascii="Arial Narrow" w:hAnsi="Arial Narrow"/>
                <w:spacing w:val="6"/>
              </w:rPr>
              <w:t>3</w:t>
            </w:r>
            <w:r>
              <w:rPr>
                <w:rFonts w:ascii="Arial Narrow" w:hAnsi="Arial Narrow"/>
                <w:spacing w:val="6"/>
              </w:rPr>
              <w:t>,15</w:t>
            </w:r>
          </w:p>
        </w:tc>
      </w:tr>
      <w:tr w:rsidR="00EC4F97" w:rsidRPr="00154C1F" w:rsidTr="00422AD9">
        <w:trPr>
          <w:trHeight w:val="255"/>
        </w:trPr>
        <w:tc>
          <w:tcPr>
            <w:tcW w:w="4541" w:type="dxa"/>
            <w:tcBorders>
              <w:top w:val="single" w:sz="4" w:space="0" w:color="auto"/>
              <w:bottom w:val="single" w:sz="4" w:space="0" w:color="auto"/>
            </w:tcBorders>
            <w:shd w:val="clear" w:color="auto" w:fill="FBD4B4" w:themeFill="accent6" w:themeFillTint="66"/>
            <w:vAlign w:val="center"/>
          </w:tcPr>
          <w:p w:rsidR="00EC4F97" w:rsidRPr="00303D20" w:rsidRDefault="00EC4F97" w:rsidP="00A74207">
            <w:pPr>
              <w:pStyle w:val="Prrafodelista"/>
              <w:spacing w:after="0"/>
              <w:ind w:left="0" w:firstLine="0"/>
              <w:contextualSpacing w:val="0"/>
              <w:rPr>
                <w:rFonts w:ascii="Arial" w:hAnsi="Arial" w:cs="Arial"/>
                <w:spacing w:val="6"/>
                <w:sz w:val="18"/>
                <w:szCs w:val="18"/>
              </w:rPr>
            </w:pPr>
            <w:r w:rsidRPr="00303D20">
              <w:rPr>
                <w:rFonts w:ascii="Arial" w:hAnsi="Arial" w:cs="Arial"/>
                <w:spacing w:val="6"/>
                <w:sz w:val="18"/>
                <w:szCs w:val="18"/>
              </w:rPr>
              <w:t>Capacidad de financiación 201</w:t>
            </w:r>
            <w:r w:rsidR="00A74207">
              <w:rPr>
                <w:rFonts w:ascii="Arial" w:hAnsi="Arial" w:cs="Arial"/>
                <w:spacing w:val="6"/>
                <w:sz w:val="18"/>
                <w:szCs w:val="18"/>
              </w:rPr>
              <w:t>7</w:t>
            </w:r>
          </w:p>
        </w:tc>
        <w:tc>
          <w:tcPr>
            <w:tcW w:w="4234" w:type="dxa"/>
            <w:tcBorders>
              <w:top w:val="single" w:sz="4" w:space="0" w:color="auto"/>
              <w:bottom w:val="single" w:sz="4" w:space="0" w:color="auto"/>
            </w:tcBorders>
            <w:shd w:val="clear" w:color="auto" w:fill="FBD4B4" w:themeFill="accent6" w:themeFillTint="66"/>
            <w:vAlign w:val="center"/>
          </w:tcPr>
          <w:p w:rsidR="00EC4F97" w:rsidRPr="00303D20" w:rsidRDefault="00EC4F97" w:rsidP="00422AD9">
            <w:pPr>
              <w:pStyle w:val="Prrafodelista"/>
              <w:spacing w:after="0"/>
              <w:ind w:left="0" w:firstLine="0"/>
              <w:contextualSpacing w:val="0"/>
              <w:jc w:val="right"/>
              <w:rPr>
                <w:rFonts w:ascii="Arial" w:hAnsi="Arial" w:cs="Arial"/>
                <w:spacing w:val="6"/>
                <w:sz w:val="18"/>
                <w:szCs w:val="18"/>
              </w:rPr>
            </w:pPr>
            <w:r>
              <w:rPr>
                <w:rFonts w:ascii="Arial" w:hAnsi="Arial" w:cs="Arial"/>
                <w:spacing w:val="6"/>
                <w:sz w:val="18"/>
                <w:szCs w:val="18"/>
              </w:rPr>
              <w:t>59,</w:t>
            </w:r>
            <w:r w:rsidRPr="00303D20">
              <w:rPr>
                <w:rFonts w:ascii="Arial" w:hAnsi="Arial" w:cs="Arial"/>
                <w:spacing w:val="6"/>
                <w:sz w:val="18"/>
                <w:szCs w:val="18"/>
              </w:rPr>
              <w:t>0</w:t>
            </w:r>
            <w:r>
              <w:rPr>
                <w:rFonts w:ascii="Arial" w:hAnsi="Arial" w:cs="Arial"/>
                <w:spacing w:val="6"/>
                <w:sz w:val="18"/>
                <w:szCs w:val="18"/>
              </w:rPr>
              <w:t>6</w:t>
            </w:r>
          </w:p>
        </w:tc>
      </w:tr>
    </w:tbl>
    <w:p w:rsidR="00EC4F97" w:rsidRDefault="00EC4F97" w:rsidP="00EC4F97">
      <w:pPr>
        <w:pStyle w:val="Prrafodelista"/>
        <w:numPr>
          <w:ilvl w:val="0"/>
          <w:numId w:val="17"/>
        </w:numPr>
        <w:tabs>
          <w:tab w:val="left" w:pos="567"/>
        </w:tabs>
        <w:spacing w:before="240" w:after="120"/>
        <w:ind w:left="28" w:firstLine="256"/>
        <w:contextualSpacing w:val="0"/>
        <w:rPr>
          <w:spacing w:val="6"/>
          <w:sz w:val="26"/>
          <w:szCs w:val="24"/>
        </w:rPr>
      </w:pPr>
      <w:r>
        <w:rPr>
          <w:spacing w:val="6"/>
          <w:sz w:val="26"/>
          <w:szCs w:val="24"/>
        </w:rPr>
        <w:t>La deuda viva del sector a 31 de diciembre de 2017 ascendía a 228,7 m</w:t>
      </w:r>
      <w:r>
        <w:rPr>
          <w:spacing w:val="6"/>
          <w:sz w:val="26"/>
          <w:szCs w:val="24"/>
        </w:rPr>
        <w:t>i</w:t>
      </w:r>
      <w:r>
        <w:rPr>
          <w:spacing w:val="6"/>
          <w:sz w:val="26"/>
          <w:szCs w:val="24"/>
        </w:rPr>
        <w:t>llones de euros lo que representa el 32 por ciento de los ingresos corrientes. E</w:t>
      </w:r>
      <w:r>
        <w:rPr>
          <w:spacing w:val="6"/>
          <w:sz w:val="26"/>
          <w:szCs w:val="24"/>
        </w:rPr>
        <w:t>s</w:t>
      </w:r>
      <w:r>
        <w:rPr>
          <w:spacing w:val="6"/>
          <w:sz w:val="26"/>
          <w:szCs w:val="24"/>
        </w:rPr>
        <w:t>te porcentaje es inferior al límite del 110 por ciento establecido en la legisl</w:t>
      </w:r>
      <w:r>
        <w:rPr>
          <w:spacing w:val="6"/>
          <w:sz w:val="26"/>
          <w:szCs w:val="24"/>
        </w:rPr>
        <w:t>a</w:t>
      </w:r>
      <w:r>
        <w:rPr>
          <w:spacing w:val="6"/>
          <w:sz w:val="26"/>
          <w:szCs w:val="24"/>
        </w:rPr>
        <w:t>ción vigente, cumpliéndose, en consecuencia, con esta regla.</w:t>
      </w:r>
    </w:p>
    <w:p w:rsidR="00EC4F97" w:rsidRDefault="00EC4F97" w:rsidP="00EC4F97">
      <w:pPr>
        <w:pStyle w:val="Prrafodelista"/>
        <w:numPr>
          <w:ilvl w:val="0"/>
          <w:numId w:val="17"/>
        </w:numPr>
        <w:tabs>
          <w:tab w:val="left" w:pos="567"/>
        </w:tabs>
        <w:spacing w:before="120" w:after="240"/>
        <w:ind w:left="28" w:firstLine="256"/>
        <w:contextualSpacing w:val="0"/>
        <w:rPr>
          <w:spacing w:val="6"/>
          <w:sz w:val="26"/>
          <w:szCs w:val="24"/>
        </w:rPr>
      </w:pPr>
      <w:r w:rsidRPr="009650FE">
        <w:rPr>
          <w:spacing w:val="6"/>
          <w:sz w:val="26"/>
          <w:szCs w:val="24"/>
        </w:rPr>
        <w:t>No se aporta información sobre la regla de gasto y sobre los plazos de p</w:t>
      </w:r>
      <w:r w:rsidRPr="009650FE">
        <w:rPr>
          <w:spacing w:val="6"/>
          <w:sz w:val="26"/>
          <w:szCs w:val="24"/>
        </w:rPr>
        <w:t>a</w:t>
      </w:r>
      <w:r w:rsidRPr="009650FE">
        <w:rPr>
          <w:spacing w:val="6"/>
          <w:sz w:val="26"/>
          <w:szCs w:val="24"/>
        </w:rPr>
        <w:t>go de la deuda comercial. Sobre esta última regla, se ha verificado, de acuerdo con la publicación del Ministerio de Hacienda, que solo consta tal información de un total de 55 entidades locales de Navarra; de acuerdo con ella, el periodo medio de pago, como promedio del ejercicio, se sitúa en 25,16 días, es decir, es un plazo inferior al límite de 30 días establecido.</w:t>
      </w:r>
    </w:p>
    <w:p w:rsidR="00EC4F97" w:rsidRDefault="00EC4F97" w:rsidP="00EC4F97">
      <w:pPr>
        <w:pStyle w:val="atitulo1"/>
      </w:pPr>
      <w:r w:rsidRPr="007E3BFE">
        <w:rPr>
          <w:i/>
          <w:iCs/>
          <w:highlight w:val="yellow"/>
        </w:rPr>
        <w:br w:type="page"/>
      </w:r>
    </w:p>
    <w:p w:rsidR="00EC4F97" w:rsidRDefault="00EC4F97" w:rsidP="00EC4F97">
      <w:pPr>
        <w:pStyle w:val="atitulo1"/>
      </w:pPr>
      <w:bookmarkStart w:id="66" w:name="_Toc24100147"/>
      <w:bookmarkStart w:id="67" w:name="_Toc24451745"/>
      <w:r w:rsidRPr="007E3BFE">
        <w:t>V</w:t>
      </w:r>
      <w:r>
        <w:t>I</w:t>
      </w:r>
      <w:r w:rsidRPr="007E3BFE">
        <w:t xml:space="preserve">. </w:t>
      </w:r>
      <w:r>
        <w:t>Contratación administrativa</w:t>
      </w:r>
      <w:bookmarkEnd w:id="66"/>
      <w:bookmarkEnd w:id="67"/>
    </w:p>
    <w:p w:rsidR="00EC4F97" w:rsidRPr="007E3BFE" w:rsidRDefault="00EC4F97" w:rsidP="00EC4F97">
      <w:pPr>
        <w:pStyle w:val="texto"/>
        <w:spacing w:after="240"/>
      </w:pPr>
      <w:r w:rsidRPr="007E3BFE">
        <w:t>En este epígrafe se analizan los con</w:t>
      </w:r>
      <w:r>
        <w:t>tratos adjudicados en el año 2017</w:t>
      </w:r>
      <w:r w:rsidRPr="007E3BFE">
        <w:t xml:space="preserve"> por las entidades locales y sus entes dependientes, según la información del registro de contratos gestionado por la Junta de Contratación Pública. </w:t>
      </w:r>
    </w:p>
    <w:p w:rsidR="00EC4F97" w:rsidRDefault="00EC4F97" w:rsidP="00EC4F97">
      <w:pPr>
        <w:pStyle w:val="texto"/>
        <w:spacing w:after="240"/>
      </w:pPr>
      <w:r w:rsidRPr="007E3BFE">
        <w:t>Los datos básicos de los contratos adjudicados por las entidades locales fu</w:t>
      </w:r>
      <w:r w:rsidRPr="007E3BFE">
        <w:t>e</w:t>
      </w:r>
      <w:r w:rsidRPr="007E3BFE">
        <w:t>ron los siguientes:</w:t>
      </w:r>
    </w:p>
    <w:p w:rsidR="00EC4F97" w:rsidRPr="00E0155F" w:rsidRDefault="00EC4F97" w:rsidP="00EC4F97">
      <w:pPr>
        <w:pStyle w:val="texto"/>
        <w:spacing w:after="40"/>
        <w:ind w:right="-425"/>
        <w:jc w:val="right"/>
        <w:rPr>
          <w:sz w:val="20"/>
        </w:rPr>
      </w:pPr>
      <w:r w:rsidRPr="00E0155F">
        <w:rPr>
          <w:sz w:val="20"/>
        </w:rPr>
        <w:t>(en miles de euros)</w:t>
      </w:r>
    </w:p>
    <w:tbl>
      <w:tblPr>
        <w:tblW w:w="5319" w:type="pct"/>
        <w:tblInd w:w="-214" w:type="dxa"/>
        <w:tblLayout w:type="fixed"/>
        <w:tblCellMar>
          <w:left w:w="70" w:type="dxa"/>
          <w:right w:w="70" w:type="dxa"/>
        </w:tblCellMar>
        <w:tblLook w:val="00A0" w:firstRow="1" w:lastRow="0" w:firstColumn="1" w:lastColumn="0" w:noHBand="0" w:noVBand="0"/>
      </w:tblPr>
      <w:tblGrid>
        <w:gridCol w:w="1701"/>
        <w:gridCol w:w="610"/>
        <w:gridCol w:w="807"/>
        <w:gridCol w:w="161"/>
        <w:gridCol w:w="559"/>
        <w:gridCol w:w="711"/>
        <w:gridCol w:w="163"/>
        <w:gridCol w:w="553"/>
        <w:gridCol w:w="711"/>
        <w:gridCol w:w="163"/>
        <w:gridCol w:w="540"/>
        <w:gridCol w:w="995"/>
        <w:gridCol w:w="199"/>
        <w:gridCol w:w="733"/>
        <w:gridCol w:w="893"/>
      </w:tblGrid>
      <w:tr w:rsidR="00EC4F97" w:rsidRPr="00D24F2B" w:rsidTr="0093035F">
        <w:trPr>
          <w:trHeight w:val="300"/>
        </w:trPr>
        <w:tc>
          <w:tcPr>
            <w:tcW w:w="895" w:type="pct"/>
            <w:vMerge w:val="restart"/>
            <w:tcBorders>
              <w:top w:val="single" w:sz="4" w:space="0" w:color="auto"/>
              <w:left w:val="nil"/>
              <w:bottom w:val="single" w:sz="4" w:space="0" w:color="auto"/>
            </w:tcBorders>
            <w:shd w:val="clear" w:color="auto" w:fill="FBD4B4" w:themeFill="accent6" w:themeFillTint="66"/>
            <w:noWrap/>
            <w:vAlign w:val="center"/>
          </w:tcPr>
          <w:p w:rsidR="00EC4F97" w:rsidRPr="00032B45" w:rsidRDefault="00EC4F97" w:rsidP="00422AD9">
            <w:pPr>
              <w:spacing w:after="0"/>
              <w:ind w:firstLine="0"/>
              <w:jc w:val="left"/>
              <w:rPr>
                <w:rFonts w:ascii="Arial" w:hAnsi="Arial" w:cs="Arial"/>
                <w:bCs/>
                <w:color w:val="000000"/>
                <w:sz w:val="18"/>
                <w:szCs w:val="18"/>
                <w:lang w:val="es-ES" w:eastAsia="es-ES"/>
              </w:rPr>
            </w:pPr>
            <w:r w:rsidRPr="00032B45">
              <w:rPr>
                <w:rFonts w:ascii="Arial" w:hAnsi="Arial" w:cs="Arial"/>
                <w:bCs/>
                <w:color w:val="000000"/>
                <w:sz w:val="18"/>
                <w:szCs w:val="18"/>
                <w:lang w:val="es-ES" w:eastAsia="es-ES"/>
              </w:rPr>
              <w:t>Tipo de contrato</w:t>
            </w:r>
          </w:p>
        </w:tc>
        <w:tc>
          <w:tcPr>
            <w:tcW w:w="746" w:type="pct"/>
            <w:gridSpan w:val="2"/>
            <w:tcBorders>
              <w:top w:val="single" w:sz="4" w:space="0" w:color="auto"/>
              <w:bottom w:val="single" w:sz="4" w:space="0" w:color="auto"/>
            </w:tcBorders>
            <w:shd w:val="clear" w:color="auto" w:fill="FBD4B4" w:themeFill="accent6" w:themeFillTint="66"/>
            <w:noWrap/>
            <w:vAlign w:val="center"/>
          </w:tcPr>
          <w:p w:rsidR="00EC4F97" w:rsidRPr="00032B45" w:rsidRDefault="00EC4F97" w:rsidP="00422AD9">
            <w:pPr>
              <w:keepLines/>
              <w:tabs>
                <w:tab w:val="right" w:pos="2835"/>
                <w:tab w:val="right" w:pos="3969"/>
                <w:tab w:val="right" w:pos="5103"/>
                <w:tab w:val="right" w:pos="6237"/>
                <w:tab w:val="right" w:pos="7371"/>
              </w:tabs>
              <w:spacing w:after="0"/>
              <w:ind w:left="-102" w:right="-80" w:firstLine="35"/>
              <w:jc w:val="center"/>
              <w:rPr>
                <w:rFonts w:ascii="Arial" w:hAnsi="Arial" w:cs="Arial"/>
                <w:spacing w:val="6"/>
                <w:sz w:val="14"/>
                <w:szCs w:val="14"/>
              </w:rPr>
            </w:pPr>
            <w:r>
              <w:rPr>
                <w:rFonts w:ascii="Arial" w:hAnsi="Arial" w:cs="Arial"/>
                <w:spacing w:val="6"/>
                <w:sz w:val="14"/>
                <w:szCs w:val="14"/>
              </w:rPr>
              <w:t>Municipios</w:t>
            </w:r>
          </w:p>
        </w:tc>
        <w:tc>
          <w:tcPr>
            <w:tcW w:w="85" w:type="pct"/>
            <w:tcBorders>
              <w:top w:val="single" w:sz="4" w:space="0" w:color="auto"/>
            </w:tcBorders>
            <w:shd w:val="clear" w:color="auto" w:fill="FBD4B4" w:themeFill="accent6" w:themeFillTint="66"/>
          </w:tcPr>
          <w:p w:rsidR="00EC4F97" w:rsidRDefault="00EC4F97" w:rsidP="00422AD9">
            <w:pPr>
              <w:keepLines/>
              <w:tabs>
                <w:tab w:val="right" w:pos="2835"/>
                <w:tab w:val="right" w:pos="3521"/>
                <w:tab w:val="right" w:pos="5103"/>
                <w:tab w:val="right" w:pos="6237"/>
                <w:tab w:val="right" w:pos="7371"/>
              </w:tabs>
              <w:spacing w:after="0"/>
              <w:ind w:left="-102" w:right="-80" w:firstLine="0"/>
              <w:jc w:val="center"/>
              <w:rPr>
                <w:rFonts w:ascii="Arial" w:hAnsi="Arial" w:cs="Arial"/>
                <w:spacing w:val="6"/>
                <w:sz w:val="14"/>
                <w:szCs w:val="14"/>
              </w:rPr>
            </w:pPr>
          </w:p>
        </w:tc>
        <w:tc>
          <w:tcPr>
            <w:tcW w:w="668" w:type="pct"/>
            <w:gridSpan w:val="2"/>
            <w:tcBorders>
              <w:top w:val="single" w:sz="4" w:space="0" w:color="auto"/>
              <w:bottom w:val="single" w:sz="4" w:space="0" w:color="auto"/>
            </w:tcBorders>
            <w:shd w:val="clear" w:color="auto" w:fill="FBD4B4" w:themeFill="accent6" w:themeFillTint="66"/>
            <w:noWrap/>
            <w:vAlign w:val="center"/>
          </w:tcPr>
          <w:p w:rsidR="00EC4F97" w:rsidRPr="00032B45" w:rsidRDefault="00EC4F97" w:rsidP="00422AD9">
            <w:pPr>
              <w:keepLines/>
              <w:tabs>
                <w:tab w:val="right" w:pos="2835"/>
                <w:tab w:val="right" w:pos="3521"/>
                <w:tab w:val="right" w:pos="5103"/>
                <w:tab w:val="right" w:pos="6237"/>
                <w:tab w:val="right" w:pos="7371"/>
              </w:tabs>
              <w:spacing w:after="0"/>
              <w:ind w:left="-102" w:right="-80" w:firstLine="0"/>
              <w:jc w:val="center"/>
              <w:rPr>
                <w:rFonts w:ascii="Arial" w:hAnsi="Arial" w:cs="Arial"/>
                <w:spacing w:val="6"/>
                <w:sz w:val="14"/>
                <w:szCs w:val="14"/>
              </w:rPr>
            </w:pPr>
            <w:r>
              <w:rPr>
                <w:rFonts w:ascii="Arial" w:hAnsi="Arial" w:cs="Arial"/>
                <w:spacing w:val="6"/>
                <w:sz w:val="14"/>
                <w:szCs w:val="14"/>
              </w:rPr>
              <w:t>Concejos</w:t>
            </w:r>
          </w:p>
        </w:tc>
        <w:tc>
          <w:tcPr>
            <w:tcW w:w="86" w:type="pct"/>
            <w:tcBorders>
              <w:top w:val="single" w:sz="4" w:space="0" w:color="auto"/>
            </w:tcBorders>
            <w:shd w:val="clear" w:color="auto" w:fill="FBD4B4" w:themeFill="accent6" w:themeFillTint="66"/>
          </w:tcPr>
          <w:p w:rsidR="00EC4F97" w:rsidRDefault="00EC4F97" w:rsidP="00422AD9">
            <w:pPr>
              <w:keepLines/>
              <w:tabs>
                <w:tab w:val="right" w:pos="2835"/>
                <w:tab w:val="right" w:pos="3521"/>
                <w:tab w:val="right" w:pos="5103"/>
                <w:tab w:val="right" w:pos="6237"/>
                <w:tab w:val="right" w:pos="7371"/>
              </w:tabs>
              <w:spacing w:after="0"/>
              <w:ind w:left="-102" w:right="-80" w:firstLine="0"/>
              <w:jc w:val="center"/>
              <w:rPr>
                <w:rFonts w:ascii="Arial" w:hAnsi="Arial" w:cs="Arial"/>
                <w:spacing w:val="6"/>
                <w:sz w:val="14"/>
                <w:szCs w:val="14"/>
              </w:rPr>
            </w:pPr>
          </w:p>
        </w:tc>
        <w:tc>
          <w:tcPr>
            <w:tcW w:w="665" w:type="pct"/>
            <w:gridSpan w:val="2"/>
            <w:tcBorders>
              <w:top w:val="single" w:sz="4" w:space="0" w:color="auto"/>
              <w:bottom w:val="single" w:sz="4" w:space="0" w:color="auto"/>
            </w:tcBorders>
            <w:shd w:val="clear" w:color="auto" w:fill="FBD4B4" w:themeFill="accent6" w:themeFillTint="66"/>
            <w:noWrap/>
            <w:vAlign w:val="center"/>
          </w:tcPr>
          <w:p w:rsidR="00EC4F97" w:rsidRPr="00032B45" w:rsidRDefault="00EC4F97" w:rsidP="00422AD9">
            <w:pPr>
              <w:keepLines/>
              <w:tabs>
                <w:tab w:val="right" w:pos="2835"/>
                <w:tab w:val="right" w:pos="3969"/>
                <w:tab w:val="right" w:pos="5103"/>
                <w:tab w:val="right" w:pos="6237"/>
                <w:tab w:val="right" w:pos="7371"/>
              </w:tabs>
              <w:spacing w:after="0"/>
              <w:ind w:left="-102" w:right="-80" w:firstLine="0"/>
              <w:jc w:val="center"/>
              <w:rPr>
                <w:rFonts w:ascii="Arial" w:hAnsi="Arial" w:cs="Arial"/>
                <w:spacing w:val="6"/>
                <w:sz w:val="14"/>
                <w:szCs w:val="14"/>
              </w:rPr>
            </w:pPr>
            <w:r>
              <w:rPr>
                <w:rFonts w:ascii="Arial" w:hAnsi="Arial" w:cs="Arial"/>
                <w:spacing w:val="6"/>
                <w:sz w:val="14"/>
                <w:szCs w:val="14"/>
              </w:rPr>
              <w:t>Agrupaciones</w:t>
            </w:r>
          </w:p>
        </w:tc>
        <w:tc>
          <w:tcPr>
            <w:tcW w:w="86" w:type="pct"/>
            <w:tcBorders>
              <w:top w:val="single" w:sz="4" w:space="0" w:color="auto"/>
            </w:tcBorders>
            <w:shd w:val="clear" w:color="auto" w:fill="FBD4B4" w:themeFill="accent6" w:themeFillTint="66"/>
          </w:tcPr>
          <w:p w:rsidR="00EC4F97" w:rsidRDefault="00EC4F97" w:rsidP="00422AD9">
            <w:pPr>
              <w:keepLines/>
              <w:tabs>
                <w:tab w:val="right" w:pos="2835"/>
                <w:tab w:val="right" w:pos="3969"/>
                <w:tab w:val="right" w:pos="5103"/>
                <w:tab w:val="right" w:pos="6237"/>
                <w:tab w:val="right" w:pos="7371"/>
              </w:tabs>
              <w:spacing w:after="0"/>
              <w:ind w:left="-102" w:right="-80" w:firstLine="0"/>
              <w:jc w:val="center"/>
              <w:rPr>
                <w:rFonts w:ascii="Arial" w:hAnsi="Arial" w:cs="Arial"/>
                <w:spacing w:val="6"/>
                <w:sz w:val="14"/>
                <w:szCs w:val="14"/>
              </w:rPr>
            </w:pPr>
          </w:p>
        </w:tc>
        <w:tc>
          <w:tcPr>
            <w:tcW w:w="808" w:type="pct"/>
            <w:gridSpan w:val="2"/>
            <w:tcBorders>
              <w:top w:val="single" w:sz="4" w:space="0" w:color="auto"/>
              <w:bottom w:val="single" w:sz="4" w:space="0" w:color="auto"/>
            </w:tcBorders>
            <w:shd w:val="clear" w:color="auto" w:fill="FBD4B4" w:themeFill="accent6" w:themeFillTint="66"/>
            <w:noWrap/>
            <w:vAlign w:val="center"/>
          </w:tcPr>
          <w:p w:rsidR="00EC4F97" w:rsidRPr="00032B45" w:rsidRDefault="00EC4F97" w:rsidP="00422AD9">
            <w:pPr>
              <w:keepLines/>
              <w:tabs>
                <w:tab w:val="right" w:pos="2835"/>
                <w:tab w:val="right" w:pos="3969"/>
                <w:tab w:val="right" w:pos="5103"/>
                <w:tab w:val="right" w:pos="6237"/>
                <w:tab w:val="right" w:pos="7371"/>
              </w:tabs>
              <w:spacing w:after="0"/>
              <w:ind w:left="-102" w:right="-80" w:firstLine="0"/>
              <w:jc w:val="center"/>
              <w:rPr>
                <w:rFonts w:ascii="Arial" w:hAnsi="Arial" w:cs="Arial"/>
                <w:spacing w:val="6"/>
                <w:sz w:val="14"/>
                <w:szCs w:val="14"/>
              </w:rPr>
            </w:pPr>
            <w:r>
              <w:rPr>
                <w:rFonts w:ascii="Arial" w:hAnsi="Arial" w:cs="Arial"/>
                <w:spacing w:val="6"/>
                <w:sz w:val="14"/>
                <w:szCs w:val="14"/>
              </w:rPr>
              <w:t>Mancomunidades</w:t>
            </w:r>
          </w:p>
        </w:tc>
        <w:tc>
          <w:tcPr>
            <w:tcW w:w="105" w:type="pct"/>
            <w:tcBorders>
              <w:top w:val="single" w:sz="4" w:space="0" w:color="auto"/>
            </w:tcBorders>
            <w:shd w:val="clear" w:color="auto" w:fill="FBD4B4" w:themeFill="accent6" w:themeFillTint="66"/>
          </w:tcPr>
          <w:p w:rsidR="00EC4F97" w:rsidRPr="00032B45" w:rsidRDefault="00EC4F97" w:rsidP="00422AD9">
            <w:pPr>
              <w:keepLines/>
              <w:tabs>
                <w:tab w:val="right" w:pos="2835"/>
                <w:tab w:val="right" w:pos="3969"/>
                <w:tab w:val="right" w:pos="5103"/>
                <w:tab w:val="right" w:pos="6237"/>
                <w:tab w:val="right" w:pos="7371"/>
              </w:tabs>
              <w:spacing w:after="0"/>
              <w:ind w:left="-102" w:right="-80" w:firstLine="0"/>
              <w:jc w:val="center"/>
              <w:rPr>
                <w:rFonts w:ascii="Arial" w:hAnsi="Arial" w:cs="Arial"/>
                <w:spacing w:val="6"/>
                <w:sz w:val="14"/>
                <w:szCs w:val="14"/>
              </w:rPr>
            </w:pPr>
          </w:p>
        </w:tc>
        <w:tc>
          <w:tcPr>
            <w:tcW w:w="856" w:type="pct"/>
            <w:gridSpan w:val="2"/>
            <w:tcBorders>
              <w:top w:val="single" w:sz="4" w:space="0" w:color="auto"/>
              <w:bottom w:val="single" w:sz="4" w:space="0" w:color="auto"/>
            </w:tcBorders>
            <w:shd w:val="clear" w:color="auto" w:fill="FBD4B4" w:themeFill="accent6" w:themeFillTint="66"/>
            <w:noWrap/>
            <w:vAlign w:val="center"/>
          </w:tcPr>
          <w:p w:rsidR="00EC4F97" w:rsidRPr="00032B45" w:rsidRDefault="00EC4F97" w:rsidP="00422AD9">
            <w:pPr>
              <w:keepLines/>
              <w:tabs>
                <w:tab w:val="right" w:pos="2835"/>
                <w:tab w:val="right" w:pos="3969"/>
                <w:tab w:val="right" w:pos="5103"/>
                <w:tab w:val="right" w:pos="6237"/>
                <w:tab w:val="right" w:pos="7371"/>
              </w:tabs>
              <w:spacing w:after="0"/>
              <w:ind w:left="-102" w:right="-80" w:firstLine="0"/>
              <w:jc w:val="center"/>
              <w:rPr>
                <w:rFonts w:ascii="Arial" w:hAnsi="Arial" w:cs="Arial"/>
                <w:spacing w:val="6"/>
                <w:sz w:val="14"/>
                <w:szCs w:val="14"/>
              </w:rPr>
            </w:pPr>
            <w:r w:rsidRPr="00032B45">
              <w:rPr>
                <w:rFonts w:ascii="Arial" w:hAnsi="Arial" w:cs="Arial"/>
                <w:spacing w:val="6"/>
                <w:sz w:val="14"/>
                <w:szCs w:val="14"/>
              </w:rPr>
              <w:t>TOTAL</w:t>
            </w:r>
          </w:p>
        </w:tc>
      </w:tr>
      <w:tr w:rsidR="005A1124" w:rsidRPr="008E3538" w:rsidTr="0093035F">
        <w:trPr>
          <w:trHeight w:val="284"/>
        </w:trPr>
        <w:tc>
          <w:tcPr>
            <w:tcW w:w="895" w:type="pct"/>
            <w:vMerge/>
            <w:tcBorders>
              <w:top w:val="single" w:sz="4" w:space="0" w:color="auto"/>
              <w:left w:val="nil"/>
              <w:bottom w:val="single" w:sz="4" w:space="0" w:color="auto"/>
            </w:tcBorders>
            <w:shd w:val="clear" w:color="auto" w:fill="FABF8F"/>
            <w:vAlign w:val="center"/>
          </w:tcPr>
          <w:p w:rsidR="00EC4F97" w:rsidRPr="00032B45" w:rsidRDefault="00EC4F97" w:rsidP="00422AD9">
            <w:pPr>
              <w:spacing w:after="0"/>
              <w:ind w:firstLine="0"/>
              <w:jc w:val="left"/>
              <w:rPr>
                <w:rFonts w:ascii="Arial" w:hAnsi="Arial" w:cs="Arial"/>
                <w:bCs/>
                <w:color w:val="000000"/>
                <w:sz w:val="14"/>
                <w:szCs w:val="14"/>
                <w:lang w:val="es-ES" w:eastAsia="es-ES"/>
              </w:rPr>
            </w:pPr>
          </w:p>
        </w:tc>
        <w:tc>
          <w:tcPr>
            <w:tcW w:w="321" w:type="pct"/>
            <w:tcBorders>
              <w:top w:val="single" w:sz="4" w:space="0" w:color="auto"/>
              <w:bottom w:val="single" w:sz="4" w:space="0" w:color="auto"/>
            </w:tcBorders>
            <w:shd w:val="clear" w:color="auto" w:fill="FBD4B4" w:themeFill="accent6" w:themeFillTint="66"/>
            <w:noWrap/>
            <w:vAlign w:val="center"/>
          </w:tcPr>
          <w:p w:rsidR="00EC4F97" w:rsidRPr="00764877" w:rsidRDefault="00EC4F97" w:rsidP="00422AD9">
            <w:pPr>
              <w:spacing w:after="0"/>
              <w:ind w:firstLine="35"/>
              <w:jc w:val="center"/>
              <w:rPr>
                <w:rFonts w:ascii="Arial" w:hAnsi="Arial" w:cs="Arial"/>
                <w:bCs/>
                <w:color w:val="000000"/>
                <w:sz w:val="16"/>
                <w:szCs w:val="16"/>
                <w:lang w:val="es-ES" w:eastAsia="es-ES"/>
              </w:rPr>
            </w:pPr>
            <w:r w:rsidRPr="00764877">
              <w:rPr>
                <w:rFonts w:ascii="Arial" w:hAnsi="Arial" w:cs="Arial"/>
                <w:bCs/>
                <w:color w:val="000000"/>
                <w:sz w:val="16"/>
                <w:szCs w:val="16"/>
                <w:lang w:val="es-ES" w:eastAsia="es-ES"/>
              </w:rPr>
              <w:t>Nº</w:t>
            </w:r>
          </w:p>
        </w:tc>
        <w:tc>
          <w:tcPr>
            <w:tcW w:w="425" w:type="pct"/>
            <w:tcBorders>
              <w:bottom w:val="single" w:sz="4" w:space="0" w:color="auto"/>
            </w:tcBorders>
            <w:shd w:val="clear" w:color="auto" w:fill="FBD4B4" w:themeFill="accent6" w:themeFillTint="66"/>
            <w:vAlign w:val="center"/>
          </w:tcPr>
          <w:p w:rsidR="00EC4F97" w:rsidRPr="00764877" w:rsidRDefault="00EC4F97" w:rsidP="00422AD9">
            <w:pPr>
              <w:spacing w:after="0"/>
              <w:ind w:firstLine="35"/>
              <w:jc w:val="right"/>
              <w:rPr>
                <w:rFonts w:ascii="Arial" w:hAnsi="Arial" w:cs="Arial"/>
                <w:bCs/>
                <w:color w:val="000000"/>
                <w:sz w:val="16"/>
                <w:szCs w:val="16"/>
                <w:lang w:val="es-ES" w:eastAsia="es-ES"/>
              </w:rPr>
            </w:pPr>
            <w:r w:rsidRPr="00764877">
              <w:rPr>
                <w:rFonts w:ascii="Arial" w:hAnsi="Arial" w:cs="Arial"/>
                <w:bCs/>
                <w:color w:val="000000"/>
                <w:sz w:val="16"/>
                <w:szCs w:val="16"/>
                <w:lang w:val="es-ES" w:eastAsia="es-ES"/>
              </w:rPr>
              <w:t xml:space="preserve">Importe </w:t>
            </w:r>
          </w:p>
        </w:tc>
        <w:tc>
          <w:tcPr>
            <w:tcW w:w="85" w:type="pct"/>
            <w:tcBorders>
              <w:bottom w:val="single" w:sz="4" w:space="0" w:color="auto"/>
            </w:tcBorders>
            <w:shd w:val="clear" w:color="auto" w:fill="FBD4B4" w:themeFill="accent6" w:themeFillTint="66"/>
          </w:tcPr>
          <w:p w:rsidR="00EC4F97" w:rsidRPr="00764877" w:rsidRDefault="00EC4F97" w:rsidP="00422AD9">
            <w:pPr>
              <w:spacing w:after="0"/>
              <w:ind w:firstLine="0"/>
              <w:jc w:val="center"/>
              <w:rPr>
                <w:rFonts w:ascii="Arial" w:hAnsi="Arial" w:cs="Arial"/>
                <w:bCs/>
                <w:color w:val="000000"/>
                <w:sz w:val="16"/>
                <w:szCs w:val="16"/>
                <w:lang w:val="es-ES" w:eastAsia="es-ES"/>
              </w:rPr>
            </w:pPr>
          </w:p>
        </w:tc>
        <w:tc>
          <w:tcPr>
            <w:tcW w:w="294" w:type="pct"/>
            <w:tcBorders>
              <w:bottom w:val="single" w:sz="4" w:space="0" w:color="auto"/>
            </w:tcBorders>
            <w:shd w:val="clear" w:color="auto" w:fill="FBD4B4" w:themeFill="accent6" w:themeFillTint="66"/>
            <w:noWrap/>
            <w:vAlign w:val="center"/>
          </w:tcPr>
          <w:p w:rsidR="00EC4F97" w:rsidRPr="00764877" w:rsidRDefault="00EC4F97" w:rsidP="00422AD9">
            <w:pPr>
              <w:spacing w:after="0"/>
              <w:ind w:firstLine="0"/>
              <w:jc w:val="center"/>
              <w:rPr>
                <w:rFonts w:ascii="Arial" w:hAnsi="Arial" w:cs="Arial"/>
                <w:bCs/>
                <w:color w:val="000000"/>
                <w:sz w:val="16"/>
                <w:szCs w:val="16"/>
                <w:lang w:val="es-ES" w:eastAsia="es-ES"/>
              </w:rPr>
            </w:pPr>
            <w:r w:rsidRPr="00764877">
              <w:rPr>
                <w:rFonts w:ascii="Arial" w:hAnsi="Arial" w:cs="Arial"/>
                <w:bCs/>
                <w:color w:val="000000"/>
                <w:sz w:val="16"/>
                <w:szCs w:val="16"/>
                <w:lang w:val="es-ES" w:eastAsia="es-ES"/>
              </w:rPr>
              <w:t>Nº</w:t>
            </w:r>
          </w:p>
        </w:tc>
        <w:tc>
          <w:tcPr>
            <w:tcW w:w="374" w:type="pct"/>
            <w:tcBorders>
              <w:bottom w:val="single" w:sz="4" w:space="0" w:color="auto"/>
            </w:tcBorders>
            <w:shd w:val="clear" w:color="auto" w:fill="FBD4B4" w:themeFill="accent6" w:themeFillTint="66"/>
            <w:vAlign w:val="center"/>
          </w:tcPr>
          <w:p w:rsidR="00EC4F97" w:rsidRPr="00764877" w:rsidRDefault="00EC4F97" w:rsidP="00422AD9">
            <w:pPr>
              <w:spacing w:after="0"/>
              <w:ind w:firstLine="0"/>
              <w:jc w:val="right"/>
              <w:rPr>
                <w:rFonts w:ascii="Arial" w:hAnsi="Arial" w:cs="Arial"/>
                <w:bCs/>
                <w:color w:val="000000"/>
                <w:sz w:val="16"/>
                <w:szCs w:val="16"/>
                <w:lang w:val="es-ES" w:eastAsia="es-ES"/>
              </w:rPr>
            </w:pPr>
            <w:r w:rsidRPr="00764877">
              <w:rPr>
                <w:rFonts w:ascii="Arial" w:hAnsi="Arial" w:cs="Arial"/>
                <w:bCs/>
                <w:color w:val="000000"/>
                <w:sz w:val="16"/>
                <w:szCs w:val="16"/>
                <w:lang w:val="es-ES" w:eastAsia="es-ES"/>
              </w:rPr>
              <w:t xml:space="preserve">Importe </w:t>
            </w:r>
          </w:p>
        </w:tc>
        <w:tc>
          <w:tcPr>
            <w:tcW w:w="86" w:type="pct"/>
            <w:tcBorders>
              <w:bottom w:val="single" w:sz="4" w:space="0" w:color="auto"/>
            </w:tcBorders>
            <w:shd w:val="clear" w:color="auto" w:fill="FBD4B4" w:themeFill="accent6" w:themeFillTint="66"/>
          </w:tcPr>
          <w:p w:rsidR="00EC4F97" w:rsidRPr="008621CB" w:rsidRDefault="00EC4F97" w:rsidP="00422AD9">
            <w:pPr>
              <w:keepLines/>
              <w:tabs>
                <w:tab w:val="right" w:pos="2835"/>
                <w:tab w:val="right" w:pos="3521"/>
                <w:tab w:val="right" w:pos="5103"/>
                <w:tab w:val="right" w:pos="6237"/>
                <w:tab w:val="right" w:pos="7371"/>
              </w:tabs>
              <w:spacing w:after="0"/>
              <w:ind w:left="-102" w:right="-80" w:firstLine="0"/>
              <w:jc w:val="center"/>
              <w:rPr>
                <w:rFonts w:ascii="Arial" w:hAnsi="Arial" w:cs="Arial"/>
                <w:spacing w:val="6"/>
                <w:sz w:val="14"/>
                <w:szCs w:val="14"/>
              </w:rPr>
            </w:pPr>
          </w:p>
        </w:tc>
        <w:tc>
          <w:tcPr>
            <w:tcW w:w="291" w:type="pct"/>
            <w:tcBorders>
              <w:top w:val="single" w:sz="4" w:space="0" w:color="auto"/>
              <w:bottom w:val="single" w:sz="4" w:space="0" w:color="auto"/>
            </w:tcBorders>
            <w:shd w:val="clear" w:color="auto" w:fill="FBD4B4" w:themeFill="accent6" w:themeFillTint="66"/>
            <w:noWrap/>
            <w:vAlign w:val="center"/>
          </w:tcPr>
          <w:p w:rsidR="00EC4F97" w:rsidRPr="00764877" w:rsidRDefault="00EC4F97" w:rsidP="00422AD9">
            <w:pPr>
              <w:spacing w:after="0"/>
              <w:ind w:firstLine="0"/>
              <w:jc w:val="center"/>
              <w:rPr>
                <w:rFonts w:ascii="Arial" w:hAnsi="Arial" w:cs="Arial"/>
                <w:bCs/>
                <w:color w:val="000000"/>
                <w:sz w:val="16"/>
                <w:szCs w:val="16"/>
                <w:lang w:val="es-ES" w:eastAsia="es-ES"/>
              </w:rPr>
            </w:pPr>
            <w:r w:rsidRPr="00764877">
              <w:rPr>
                <w:rFonts w:ascii="Arial" w:hAnsi="Arial" w:cs="Arial"/>
                <w:bCs/>
                <w:color w:val="000000"/>
                <w:sz w:val="16"/>
                <w:szCs w:val="16"/>
                <w:lang w:val="es-ES" w:eastAsia="es-ES"/>
              </w:rPr>
              <w:t>Nº</w:t>
            </w:r>
          </w:p>
        </w:tc>
        <w:tc>
          <w:tcPr>
            <w:tcW w:w="374" w:type="pct"/>
            <w:tcBorders>
              <w:top w:val="single" w:sz="4" w:space="0" w:color="auto"/>
              <w:bottom w:val="single" w:sz="4" w:space="0" w:color="auto"/>
            </w:tcBorders>
            <w:shd w:val="clear" w:color="auto" w:fill="FBD4B4" w:themeFill="accent6" w:themeFillTint="66"/>
            <w:vAlign w:val="center"/>
          </w:tcPr>
          <w:p w:rsidR="00EC4F97" w:rsidRPr="00764877" w:rsidRDefault="00EC4F97" w:rsidP="00422AD9">
            <w:pPr>
              <w:spacing w:after="0"/>
              <w:ind w:firstLine="0"/>
              <w:jc w:val="right"/>
              <w:rPr>
                <w:rFonts w:ascii="Arial" w:hAnsi="Arial" w:cs="Arial"/>
                <w:bCs/>
                <w:color w:val="000000"/>
                <w:sz w:val="16"/>
                <w:szCs w:val="16"/>
                <w:lang w:val="es-ES" w:eastAsia="es-ES"/>
              </w:rPr>
            </w:pPr>
            <w:r w:rsidRPr="00764877">
              <w:rPr>
                <w:rFonts w:ascii="Arial" w:hAnsi="Arial" w:cs="Arial"/>
                <w:bCs/>
                <w:color w:val="000000"/>
                <w:sz w:val="16"/>
                <w:szCs w:val="16"/>
                <w:lang w:val="es-ES" w:eastAsia="es-ES"/>
              </w:rPr>
              <w:t xml:space="preserve">Importe </w:t>
            </w:r>
          </w:p>
        </w:tc>
        <w:tc>
          <w:tcPr>
            <w:tcW w:w="86" w:type="pct"/>
            <w:tcBorders>
              <w:bottom w:val="single" w:sz="4" w:space="0" w:color="auto"/>
            </w:tcBorders>
            <w:shd w:val="clear" w:color="auto" w:fill="FBD4B4" w:themeFill="accent6" w:themeFillTint="66"/>
          </w:tcPr>
          <w:p w:rsidR="00EC4F97" w:rsidRPr="00764877" w:rsidRDefault="00EC4F97" w:rsidP="00422AD9">
            <w:pPr>
              <w:spacing w:after="0"/>
              <w:ind w:firstLine="0"/>
              <w:jc w:val="center"/>
              <w:rPr>
                <w:rFonts w:ascii="Arial" w:hAnsi="Arial" w:cs="Arial"/>
                <w:bCs/>
                <w:color w:val="000000"/>
                <w:sz w:val="16"/>
                <w:szCs w:val="16"/>
                <w:lang w:val="es-ES" w:eastAsia="es-ES"/>
              </w:rPr>
            </w:pPr>
          </w:p>
        </w:tc>
        <w:tc>
          <w:tcPr>
            <w:tcW w:w="284" w:type="pct"/>
            <w:tcBorders>
              <w:top w:val="single" w:sz="4" w:space="0" w:color="auto"/>
              <w:bottom w:val="single" w:sz="4" w:space="0" w:color="auto"/>
            </w:tcBorders>
            <w:shd w:val="clear" w:color="auto" w:fill="FBD4B4" w:themeFill="accent6" w:themeFillTint="66"/>
            <w:vAlign w:val="center"/>
          </w:tcPr>
          <w:p w:rsidR="00EC4F97" w:rsidRPr="00764877" w:rsidRDefault="00EC4F97" w:rsidP="00422AD9">
            <w:pPr>
              <w:spacing w:after="0"/>
              <w:ind w:firstLine="0"/>
              <w:jc w:val="center"/>
              <w:rPr>
                <w:rFonts w:ascii="Arial" w:hAnsi="Arial" w:cs="Arial"/>
                <w:bCs/>
                <w:color w:val="000000"/>
                <w:sz w:val="16"/>
                <w:szCs w:val="16"/>
                <w:lang w:val="es-ES" w:eastAsia="es-ES"/>
              </w:rPr>
            </w:pPr>
            <w:r w:rsidRPr="00764877">
              <w:rPr>
                <w:rFonts w:ascii="Arial" w:hAnsi="Arial" w:cs="Arial"/>
                <w:bCs/>
                <w:color w:val="000000"/>
                <w:sz w:val="16"/>
                <w:szCs w:val="16"/>
                <w:lang w:val="es-ES" w:eastAsia="es-ES"/>
              </w:rPr>
              <w:t>Nº</w:t>
            </w:r>
          </w:p>
        </w:tc>
        <w:tc>
          <w:tcPr>
            <w:tcW w:w="524" w:type="pct"/>
            <w:tcBorders>
              <w:top w:val="single" w:sz="4" w:space="0" w:color="auto"/>
              <w:bottom w:val="single" w:sz="4" w:space="0" w:color="auto"/>
            </w:tcBorders>
            <w:shd w:val="clear" w:color="auto" w:fill="FBD4B4" w:themeFill="accent6" w:themeFillTint="66"/>
            <w:vAlign w:val="center"/>
          </w:tcPr>
          <w:p w:rsidR="00EC4F97" w:rsidRPr="00764877" w:rsidRDefault="00EC4F97" w:rsidP="00422AD9">
            <w:pPr>
              <w:spacing w:after="0"/>
              <w:ind w:firstLine="0"/>
              <w:jc w:val="right"/>
              <w:rPr>
                <w:rFonts w:ascii="Arial" w:hAnsi="Arial" w:cs="Arial"/>
                <w:bCs/>
                <w:color w:val="000000"/>
                <w:sz w:val="16"/>
                <w:szCs w:val="16"/>
                <w:lang w:val="es-ES" w:eastAsia="es-ES"/>
              </w:rPr>
            </w:pPr>
            <w:r w:rsidRPr="00764877">
              <w:rPr>
                <w:rFonts w:ascii="Arial" w:hAnsi="Arial" w:cs="Arial"/>
                <w:bCs/>
                <w:color w:val="000000"/>
                <w:sz w:val="16"/>
                <w:szCs w:val="16"/>
                <w:lang w:val="es-ES" w:eastAsia="es-ES"/>
              </w:rPr>
              <w:t xml:space="preserve">Importe </w:t>
            </w:r>
          </w:p>
        </w:tc>
        <w:tc>
          <w:tcPr>
            <w:tcW w:w="105" w:type="pct"/>
            <w:tcBorders>
              <w:bottom w:val="single" w:sz="4" w:space="0" w:color="auto"/>
            </w:tcBorders>
            <w:shd w:val="clear" w:color="auto" w:fill="FBD4B4" w:themeFill="accent6" w:themeFillTint="66"/>
          </w:tcPr>
          <w:p w:rsidR="00EC4F97" w:rsidRPr="00764877" w:rsidRDefault="00EC4F97" w:rsidP="00422AD9">
            <w:pPr>
              <w:spacing w:after="0"/>
              <w:ind w:firstLine="0"/>
              <w:jc w:val="center"/>
              <w:rPr>
                <w:rFonts w:ascii="Arial" w:hAnsi="Arial" w:cs="Arial"/>
                <w:bCs/>
                <w:color w:val="000000"/>
                <w:sz w:val="16"/>
                <w:szCs w:val="16"/>
                <w:lang w:val="es-ES" w:eastAsia="es-ES"/>
              </w:rPr>
            </w:pPr>
          </w:p>
        </w:tc>
        <w:tc>
          <w:tcPr>
            <w:tcW w:w="386" w:type="pct"/>
            <w:tcBorders>
              <w:top w:val="single" w:sz="4" w:space="0" w:color="auto"/>
              <w:bottom w:val="single" w:sz="4" w:space="0" w:color="auto"/>
            </w:tcBorders>
            <w:shd w:val="clear" w:color="auto" w:fill="FBD4B4" w:themeFill="accent6" w:themeFillTint="66"/>
            <w:noWrap/>
            <w:vAlign w:val="center"/>
          </w:tcPr>
          <w:p w:rsidR="00EC4F97" w:rsidRPr="00764877" w:rsidRDefault="00EC4F97" w:rsidP="00422AD9">
            <w:pPr>
              <w:spacing w:after="0"/>
              <w:ind w:firstLine="0"/>
              <w:jc w:val="center"/>
              <w:rPr>
                <w:rFonts w:ascii="Arial" w:hAnsi="Arial" w:cs="Arial"/>
                <w:bCs/>
                <w:color w:val="000000"/>
                <w:sz w:val="16"/>
                <w:szCs w:val="16"/>
                <w:lang w:val="es-ES" w:eastAsia="es-ES"/>
              </w:rPr>
            </w:pPr>
            <w:r w:rsidRPr="00764877">
              <w:rPr>
                <w:rFonts w:ascii="Arial" w:hAnsi="Arial" w:cs="Arial"/>
                <w:bCs/>
                <w:color w:val="000000"/>
                <w:sz w:val="16"/>
                <w:szCs w:val="16"/>
                <w:lang w:val="es-ES" w:eastAsia="es-ES"/>
              </w:rPr>
              <w:t>Nº</w:t>
            </w:r>
          </w:p>
        </w:tc>
        <w:tc>
          <w:tcPr>
            <w:tcW w:w="470" w:type="pct"/>
            <w:tcBorders>
              <w:top w:val="single" w:sz="4" w:space="0" w:color="auto"/>
              <w:bottom w:val="single" w:sz="4" w:space="0" w:color="auto"/>
            </w:tcBorders>
            <w:shd w:val="clear" w:color="auto" w:fill="FBD4B4" w:themeFill="accent6" w:themeFillTint="66"/>
            <w:vAlign w:val="center"/>
          </w:tcPr>
          <w:p w:rsidR="00EC4F97" w:rsidRPr="00764877" w:rsidRDefault="00EC4F97" w:rsidP="00422AD9">
            <w:pPr>
              <w:spacing w:after="0"/>
              <w:ind w:firstLine="0"/>
              <w:jc w:val="right"/>
              <w:rPr>
                <w:rFonts w:ascii="Arial" w:hAnsi="Arial" w:cs="Arial"/>
                <w:bCs/>
                <w:color w:val="000000"/>
                <w:sz w:val="16"/>
                <w:szCs w:val="16"/>
                <w:lang w:val="es-ES" w:eastAsia="es-ES"/>
              </w:rPr>
            </w:pPr>
            <w:r w:rsidRPr="00764877">
              <w:rPr>
                <w:rFonts w:ascii="Arial" w:hAnsi="Arial" w:cs="Arial"/>
                <w:bCs/>
                <w:color w:val="000000"/>
                <w:sz w:val="16"/>
                <w:szCs w:val="16"/>
                <w:lang w:val="es-ES" w:eastAsia="es-ES"/>
              </w:rPr>
              <w:t xml:space="preserve">Importe </w:t>
            </w:r>
          </w:p>
        </w:tc>
      </w:tr>
      <w:tr w:rsidR="005A1124" w:rsidRPr="00764877" w:rsidTr="006A6BF4">
        <w:trPr>
          <w:trHeight w:val="255"/>
        </w:trPr>
        <w:tc>
          <w:tcPr>
            <w:tcW w:w="895" w:type="pct"/>
            <w:tcBorders>
              <w:top w:val="single" w:sz="4" w:space="0" w:color="auto"/>
              <w:left w:val="nil"/>
              <w:bottom w:val="single" w:sz="4" w:space="0" w:color="auto"/>
            </w:tcBorders>
            <w:noWrap/>
            <w:vAlign w:val="bottom"/>
          </w:tcPr>
          <w:p w:rsidR="00EC4F97" w:rsidRPr="00764877" w:rsidRDefault="00EC4F97" w:rsidP="00422AD9">
            <w:pPr>
              <w:spacing w:after="0"/>
              <w:ind w:firstLine="0"/>
              <w:jc w:val="left"/>
              <w:rPr>
                <w:rFonts w:ascii="Arial Narrow" w:hAnsi="Arial Narrow"/>
                <w:color w:val="000000"/>
                <w:sz w:val="18"/>
                <w:lang w:val="es-ES" w:eastAsia="es-ES"/>
              </w:rPr>
            </w:pPr>
            <w:r w:rsidRPr="00764877">
              <w:rPr>
                <w:rFonts w:ascii="Arial Narrow" w:hAnsi="Arial Narrow"/>
                <w:color w:val="000000"/>
                <w:sz w:val="18"/>
                <w:lang w:val="es-ES" w:eastAsia="es-ES"/>
              </w:rPr>
              <w:t>Asistencia</w:t>
            </w:r>
          </w:p>
        </w:tc>
        <w:tc>
          <w:tcPr>
            <w:tcW w:w="321" w:type="pct"/>
            <w:tcBorders>
              <w:top w:val="single" w:sz="4" w:space="0" w:color="auto"/>
              <w:bottom w:val="single" w:sz="4" w:space="0" w:color="auto"/>
            </w:tcBorders>
            <w:noWrap/>
            <w:vAlign w:val="bottom"/>
          </w:tcPr>
          <w:p w:rsidR="00EC4F97" w:rsidRPr="00764877" w:rsidRDefault="00EC4F97" w:rsidP="00422AD9">
            <w:pPr>
              <w:spacing w:after="0"/>
              <w:ind w:firstLine="35"/>
              <w:jc w:val="center"/>
              <w:rPr>
                <w:rFonts w:ascii="Arial Narrow" w:hAnsi="Arial Narrow"/>
                <w:color w:val="000000"/>
                <w:sz w:val="18"/>
                <w:lang w:val="es-ES" w:eastAsia="es-ES"/>
              </w:rPr>
            </w:pPr>
            <w:r w:rsidRPr="00764877">
              <w:rPr>
                <w:rFonts w:ascii="Arial Narrow" w:hAnsi="Arial Narrow"/>
                <w:color w:val="000000"/>
                <w:sz w:val="18"/>
                <w:lang w:val="es-ES" w:eastAsia="es-ES"/>
              </w:rPr>
              <w:t>137</w:t>
            </w:r>
          </w:p>
        </w:tc>
        <w:tc>
          <w:tcPr>
            <w:tcW w:w="425" w:type="pct"/>
            <w:tcBorders>
              <w:bottom w:val="single" w:sz="4" w:space="0" w:color="auto"/>
            </w:tcBorders>
            <w:noWrap/>
            <w:vAlign w:val="bottom"/>
          </w:tcPr>
          <w:p w:rsidR="00EC4F97" w:rsidRPr="00764877" w:rsidRDefault="00EC4F97" w:rsidP="00422AD9">
            <w:pPr>
              <w:spacing w:after="0"/>
              <w:ind w:firstLine="35"/>
              <w:jc w:val="right"/>
              <w:rPr>
                <w:rFonts w:ascii="Arial Narrow" w:hAnsi="Arial Narrow"/>
                <w:color w:val="000000"/>
                <w:sz w:val="18"/>
                <w:lang w:val="es-ES" w:eastAsia="es-ES"/>
              </w:rPr>
            </w:pPr>
            <w:r w:rsidRPr="00764877">
              <w:rPr>
                <w:rFonts w:ascii="Arial Narrow" w:hAnsi="Arial Narrow"/>
                <w:color w:val="000000"/>
                <w:sz w:val="18"/>
                <w:lang w:val="es-ES" w:eastAsia="es-ES"/>
              </w:rPr>
              <w:t>7.985</w:t>
            </w:r>
          </w:p>
        </w:tc>
        <w:tc>
          <w:tcPr>
            <w:tcW w:w="85" w:type="pct"/>
          </w:tcPr>
          <w:p w:rsidR="00EC4F97" w:rsidRPr="00764877" w:rsidRDefault="00EC4F97" w:rsidP="00422AD9">
            <w:pPr>
              <w:spacing w:after="0"/>
              <w:ind w:firstLine="0"/>
              <w:jc w:val="center"/>
              <w:rPr>
                <w:rFonts w:ascii="Arial Narrow" w:hAnsi="Arial Narrow"/>
                <w:color w:val="000000"/>
                <w:sz w:val="18"/>
                <w:lang w:val="es-ES" w:eastAsia="es-ES"/>
              </w:rPr>
            </w:pPr>
          </w:p>
        </w:tc>
        <w:tc>
          <w:tcPr>
            <w:tcW w:w="294" w:type="pct"/>
            <w:tcBorders>
              <w:top w:val="single" w:sz="4" w:space="0" w:color="auto"/>
              <w:bottom w:val="single" w:sz="4" w:space="0" w:color="auto"/>
            </w:tcBorders>
            <w:noWrap/>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2</w:t>
            </w:r>
          </w:p>
        </w:tc>
        <w:tc>
          <w:tcPr>
            <w:tcW w:w="374"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38</w:t>
            </w:r>
          </w:p>
        </w:tc>
        <w:tc>
          <w:tcPr>
            <w:tcW w:w="86" w:type="pct"/>
            <w:tcBorders>
              <w:top w:val="single" w:sz="4" w:space="0" w:color="auto"/>
            </w:tcBorders>
          </w:tcPr>
          <w:p w:rsidR="00EC4F97" w:rsidRPr="00764877" w:rsidRDefault="00EC4F97" w:rsidP="00422AD9">
            <w:pPr>
              <w:spacing w:after="0"/>
              <w:ind w:firstLine="0"/>
              <w:jc w:val="center"/>
              <w:rPr>
                <w:rFonts w:ascii="Arial Narrow" w:hAnsi="Arial Narrow"/>
                <w:color w:val="000000"/>
                <w:sz w:val="18"/>
                <w:lang w:val="es-ES" w:eastAsia="es-ES"/>
              </w:rPr>
            </w:pPr>
          </w:p>
        </w:tc>
        <w:tc>
          <w:tcPr>
            <w:tcW w:w="291" w:type="pct"/>
            <w:tcBorders>
              <w:top w:val="single" w:sz="4" w:space="0" w:color="auto"/>
              <w:bottom w:val="single" w:sz="4" w:space="0" w:color="auto"/>
            </w:tcBorders>
            <w:noWrap/>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1</w:t>
            </w:r>
          </w:p>
        </w:tc>
        <w:tc>
          <w:tcPr>
            <w:tcW w:w="374"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24</w:t>
            </w:r>
          </w:p>
        </w:tc>
        <w:tc>
          <w:tcPr>
            <w:tcW w:w="86" w:type="pct"/>
            <w:tcBorders>
              <w:top w:val="single" w:sz="4" w:space="0" w:color="auto"/>
            </w:tcBorders>
          </w:tcPr>
          <w:p w:rsidR="00EC4F97" w:rsidRPr="00764877" w:rsidRDefault="00EC4F97" w:rsidP="00422AD9">
            <w:pPr>
              <w:spacing w:after="0"/>
              <w:ind w:firstLine="0"/>
              <w:jc w:val="center"/>
              <w:rPr>
                <w:rFonts w:ascii="Arial Narrow" w:hAnsi="Arial Narrow"/>
                <w:color w:val="000000"/>
                <w:sz w:val="18"/>
                <w:lang w:val="es-ES" w:eastAsia="es-ES"/>
              </w:rPr>
            </w:pPr>
          </w:p>
        </w:tc>
        <w:tc>
          <w:tcPr>
            <w:tcW w:w="284" w:type="pct"/>
            <w:tcBorders>
              <w:top w:val="single" w:sz="4" w:space="0" w:color="auto"/>
              <w:bottom w:val="single" w:sz="4" w:space="0" w:color="auto"/>
            </w:tcBorders>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12</w:t>
            </w:r>
          </w:p>
        </w:tc>
        <w:tc>
          <w:tcPr>
            <w:tcW w:w="524"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646</w:t>
            </w:r>
          </w:p>
        </w:tc>
        <w:tc>
          <w:tcPr>
            <w:tcW w:w="105" w:type="pct"/>
            <w:tcBorders>
              <w:top w:val="single" w:sz="4" w:space="0" w:color="auto"/>
            </w:tcBorders>
          </w:tcPr>
          <w:p w:rsidR="00EC4F97" w:rsidRPr="00764877" w:rsidRDefault="00EC4F97" w:rsidP="00422AD9">
            <w:pPr>
              <w:spacing w:after="0"/>
              <w:ind w:firstLine="0"/>
              <w:jc w:val="center"/>
              <w:rPr>
                <w:rFonts w:ascii="Arial Narrow" w:hAnsi="Arial Narrow"/>
                <w:color w:val="000000"/>
                <w:sz w:val="18"/>
                <w:lang w:val="es-ES" w:eastAsia="es-ES"/>
              </w:rPr>
            </w:pPr>
          </w:p>
        </w:tc>
        <w:tc>
          <w:tcPr>
            <w:tcW w:w="386" w:type="pct"/>
            <w:tcBorders>
              <w:top w:val="single" w:sz="4" w:space="0" w:color="auto"/>
              <w:bottom w:val="single" w:sz="4" w:space="0" w:color="auto"/>
            </w:tcBorders>
            <w:noWrap/>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152</w:t>
            </w:r>
          </w:p>
        </w:tc>
        <w:tc>
          <w:tcPr>
            <w:tcW w:w="470"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8.693</w:t>
            </w:r>
          </w:p>
        </w:tc>
      </w:tr>
      <w:tr w:rsidR="005A1124" w:rsidRPr="00764877" w:rsidTr="00422AD9">
        <w:trPr>
          <w:trHeight w:val="255"/>
        </w:trPr>
        <w:tc>
          <w:tcPr>
            <w:tcW w:w="895" w:type="pct"/>
            <w:tcBorders>
              <w:top w:val="single" w:sz="4" w:space="0" w:color="auto"/>
              <w:left w:val="nil"/>
              <w:bottom w:val="single" w:sz="4" w:space="0" w:color="auto"/>
            </w:tcBorders>
            <w:noWrap/>
            <w:vAlign w:val="bottom"/>
          </w:tcPr>
          <w:p w:rsidR="00EC4F97" w:rsidRPr="00764877" w:rsidRDefault="00EC4F97" w:rsidP="00422AD9">
            <w:pPr>
              <w:spacing w:after="0"/>
              <w:ind w:firstLine="0"/>
              <w:jc w:val="left"/>
              <w:rPr>
                <w:rFonts w:ascii="Arial Narrow" w:hAnsi="Arial Narrow"/>
                <w:color w:val="000000"/>
                <w:sz w:val="18"/>
                <w:lang w:val="es-ES" w:eastAsia="es-ES"/>
              </w:rPr>
            </w:pPr>
            <w:r w:rsidRPr="00764877">
              <w:rPr>
                <w:rFonts w:ascii="Arial Narrow" w:hAnsi="Arial Narrow"/>
                <w:color w:val="000000"/>
                <w:sz w:val="18"/>
                <w:lang w:val="es-ES" w:eastAsia="es-ES"/>
              </w:rPr>
              <w:t>Obras</w:t>
            </w:r>
          </w:p>
        </w:tc>
        <w:tc>
          <w:tcPr>
            <w:tcW w:w="321" w:type="pct"/>
            <w:tcBorders>
              <w:top w:val="single" w:sz="4" w:space="0" w:color="auto"/>
              <w:bottom w:val="single" w:sz="4" w:space="0" w:color="auto"/>
            </w:tcBorders>
            <w:noWrap/>
            <w:vAlign w:val="bottom"/>
          </w:tcPr>
          <w:p w:rsidR="00EC4F97" w:rsidRPr="00764877" w:rsidRDefault="00EC4F97" w:rsidP="00422AD9">
            <w:pPr>
              <w:spacing w:after="0"/>
              <w:ind w:firstLine="35"/>
              <w:jc w:val="center"/>
              <w:rPr>
                <w:rFonts w:ascii="Arial Narrow" w:hAnsi="Arial Narrow"/>
                <w:color w:val="000000"/>
                <w:sz w:val="18"/>
                <w:lang w:val="es-ES" w:eastAsia="es-ES"/>
              </w:rPr>
            </w:pPr>
            <w:r w:rsidRPr="00764877">
              <w:rPr>
                <w:rFonts w:ascii="Arial Narrow" w:hAnsi="Arial Narrow"/>
                <w:color w:val="000000"/>
                <w:sz w:val="18"/>
                <w:lang w:val="es-ES" w:eastAsia="es-ES"/>
              </w:rPr>
              <w:t>113</w:t>
            </w:r>
          </w:p>
        </w:tc>
        <w:tc>
          <w:tcPr>
            <w:tcW w:w="425" w:type="pct"/>
            <w:tcBorders>
              <w:top w:val="single" w:sz="4" w:space="0" w:color="auto"/>
              <w:bottom w:val="single" w:sz="4" w:space="0" w:color="auto"/>
            </w:tcBorders>
            <w:noWrap/>
            <w:vAlign w:val="bottom"/>
          </w:tcPr>
          <w:p w:rsidR="00EC4F97" w:rsidRPr="00764877" w:rsidRDefault="00EC4F97" w:rsidP="00422AD9">
            <w:pPr>
              <w:spacing w:after="0"/>
              <w:ind w:firstLine="35"/>
              <w:jc w:val="right"/>
              <w:rPr>
                <w:rFonts w:ascii="Arial Narrow" w:hAnsi="Arial Narrow"/>
                <w:color w:val="000000"/>
                <w:sz w:val="18"/>
                <w:lang w:val="es-ES" w:eastAsia="es-ES"/>
              </w:rPr>
            </w:pPr>
            <w:r w:rsidRPr="00764877">
              <w:rPr>
                <w:rFonts w:ascii="Arial Narrow" w:hAnsi="Arial Narrow"/>
                <w:color w:val="000000"/>
                <w:sz w:val="18"/>
                <w:lang w:val="es-ES" w:eastAsia="es-ES"/>
              </w:rPr>
              <w:t>24.461</w:t>
            </w:r>
          </w:p>
        </w:tc>
        <w:tc>
          <w:tcPr>
            <w:tcW w:w="85" w:type="pct"/>
          </w:tcPr>
          <w:p w:rsidR="00EC4F97" w:rsidRPr="00764877" w:rsidRDefault="00EC4F97" w:rsidP="00422AD9">
            <w:pPr>
              <w:spacing w:after="0"/>
              <w:ind w:firstLine="0"/>
              <w:jc w:val="center"/>
              <w:rPr>
                <w:rFonts w:ascii="Arial Narrow" w:hAnsi="Arial Narrow"/>
                <w:color w:val="000000"/>
                <w:sz w:val="18"/>
                <w:lang w:val="es-ES" w:eastAsia="es-ES"/>
              </w:rPr>
            </w:pPr>
          </w:p>
        </w:tc>
        <w:tc>
          <w:tcPr>
            <w:tcW w:w="294" w:type="pct"/>
            <w:tcBorders>
              <w:top w:val="single" w:sz="4" w:space="0" w:color="auto"/>
              <w:bottom w:val="single" w:sz="4" w:space="0" w:color="auto"/>
            </w:tcBorders>
            <w:noWrap/>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2</w:t>
            </w:r>
          </w:p>
        </w:tc>
        <w:tc>
          <w:tcPr>
            <w:tcW w:w="374"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117</w:t>
            </w:r>
          </w:p>
        </w:tc>
        <w:tc>
          <w:tcPr>
            <w:tcW w:w="86" w:type="pct"/>
          </w:tcPr>
          <w:p w:rsidR="00EC4F97" w:rsidRPr="00764877" w:rsidRDefault="00EC4F97" w:rsidP="00422AD9">
            <w:pPr>
              <w:spacing w:after="0"/>
              <w:ind w:firstLine="0"/>
              <w:jc w:val="center"/>
              <w:rPr>
                <w:rFonts w:ascii="Arial Narrow" w:hAnsi="Arial Narrow"/>
                <w:color w:val="000000"/>
                <w:sz w:val="18"/>
                <w:lang w:val="es-ES" w:eastAsia="es-ES"/>
              </w:rPr>
            </w:pPr>
          </w:p>
        </w:tc>
        <w:tc>
          <w:tcPr>
            <w:tcW w:w="291" w:type="pct"/>
            <w:tcBorders>
              <w:top w:val="single" w:sz="4" w:space="0" w:color="auto"/>
              <w:bottom w:val="single" w:sz="4" w:space="0" w:color="auto"/>
            </w:tcBorders>
            <w:noWrap/>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 </w:t>
            </w:r>
          </w:p>
        </w:tc>
        <w:tc>
          <w:tcPr>
            <w:tcW w:w="374"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 </w:t>
            </w:r>
          </w:p>
        </w:tc>
        <w:tc>
          <w:tcPr>
            <w:tcW w:w="86" w:type="pct"/>
          </w:tcPr>
          <w:p w:rsidR="00EC4F97" w:rsidRPr="00764877" w:rsidRDefault="00EC4F97" w:rsidP="00422AD9">
            <w:pPr>
              <w:spacing w:after="0"/>
              <w:ind w:firstLine="0"/>
              <w:jc w:val="center"/>
              <w:rPr>
                <w:rFonts w:ascii="Arial Narrow" w:hAnsi="Arial Narrow"/>
                <w:color w:val="000000"/>
                <w:sz w:val="18"/>
                <w:lang w:val="es-ES" w:eastAsia="es-ES"/>
              </w:rPr>
            </w:pPr>
          </w:p>
        </w:tc>
        <w:tc>
          <w:tcPr>
            <w:tcW w:w="284" w:type="pct"/>
            <w:tcBorders>
              <w:top w:val="single" w:sz="4" w:space="0" w:color="auto"/>
              <w:bottom w:val="single" w:sz="4" w:space="0" w:color="auto"/>
            </w:tcBorders>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8</w:t>
            </w:r>
          </w:p>
        </w:tc>
        <w:tc>
          <w:tcPr>
            <w:tcW w:w="524"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2.399</w:t>
            </w:r>
          </w:p>
        </w:tc>
        <w:tc>
          <w:tcPr>
            <w:tcW w:w="105" w:type="pct"/>
          </w:tcPr>
          <w:p w:rsidR="00EC4F97" w:rsidRPr="00764877" w:rsidRDefault="00EC4F97" w:rsidP="00422AD9">
            <w:pPr>
              <w:spacing w:after="0"/>
              <w:ind w:firstLine="0"/>
              <w:jc w:val="center"/>
              <w:rPr>
                <w:rFonts w:ascii="Arial Narrow" w:hAnsi="Arial Narrow"/>
                <w:color w:val="000000"/>
                <w:sz w:val="18"/>
                <w:lang w:val="es-ES" w:eastAsia="es-ES"/>
              </w:rPr>
            </w:pPr>
          </w:p>
        </w:tc>
        <w:tc>
          <w:tcPr>
            <w:tcW w:w="386" w:type="pct"/>
            <w:tcBorders>
              <w:top w:val="single" w:sz="4" w:space="0" w:color="auto"/>
              <w:bottom w:val="single" w:sz="4" w:space="0" w:color="auto"/>
            </w:tcBorders>
            <w:noWrap/>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123</w:t>
            </w:r>
          </w:p>
        </w:tc>
        <w:tc>
          <w:tcPr>
            <w:tcW w:w="470"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26.977</w:t>
            </w:r>
          </w:p>
        </w:tc>
      </w:tr>
      <w:tr w:rsidR="005A1124" w:rsidRPr="00764877" w:rsidTr="00422AD9">
        <w:trPr>
          <w:trHeight w:val="255"/>
        </w:trPr>
        <w:tc>
          <w:tcPr>
            <w:tcW w:w="895" w:type="pct"/>
            <w:tcBorders>
              <w:top w:val="single" w:sz="4" w:space="0" w:color="auto"/>
              <w:left w:val="nil"/>
              <w:bottom w:val="single" w:sz="4" w:space="0" w:color="auto"/>
            </w:tcBorders>
            <w:noWrap/>
            <w:vAlign w:val="bottom"/>
          </w:tcPr>
          <w:p w:rsidR="00EC4F97" w:rsidRPr="00764877" w:rsidRDefault="00EC4F97" w:rsidP="00422AD9">
            <w:pPr>
              <w:spacing w:after="0"/>
              <w:ind w:firstLine="0"/>
              <w:jc w:val="left"/>
              <w:rPr>
                <w:rFonts w:ascii="Arial Narrow" w:hAnsi="Arial Narrow"/>
                <w:color w:val="000000"/>
                <w:sz w:val="18"/>
                <w:lang w:val="es-ES" w:eastAsia="es-ES"/>
              </w:rPr>
            </w:pPr>
            <w:r w:rsidRPr="00764877">
              <w:rPr>
                <w:rFonts w:ascii="Arial Narrow" w:hAnsi="Arial Narrow"/>
                <w:color w:val="000000"/>
                <w:sz w:val="18"/>
                <w:lang w:val="es-ES" w:eastAsia="es-ES"/>
              </w:rPr>
              <w:t>Suministro</w:t>
            </w:r>
          </w:p>
        </w:tc>
        <w:tc>
          <w:tcPr>
            <w:tcW w:w="321" w:type="pct"/>
            <w:tcBorders>
              <w:top w:val="single" w:sz="4" w:space="0" w:color="auto"/>
              <w:bottom w:val="single" w:sz="4" w:space="0" w:color="auto"/>
            </w:tcBorders>
            <w:noWrap/>
            <w:vAlign w:val="bottom"/>
          </w:tcPr>
          <w:p w:rsidR="00EC4F97" w:rsidRPr="00764877" w:rsidRDefault="00EC4F97" w:rsidP="00422AD9">
            <w:pPr>
              <w:spacing w:after="0"/>
              <w:ind w:firstLine="35"/>
              <w:jc w:val="center"/>
              <w:rPr>
                <w:rFonts w:ascii="Arial Narrow" w:hAnsi="Arial Narrow"/>
                <w:color w:val="000000"/>
                <w:sz w:val="18"/>
                <w:lang w:val="es-ES" w:eastAsia="es-ES"/>
              </w:rPr>
            </w:pPr>
            <w:r w:rsidRPr="00764877">
              <w:rPr>
                <w:rFonts w:ascii="Arial Narrow" w:hAnsi="Arial Narrow"/>
                <w:color w:val="000000"/>
                <w:sz w:val="18"/>
                <w:lang w:val="es-ES" w:eastAsia="es-ES"/>
              </w:rPr>
              <w:t>50</w:t>
            </w:r>
          </w:p>
        </w:tc>
        <w:tc>
          <w:tcPr>
            <w:tcW w:w="425" w:type="pct"/>
            <w:tcBorders>
              <w:top w:val="single" w:sz="4" w:space="0" w:color="auto"/>
              <w:bottom w:val="single" w:sz="4" w:space="0" w:color="auto"/>
            </w:tcBorders>
            <w:noWrap/>
            <w:vAlign w:val="bottom"/>
          </w:tcPr>
          <w:p w:rsidR="00EC4F97" w:rsidRPr="00764877" w:rsidRDefault="00EC4F97" w:rsidP="00422AD9">
            <w:pPr>
              <w:spacing w:after="0"/>
              <w:ind w:firstLine="35"/>
              <w:jc w:val="right"/>
              <w:rPr>
                <w:rFonts w:ascii="Arial Narrow" w:hAnsi="Arial Narrow"/>
                <w:color w:val="000000"/>
                <w:sz w:val="18"/>
                <w:lang w:val="es-ES" w:eastAsia="es-ES"/>
              </w:rPr>
            </w:pPr>
            <w:r w:rsidRPr="00764877">
              <w:rPr>
                <w:rFonts w:ascii="Arial Narrow" w:hAnsi="Arial Narrow"/>
                <w:color w:val="000000"/>
                <w:sz w:val="18"/>
                <w:lang w:val="es-ES" w:eastAsia="es-ES"/>
              </w:rPr>
              <w:t>2.021</w:t>
            </w:r>
          </w:p>
        </w:tc>
        <w:tc>
          <w:tcPr>
            <w:tcW w:w="85" w:type="pct"/>
          </w:tcPr>
          <w:p w:rsidR="00EC4F97" w:rsidRPr="00764877" w:rsidRDefault="00EC4F97" w:rsidP="00422AD9">
            <w:pPr>
              <w:spacing w:after="0"/>
              <w:ind w:firstLine="0"/>
              <w:jc w:val="center"/>
              <w:rPr>
                <w:rFonts w:ascii="Arial Narrow" w:hAnsi="Arial Narrow"/>
                <w:color w:val="000000"/>
                <w:sz w:val="18"/>
                <w:lang w:val="es-ES" w:eastAsia="es-ES"/>
              </w:rPr>
            </w:pPr>
          </w:p>
        </w:tc>
        <w:tc>
          <w:tcPr>
            <w:tcW w:w="294" w:type="pct"/>
            <w:tcBorders>
              <w:top w:val="single" w:sz="4" w:space="0" w:color="auto"/>
              <w:bottom w:val="single" w:sz="4" w:space="0" w:color="auto"/>
            </w:tcBorders>
            <w:noWrap/>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 </w:t>
            </w:r>
          </w:p>
        </w:tc>
        <w:tc>
          <w:tcPr>
            <w:tcW w:w="374"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 </w:t>
            </w:r>
          </w:p>
        </w:tc>
        <w:tc>
          <w:tcPr>
            <w:tcW w:w="86" w:type="pct"/>
          </w:tcPr>
          <w:p w:rsidR="00EC4F97" w:rsidRPr="00764877" w:rsidRDefault="00EC4F97" w:rsidP="00422AD9">
            <w:pPr>
              <w:spacing w:after="0"/>
              <w:ind w:firstLine="0"/>
              <w:jc w:val="center"/>
              <w:rPr>
                <w:rFonts w:ascii="Arial Narrow" w:hAnsi="Arial Narrow"/>
                <w:color w:val="000000"/>
                <w:sz w:val="18"/>
                <w:lang w:val="es-ES" w:eastAsia="es-ES"/>
              </w:rPr>
            </w:pPr>
          </w:p>
        </w:tc>
        <w:tc>
          <w:tcPr>
            <w:tcW w:w="291" w:type="pct"/>
            <w:tcBorders>
              <w:top w:val="single" w:sz="4" w:space="0" w:color="auto"/>
              <w:bottom w:val="single" w:sz="4" w:space="0" w:color="auto"/>
            </w:tcBorders>
            <w:noWrap/>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 </w:t>
            </w:r>
          </w:p>
        </w:tc>
        <w:tc>
          <w:tcPr>
            <w:tcW w:w="374"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 </w:t>
            </w:r>
          </w:p>
        </w:tc>
        <w:tc>
          <w:tcPr>
            <w:tcW w:w="86" w:type="pct"/>
          </w:tcPr>
          <w:p w:rsidR="00EC4F97" w:rsidRPr="00764877" w:rsidRDefault="00EC4F97" w:rsidP="00422AD9">
            <w:pPr>
              <w:spacing w:after="0"/>
              <w:ind w:firstLine="0"/>
              <w:jc w:val="center"/>
              <w:rPr>
                <w:rFonts w:ascii="Arial Narrow" w:hAnsi="Arial Narrow"/>
                <w:color w:val="000000"/>
                <w:sz w:val="18"/>
                <w:lang w:val="es-ES" w:eastAsia="es-ES"/>
              </w:rPr>
            </w:pPr>
          </w:p>
        </w:tc>
        <w:tc>
          <w:tcPr>
            <w:tcW w:w="284" w:type="pct"/>
            <w:tcBorders>
              <w:top w:val="single" w:sz="4" w:space="0" w:color="auto"/>
              <w:bottom w:val="single" w:sz="4" w:space="0" w:color="auto"/>
            </w:tcBorders>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9</w:t>
            </w:r>
          </w:p>
        </w:tc>
        <w:tc>
          <w:tcPr>
            <w:tcW w:w="524"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824</w:t>
            </w:r>
          </w:p>
        </w:tc>
        <w:tc>
          <w:tcPr>
            <w:tcW w:w="105" w:type="pct"/>
          </w:tcPr>
          <w:p w:rsidR="00EC4F97" w:rsidRPr="00764877" w:rsidRDefault="00EC4F97" w:rsidP="00422AD9">
            <w:pPr>
              <w:spacing w:after="0"/>
              <w:ind w:firstLine="0"/>
              <w:jc w:val="center"/>
              <w:rPr>
                <w:rFonts w:ascii="Arial Narrow" w:hAnsi="Arial Narrow"/>
                <w:color w:val="000000"/>
                <w:sz w:val="18"/>
                <w:lang w:val="es-ES" w:eastAsia="es-ES"/>
              </w:rPr>
            </w:pPr>
          </w:p>
        </w:tc>
        <w:tc>
          <w:tcPr>
            <w:tcW w:w="386" w:type="pct"/>
            <w:tcBorders>
              <w:top w:val="single" w:sz="4" w:space="0" w:color="auto"/>
              <w:bottom w:val="single" w:sz="4" w:space="0" w:color="auto"/>
            </w:tcBorders>
            <w:noWrap/>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59</w:t>
            </w:r>
          </w:p>
        </w:tc>
        <w:tc>
          <w:tcPr>
            <w:tcW w:w="470"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2.845</w:t>
            </w:r>
          </w:p>
        </w:tc>
      </w:tr>
      <w:tr w:rsidR="005A1124" w:rsidRPr="00764877" w:rsidTr="006A6BF4">
        <w:trPr>
          <w:trHeight w:val="255"/>
        </w:trPr>
        <w:tc>
          <w:tcPr>
            <w:tcW w:w="895" w:type="pct"/>
            <w:tcBorders>
              <w:top w:val="single" w:sz="4" w:space="0" w:color="auto"/>
              <w:left w:val="nil"/>
              <w:bottom w:val="single" w:sz="4" w:space="0" w:color="auto"/>
            </w:tcBorders>
            <w:noWrap/>
            <w:vAlign w:val="bottom"/>
          </w:tcPr>
          <w:p w:rsidR="00EC4F97" w:rsidRPr="00764877" w:rsidRDefault="00EC4F97" w:rsidP="00422AD9">
            <w:pPr>
              <w:spacing w:after="0"/>
              <w:ind w:firstLine="0"/>
              <w:jc w:val="left"/>
              <w:rPr>
                <w:rFonts w:ascii="Arial Narrow" w:hAnsi="Arial Narrow"/>
                <w:color w:val="000000"/>
                <w:sz w:val="18"/>
                <w:lang w:val="es-ES" w:eastAsia="es-ES"/>
              </w:rPr>
            </w:pPr>
            <w:r w:rsidRPr="00764877">
              <w:rPr>
                <w:rFonts w:ascii="Arial Narrow" w:hAnsi="Arial Narrow"/>
                <w:color w:val="000000"/>
                <w:sz w:val="18"/>
                <w:lang w:val="es-ES" w:eastAsia="es-ES"/>
              </w:rPr>
              <w:t>Concesión de servicios</w:t>
            </w:r>
          </w:p>
        </w:tc>
        <w:tc>
          <w:tcPr>
            <w:tcW w:w="321" w:type="pct"/>
            <w:tcBorders>
              <w:top w:val="single" w:sz="4" w:space="0" w:color="auto"/>
              <w:bottom w:val="single" w:sz="4" w:space="0" w:color="auto"/>
            </w:tcBorders>
            <w:noWrap/>
            <w:vAlign w:val="bottom"/>
          </w:tcPr>
          <w:p w:rsidR="00EC4F97" w:rsidRPr="00764877" w:rsidRDefault="00EC4F97" w:rsidP="00422AD9">
            <w:pPr>
              <w:spacing w:after="0"/>
              <w:ind w:firstLine="35"/>
              <w:jc w:val="center"/>
              <w:rPr>
                <w:rFonts w:ascii="Arial Narrow" w:hAnsi="Arial Narrow"/>
                <w:color w:val="000000"/>
                <w:sz w:val="18"/>
                <w:lang w:val="es-ES" w:eastAsia="es-ES"/>
              </w:rPr>
            </w:pPr>
            <w:r w:rsidRPr="00764877">
              <w:rPr>
                <w:rFonts w:ascii="Arial Narrow" w:hAnsi="Arial Narrow"/>
                <w:color w:val="000000"/>
                <w:sz w:val="18"/>
                <w:lang w:val="es-ES" w:eastAsia="es-ES"/>
              </w:rPr>
              <w:t>15</w:t>
            </w:r>
          </w:p>
        </w:tc>
        <w:tc>
          <w:tcPr>
            <w:tcW w:w="425" w:type="pct"/>
            <w:tcBorders>
              <w:top w:val="single" w:sz="4" w:space="0" w:color="auto"/>
              <w:bottom w:val="single" w:sz="4" w:space="0" w:color="auto"/>
            </w:tcBorders>
            <w:noWrap/>
            <w:vAlign w:val="bottom"/>
          </w:tcPr>
          <w:p w:rsidR="00EC4F97" w:rsidRPr="00764877" w:rsidRDefault="00EC4F97" w:rsidP="00422AD9">
            <w:pPr>
              <w:spacing w:after="0"/>
              <w:ind w:firstLine="35"/>
              <w:jc w:val="right"/>
              <w:rPr>
                <w:rFonts w:ascii="Arial Narrow" w:hAnsi="Arial Narrow"/>
                <w:color w:val="000000"/>
                <w:sz w:val="18"/>
                <w:lang w:val="es-ES" w:eastAsia="es-ES"/>
              </w:rPr>
            </w:pPr>
            <w:r w:rsidRPr="00764877">
              <w:rPr>
                <w:rFonts w:ascii="Arial Narrow" w:hAnsi="Arial Narrow"/>
                <w:color w:val="000000"/>
                <w:sz w:val="18"/>
                <w:lang w:val="es-ES" w:eastAsia="es-ES"/>
              </w:rPr>
              <w:t>542</w:t>
            </w:r>
          </w:p>
        </w:tc>
        <w:tc>
          <w:tcPr>
            <w:tcW w:w="85" w:type="pct"/>
            <w:tcBorders>
              <w:bottom w:val="single" w:sz="4" w:space="0" w:color="auto"/>
            </w:tcBorders>
          </w:tcPr>
          <w:p w:rsidR="00EC4F97" w:rsidRPr="00764877" w:rsidRDefault="00EC4F97" w:rsidP="00422AD9">
            <w:pPr>
              <w:spacing w:after="0"/>
              <w:ind w:firstLine="0"/>
              <w:jc w:val="center"/>
              <w:rPr>
                <w:rFonts w:ascii="Arial Narrow" w:hAnsi="Arial Narrow"/>
                <w:color w:val="000000"/>
                <w:sz w:val="18"/>
                <w:lang w:val="es-ES" w:eastAsia="es-ES"/>
              </w:rPr>
            </w:pPr>
          </w:p>
        </w:tc>
        <w:tc>
          <w:tcPr>
            <w:tcW w:w="294" w:type="pct"/>
            <w:tcBorders>
              <w:top w:val="single" w:sz="4" w:space="0" w:color="auto"/>
              <w:bottom w:val="single" w:sz="4" w:space="0" w:color="auto"/>
            </w:tcBorders>
            <w:noWrap/>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 </w:t>
            </w:r>
          </w:p>
        </w:tc>
        <w:tc>
          <w:tcPr>
            <w:tcW w:w="374"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 </w:t>
            </w:r>
          </w:p>
        </w:tc>
        <w:tc>
          <w:tcPr>
            <w:tcW w:w="86" w:type="pct"/>
            <w:tcBorders>
              <w:bottom w:val="single" w:sz="4" w:space="0" w:color="auto"/>
            </w:tcBorders>
          </w:tcPr>
          <w:p w:rsidR="00EC4F97" w:rsidRPr="00764877" w:rsidRDefault="00EC4F97" w:rsidP="00422AD9">
            <w:pPr>
              <w:spacing w:after="0"/>
              <w:ind w:firstLine="0"/>
              <w:jc w:val="center"/>
              <w:rPr>
                <w:rFonts w:ascii="Arial Narrow" w:hAnsi="Arial Narrow"/>
                <w:color w:val="000000"/>
                <w:sz w:val="18"/>
                <w:lang w:val="es-ES" w:eastAsia="es-ES"/>
              </w:rPr>
            </w:pPr>
          </w:p>
        </w:tc>
        <w:tc>
          <w:tcPr>
            <w:tcW w:w="291" w:type="pct"/>
            <w:tcBorders>
              <w:top w:val="single" w:sz="4" w:space="0" w:color="auto"/>
              <w:bottom w:val="single" w:sz="4" w:space="0" w:color="auto"/>
            </w:tcBorders>
            <w:noWrap/>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 </w:t>
            </w:r>
          </w:p>
        </w:tc>
        <w:tc>
          <w:tcPr>
            <w:tcW w:w="374"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 </w:t>
            </w:r>
          </w:p>
        </w:tc>
        <w:tc>
          <w:tcPr>
            <w:tcW w:w="86" w:type="pct"/>
            <w:tcBorders>
              <w:bottom w:val="single" w:sz="4" w:space="0" w:color="auto"/>
            </w:tcBorders>
          </w:tcPr>
          <w:p w:rsidR="00EC4F97" w:rsidRPr="00764877" w:rsidRDefault="00EC4F97" w:rsidP="00422AD9">
            <w:pPr>
              <w:spacing w:after="0"/>
              <w:ind w:firstLine="0"/>
              <w:jc w:val="center"/>
              <w:rPr>
                <w:rFonts w:ascii="Arial Narrow" w:hAnsi="Arial Narrow"/>
                <w:color w:val="000000"/>
                <w:sz w:val="18"/>
                <w:lang w:val="es-ES" w:eastAsia="es-ES"/>
              </w:rPr>
            </w:pPr>
          </w:p>
        </w:tc>
        <w:tc>
          <w:tcPr>
            <w:tcW w:w="284" w:type="pct"/>
            <w:tcBorders>
              <w:top w:val="single" w:sz="4" w:space="0" w:color="auto"/>
              <w:bottom w:val="single" w:sz="4" w:space="0" w:color="auto"/>
            </w:tcBorders>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1</w:t>
            </w:r>
          </w:p>
        </w:tc>
        <w:tc>
          <w:tcPr>
            <w:tcW w:w="524"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0</w:t>
            </w:r>
          </w:p>
        </w:tc>
        <w:tc>
          <w:tcPr>
            <w:tcW w:w="105" w:type="pct"/>
            <w:tcBorders>
              <w:bottom w:val="single" w:sz="4" w:space="0" w:color="auto"/>
            </w:tcBorders>
          </w:tcPr>
          <w:p w:rsidR="00EC4F97" w:rsidRPr="00764877" w:rsidRDefault="00EC4F97" w:rsidP="00422AD9">
            <w:pPr>
              <w:spacing w:after="0"/>
              <w:ind w:firstLine="0"/>
              <w:jc w:val="center"/>
              <w:rPr>
                <w:rFonts w:ascii="Arial Narrow" w:hAnsi="Arial Narrow"/>
                <w:color w:val="000000"/>
                <w:sz w:val="18"/>
                <w:lang w:val="es-ES" w:eastAsia="es-ES"/>
              </w:rPr>
            </w:pPr>
          </w:p>
        </w:tc>
        <w:tc>
          <w:tcPr>
            <w:tcW w:w="386" w:type="pct"/>
            <w:tcBorders>
              <w:top w:val="single" w:sz="4" w:space="0" w:color="auto"/>
              <w:bottom w:val="single" w:sz="4" w:space="0" w:color="auto"/>
            </w:tcBorders>
            <w:noWrap/>
            <w:vAlign w:val="bottom"/>
          </w:tcPr>
          <w:p w:rsidR="00EC4F97" w:rsidRPr="00764877" w:rsidRDefault="00EC4F97" w:rsidP="00422AD9">
            <w:pPr>
              <w:spacing w:after="0"/>
              <w:ind w:firstLine="0"/>
              <w:jc w:val="center"/>
              <w:rPr>
                <w:rFonts w:ascii="Arial Narrow" w:hAnsi="Arial Narrow"/>
                <w:color w:val="000000"/>
                <w:sz w:val="18"/>
                <w:lang w:val="es-ES" w:eastAsia="es-ES"/>
              </w:rPr>
            </w:pPr>
            <w:r w:rsidRPr="00764877">
              <w:rPr>
                <w:rFonts w:ascii="Arial Narrow" w:hAnsi="Arial Narrow"/>
                <w:color w:val="000000"/>
                <w:sz w:val="18"/>
                <w:lang w:val="es-ES" w:eastAsia="es-ES"/>
              </w:rPr>
              <w:t>16</w:t>
            </w:r>
          </w:p>
        </w:tc>
        <w:tc>
          <w:tcPr>
            <w:tcW w:w="470" w:type="pct"/>
            <w:tcBorders>
              <w:top w:val="single" w:sz="4" w:space="0" w:color="auto"/>
              <w:bottom w:val="single" w:sz="4" w:space="0" w:color="auto"/>
            </w:tcBorders>
            <w:noWrap/>
            <w:vAlign w:val="bottom"/>
          </w:tcPr>
          <w:p w:rsidR="00EC4F97" w:rsidRPr="00764877" w:rsidRDefault="00EC4F97" w:rsidP="00422AD9">
            <w:pPr>
              <w:spacing w:after="0"/>
              <w:ind w:firstLine="0"/>
              <w:jc w:val="right"/>
              <w:rPr>
                <w:rFonts w:ascii="Arial Narrow" w:hAnsi="Arial Narrow"/>
                <w:color w:val="000000"/>
                <w:sz w:val="18"/>
                <w:lang w:val="es-ES" w:eastAsia="es-ES"/>
              </w:rPr>
            </w:pPr>
            <w:r w:rsidRPr="00764877">
              <w:rPr>
                <w:rFonts w:ascii="Arial Narrow" w:hAnsi="Arial Narrow"/>
                <w:color w:val="000000"/>
                <w:sz w:val="18"/>
                <w:lang w:val="es-ES" w:eastAsia="es-ES"/>
              </w:rPr>
              <w:t>542</w:t>
            </w:r>
          </w:p>
        </w:tc>
      </w:tr>
      <w:tr w:rsidR="005A1124" w:rsidRPr="008E3538" w:rsidTr="006A6BF4">
        <w:trPr>
          <w:trHeight w:val="255"/>
        </w:trPr>
        <w:tc>
          <w:tcPr>
            <w:tcW w:w="895" w:type="pct"/>
            <w:tcBorders>
              <w:top w:val="single" w:sz="4" w:space="0" w:color="auto"/>
              <w:left w:val="nil"/>
              <w:bottom w:val="single" w:sz="4" w:space="0" w:color="auto"/>
            </w:tcBorders>
            <w:shd w:val="clear" w:color="auto" w:fill="FBD4B4" w:themeFill="accent6" w:themeFillTint="66"/>
            <w:noWrap/>
            <w:vAlign w:val="bottom"/>
          </w:tcPr>
          <w:p w:rsidR="00EC4F97" w:rsidRPr="00032B45" w:rsidRDefault="00EC4F97" w:rsidP="00422AD9">
            <w:pPr>
              <w:spacing w:after="0"/>
              <w:ind w:firstLine="0"/>
              <w:jc w:val="left"/>
              <w:rPr>
                <w:rFonts w:ascii="Arial" w:hAnsi="Arial" w:cs="Arial"/>
                <w:bCs/>
                <w:color w:val="000000"/>
                <w:sz w:val="18"/>
                <w:szCs w:val="18"/>
                <w:lang w:val="es-ES" w:eastAsia="es-ES"/>
              </w:rPr>
            </w:pPr>
            <w:r w:rsidRPr="00032B45">
              <w:rPr>
                <w:rFonts w:ascii="Arial" w:hAnsi="Arial" w:cs="Arial"/>
                <w:bCs/>
                <w:color w:val="000000"/>
                <w:sz w:val="18"/>
                <w:szCs w:val="18"/>
                <w:lang w:val="es-ES" w:eastAsia="es-ES"/>
              </w:rPr>
              <w:t>Total general</w:t>
            </w:r>
          </w:p>
        </w:tc>
        <w:tc>
          <w:tcPr>
            <w:tcW w:w="321" w:type="pct"/>
            <w:tcBorders>
              <w:top w:val="single" w:sz="4" w:space="0" w:color="auto"/>
              <w:bottom w:val="single" w:sz="4" w:space="0" w:color="auto"/>
            </w:tcBorders>
            <w:shd w:val="clear" w:color="auto" w:fill="FBD4B4" w:themeFill="accent6" w:themeFillTint="66"/>
            <w:noWrap/>
            <w:vAlign w:val="bottom"/>
          </w:tcPr>
          <w:p w:rsidR="00EC4F97" w:rsidRPr="00032B45" w:rsidRDefault="00EC4F97" w:rsidP="00422AD9">
            <w:pPr>
              <w:spacing w:after="0"/>
              <w:ind w:firstLine="35"/>
              <w:jc w:val="center"/>
              <w:rPr>
                <w:rFonts w:ascii="Arial" w:hAnsi="Arial" w:cs="Arial"/>
                <w:bCs/>
                <w:color w:val="000000"/>
                <w:sz w:val="18"/>
                <w:szCs w:val="18"/>
                <w:lang w:val="es-ES" w:eastAsia="es-ES"/>
              </w:rPr>
            </w:pPr>
            <w:r w:rsidRPr="00032B45">
              <w:rPr>
                <w:rFonts w:ascii="Arial" w:hAnsi="Arial" w:cs="Arial"/>
                <w:bCs/>
                <w:color w:val="000000"/>
                <w:sz w:val="18"/>
                <w:szCs w:val="18"/>
                <w:lang w:val="es-ES" w:eastAsia="es-ES"/>
              </w:rPr>
              <w:t>315</w:t>
            </w:r>
          </w:p>
        </w:tc>
        <w:tc>
          <w:tcPr>
            <w:tcW w:w="425" w:type="pct"/>
            <w:tcBorders>
              <w:top w:val="single" w:sz="4" w:space="0" w:color="auto"/>
              <w:bottom w:val="single" w:sz="4" w:space="0" w:color="auto"/>
            </w:tcBorders>
            <w:shd w:val="clear" w:color="auto" w:fill="FBD4B4" w:themeFill="accent6" w:themeFillTint="66"/>
            <w:noWrap/>
            <w:vAlign w:val="bottom"/>
          </w:tcPr>
          <w:p w:rsidR="00EC4F97" w:rsidRPr="00032B45" w:rsidRDefault="00EC4F97" w:rsidP="00422AD9">
            <w:pPr>
              <w:spacing w:after="0"/>
              <w:ind w:firstLine="35"/>
              <w:jc w:val="right"/>
              <w:rPr>
                <w:rFonts w:ascii="Arial" w:hAnsi="Arial" w:cs="Arial"/>
                <w:bCs/>
                <w:color w:val="000000"/>
                <w:sz w:val="18"/>
                <w:szCs w:val="18"/>
                <w:lang w:val="es-ES" w:eastAsia="es-ES"/>
              </w:rPr>
            </w:pPr>
            <w:r w:rsidRPr="00032B45">
              <w:rPr>
                <w:rFonts w:ascii="Arial" w:hAnsi="Arial" w:cs="Arial"/>
                <w:bCs/>
                <w:color w:val="000000"/>
                <w:sz w:val="18"/>
                <w:szCs w:val="18"/>
                <w:lang w:val="es-ES" w:eastAsia="es-ES"/>
              </w:rPr>
              <w:t>35.010</w:t>
            </w:r>
          </w:p>
        </w:tc>
        <w:tc>
          <w:tcPr>
            <w:tcW w:w="85" w:type="pct"/>
            <w:tcBorders>
              <w:top w:val="single" w:sz="4" w:space="0" w:color="auto"/>
              <w:bottom w:val="single" w:sz="4" w:space="0" w:color="auto"/>
            </w:tcBorders>
            <w:shd w:val="clear" w:color="auto" w:fill="FBD4B4" w:themeFill="accent6" w:themeFillTint="66"/>
          </w:tcPr>
          <w:p w:rsidR="00EC4F97" w:rsidRPr="00032B45" w:rsidRDefault="00EC4F97" w:rsidP="00422AD9">
            <w:pPr>
              <w:spacing w:after="0"/>
              <w:ind w:firstLine="0"/>
              <w:jc w:val="center"/>
              <w:rPr>
                <w:rFonts w:ascii="Arial" w:hAnsi="Arial" w:cs="Arial"/>
                <w:bCs/>
                <w:color w:val="000000"/>
                <w:sz w:val="18"/>
                <w:szCs w:val="18"/>
                <w:lang w:val="es-ES" w:eastAsia="es-ES"/>
              </w:rPr>
            </w:pPr>
          </w:p>
        </w:tc>
        <w:tc>
          <w:tcPr>
            <w:tcW w:w="294" w:type="pct"/>
            <w:tcBorders>
              <w:top w:val="single" w:sz="4" w:space="0" w:color="auto"/>
              <w:bottom w:val="single" w:sz="4" w:space="0" w:color="auto"/>
            </w:tcBorders>
            <w:shd w:val="clear" w:color="auto" w:fill="FBD4B4" w:themeFill="accent6" w:themeFillTint="66"/>
            <w:noWrap/>
            <w:vAlign w:val="bottom"/>
          </w:tcPr>
          <w:p w:rsidR="00EC4F97" w:rsidRPr="00032B45" w:rsidRDefault="00EC4F97" w:rsidP="00422AD9">
            <w:pPr>
              <w:spacing w:after="0"/>
              <w:ind w:firstLine="0"/>
              <w:jc w:val="center"/>
              <w:rPr>
                <w:rFonts w:ascii="Arial" w:hAnsi="Arial" w:cs="Arial"/>
                <w:bCs/>
                <w:color w:val="000000"/>
                <w:sz w:val="18"/>
                <w:szCs w:val="18"/>
                <w:lang w:val="es-ES" w:eastAsia="es-ES"/>
              </w:rPr>
            </w:pPr>
            <w:r w:rsidRPr="00032B45">
              <w:rPr>
                <w:rFonts w:ascii="Arial" w:hAnsi="Arial" w:cs="Arial"/>
                <w:bCs/>
                <w:color w:val="000000"/>
                <w:sz w:val="18"/>
                <w:szCs w:val="18"/>
                <w:lang w:val="es-ES" w:eastAsia="es-ES"/>
              </w:rPr>
              <w:t>4</w:t>
            </w:r>
          </w:p>
        </w:tc>
        <w:tc>
          <w:tcPr>
            <w:tcW w:w="374" w:type="pct"/>
            <w:tcBorders>
              <w:top w:val="single" w:sz="4" w:space="0" w:color="auto"/>
              <w:bottom w:val="single" w:sz="4" w:space="0" w:color="auto"/>
            </w:tcBorders>
            <w:shd w:val="clear" w:color="auto" w:fill="FBD4B4" w:themeFill="accent6" w:themeFillTint="66"/>
            <w:noWrap/>
            <w:vAlign w:val="bottom"/>
          </w:tcPr>
          <w:p w:rsidR="00EC4F97" w:rsidRPr="00032B45" w:rsidRDefault="00EC4F97" w:rsidP="00422AD9">
            <w:pPr>
              <w:spacing w:after="0"/>
              <w:ind w:firstLine="0"/>
              <w:jc w:val="right"/>
              <w:rPr>
                <w:rFonts w:ascii="Arial" w:hAnsi="Arial" w:cs="Arial"/>
                <w:bCs/>
                <w:color w:val="000000"/>
                <w:sz w:val="18"/>
                <w:szCs w:val="18"/>
                <w:lang w:val="es-ES" w:eastAsia="es-ES"/>
              </w:rPr>
            </w:pPr>
            <w:r w:rsidRPr="00032B45">
              <w:rPr>
                <w:rFonts w:ascii="Arial" w:hAnsi="Arial" w:cs="Arial"/>
                <w:bCs/>
                <w:color w:val="000000"/>
                <w:sz w:val="18"/>
                <w:szCs w:val="18"/>
                <w:lang w:val="es-ES" w:eastAsia="es-ES"/>
              </w:rPr>
              <w:t>155</w:t>
            </w:r>
          </w:p>
        </w:tc>
        <w:tc>
          <w:tcPr>
            <w:tcW w:w="86" w:type="pct"/>
            <w:tcBorders>
              <w:top w:val="single" w:sz="4" w:space="0" w:color="auto"/>
              <w:bottom w:val="single" w:sz="4" w:space="0" w:color="auto"/>
            </w:tcBorders>
            <w:shd w:val="clear" w:color="auto" w:fill="FBD4B4" w:themeFill="accent6" w:themeFillTint="66"/>
          </w:tcPr>
          <w:p w:rsidR="00EC4F97" w:rsidRPr="00032B45" w:rsidRDefault="00EC4F97" w:rsidP="00422AD9">
            <w:pPr>
              <w:spacing w:after="0"/>
              <w:ind w:firstLine="0"/>
              <w:jc w:val="center"/>
              <w:rPr>
                <w:rFonts w:ascii="Arial" w:hAnsi="Arial" w:cs="Arial"/>
                <w:bCs/>
                <w:color w:val="000000"/>
                <w:sz w:val="18"/>
                <w:szCs w:val="18"/>
                <w:lang w:val="es-ES" w:eastAsia="es-ES"/>
              </w:rPr>
            </w:pPr>
          </w:p>
        </w:tc>
        <w:tc>
          <w:tcPr>
            <w:tcW w:w="291" w:type="pct"/>
            <w:tcBorders>
              <w:top w:val="single" w:sz="4" w:space="0" w:color="auto"/>
              <w:bottom w:val="single" w:sz="4" w:space="0" w:color="auto"/>
            </w:tcBorders>
            <w:shd w:val="clear" w:color="auto" w:fill="FBD4B4" w:themeFill="accent6" w:themeFillTint="66"/>
            <w:noWrap/>
            <w:vAlign w:val="bottom"/>
          </w:tcPr>
          <w:p w:rsidR="00EC4F97" w:rsidRPr="00032B45" w:rsidRDefault="00EC4F97" w:rsidP="00422AD9">
            <w:pPr>
              <w:spacing w:after="0"/>
              <w:ind w:firstLine="0"/>
              <w:jc w:val="center"/>
              <w:rPr>
                <w:rFonts w:ascii="Arial" w:hAnsi="Arial" w:cs="Arial"/>
                <w:bCs/>
                <w:color w:val="000000"/>
                <w:sz w:val="18"/>
                <w:szCs w:val="18"/>
                <w:lang w:val="es-ES" w:eastAsia="es-ES"/>
              </w:rPr>
            </w:pPr>
            <w:r w:rsidRPr="00032B45">
              <w:rPr>
                <w:rFonts w:ascii="Arial" w:hAnsi="Arial" w:cs="Arial"/>
                <w:bCs/>
                <w:color w:val="000000"/>
                <w:sz w:val="18"/>
                <w:szCs w:val="18"/>
                <w:lang w:val="es-ES" w:eastAsia="es-ES"/>
              </w:rPr>
              <w:t>1</w:t>
            </w:r>
          </w:p>
        </w:tc>
        <w:tc>
          <w:tcPr>
            <w:tcW w:w="374" w:type="pct"/>
            <w:tcBorders>
              <w:top w:val="single" w:sz="4" w:space="0" w:color="auto"/>
              <w:bottom w:val="single" w:sz="4" w:space="0" w:color="auto"/>
            </w:tcBorders>
            <w:shd w:val="clear" w:color="auto" w:fill="FBD4B4" w:themeFill="accent6" w:themeFillTint="66"/>
            <w:noWrap/>
            <w:vAlign w:val="bottom"/>
          </w:tcPr>
          <w:p w:rsidR="00EC4F97" w:rsidRPr="00032B45" w:rsidRDefault="00EC4F97" w:rsidP="00422AD9">
            <w:pPr>
              <w:spacing w:after="0"/>
              <w:ind w:firstLine="0"/>
              <w:jc w:val="right"/>
              <w:rPr>
                <w:rFonts w:ascii="Arial" w:hAnsi="Arial" w:cs="Arial"/>
                <w:bCs/>
                <w:color w:val="000000"/>
                <w:sz w:val="18"/>
                <w:szCs w:val="18"/>
                <w:lang w:val="es-ES" w:eastAsia="es-ES"/>
              </w:rPr>
            </w:pPr>
            <w:r w:rsidRPr="00032B45">
              <w:rPr>
                <w:rFonts w:ascii="Arial" w:hAnsi="Arial" w:cs="Arial"/>
                <w:bCs/>
                <w:color w:val="000000"/>
                <w:sz w:val="18"/>
                <w:szCs w:val="18"/>
                <w:lang w:val="es-ES" w:eastAsia="es-ES"/>
              </w:rPr>
              <w:t>24</w:t>
            </w:r>
          </w:p>
        </w:tc>
        <w:tc>
          <w:tcPr>
            <w:tcW w:w="86" w:type="pct"/>
            <w:tcBorders>
              <w:top w:val="single" w:sz="4" w:space="0" w:color="auto"/>
              <w:bottom w:val="single" w:sz="4" w:space="0" w:color="auto"/>
            </w:tcBorders>
            <w:shd w:val="clear" w:color="auto" w:fill="FBD4B4" w:themeFill="accent6" w:themeFillTint="66"/>
          </w:tcPr>
          <w:p w:rsidR="00EC4F97" w:rsidRPr="00032B45" w:rsidRDefault="00EC4F97" w:rsidP="00422AD9">
            <w:pPr>
              <w:spacing w:after="0"/>
              <w:ind w:firstLine="0"/>
              <w:jc w:val="center"/>
              <w:rPr>
                <w:rFonts w:ascii="Arial" w:hAnsi="Arial" w:cs="Arial"/>
                <w:bCs/>
                <w:color w:val="000000"/>
                <w:sz w:val="18"/>
                <w:szCs w:val="18"/>
                <w:lang w:val="es-ES" w:eastAsia="es-ES"/>
              </w:rPr>
            </w:pPr>
          </w:p>
        </w:tc>
        <w:tc>
          <w:tcPr>
            <w:tcW w:w="284" w:type="pct"/>
            <w:tcBorders>
              <w:top w:val="single" w:sz="4" w:space="0" w:color="auto"/>
              <w:bottom w:val="single" w:sz="4" w:space="0" w:color="auto"/>
            </w:tcBorders>
            <w:shd w:val="clear" w:color="auto" w:fill="FBD4B4" w:themeFill="accent6" w:themeFillTint="66"/>
            <w:vAlign w:val="bottom"/>
          </w:tcPr>
          <w:p w:rsidR="00EC4F97" w:rsidRPr="00032B45" w:rsidRDefault="00EC4F97" w:rsidP="00422AD9">
            <w:pPr>
              <w:spacing w:after="0"/>
              <w:ind w:firstLine="0"/>
              <w:jc w:val="center"/>
              <w:rPr>
                <w:rFonts w:ascii="Arial" w:hAnsi="Arial" w:cs="Arial"/>
                <w:bCs/>
                <w:color w:val="000000"/>
                <w:sz w:val="18"/>
                <w:szCs w:val="18"/>
                <w:lang w:val="es-ES" w:eastAsia="es-ES"/>
              </w:rPr>
            </w:pPr>
            <w:r w:rsidRPr="00032B45">
              <w:rPr>
                <w:rFonts w:ascii="Arial" w:hAnsi="Arial" w:cs="Arial"/>
                <w:bCs/>
                <w:color w:val="000000"/>
                <w:sz w:val="18"/>
                <w:szCs w:val="18"/>
                <w:lang w:val="es-ES" w:eastAsia="es-ES"/>
              </w:rPr>
              <w:t>30</w:t>
            </w:r>
          </w:p>
        </w:tc>
        <w:tc>
          <w:tcPr>
            <w:tcW w:w="524" w:type="pct"/>
            <w:tcBorders>
              <w:top w:val="single" w:sz="4" w:space="0" w:color="auto"/>
              <w:bottom w:val="single" w:sz="4" w:space="0" w:color="auto"/>
            </w:tcBorders>
            <w:shd w:val="clear" w:color="auto" w:fill="FBD4B4" w:themeFill="accent6" w:themeFillTint="66"/>
            <w:noWrap/>
            <w:vAlign w:val="bottom"/>
          </w:tcPr>
          <w:p w:rsidR="00EC4F97" w:rsidRPr="00032B45" w:rsidRDefault="00EC4F97" w:rsidP="00422AD9">
            <w:pPr>
              <w:spacing w:after="0"/>
              <w:ind w:firstLine="0"/>
              <w:jc w:val="right"/>
              <w:rPr>
                <w:rFonts w:ascii="Arial" w:hAnsi="Arial" w:cs="Arial"/>
                <w:bCs/>
                <w:color w:val="000000"/>
                <w:sz w:val="18"/>
                <w:szCs w:val="18"/>
                <w:lang w:val="es-ES" w:eastAsia="es-ES"/>
              </w:rPr>
            </w:pPr>
            <w:r w:rsidRPr="00032B45">
              <w:rPr>
                <w:rFonts w:ascii="Arial" w:hAnsi="Arial" w:cs="Arial"/>
                <w:bCs/>
                <w:color w:val="000000"/>
                <w:sz w:val="18"/>
                <w:szCs w:val="18"/>
                <w:lang w:val="es-ES" w:eastAsia="es-ES"/>
              </w:rPr>
              <w:t>3.868.798</w:t>
            </w:r>
          </w:p>
        </w:tc>
        <w:tc>
          <w:tcPr>
            <w:tcW w:w="105" w:type="pct"/>
            <w:tcBorders>
              <w:top w:val="single" w:sz="4" w:space="0" w:color="auto"/>
              <w:bottom w:val="single" w:sz="4" w:space="0" w:color="auto"/>
            </w:tcBorders>
            <w:shd w:val="clear" w:color="auto" w:fill="FBD4B4" w:themeFill="accent6" w:themeFillTint="66"/>
          </w:tcPr>
          <w:p w:rsidR="00EC4F97" w:rsidRPr="00032B45" w:rsidRDefault="00EC4F97" w:rsidP="00422AD9">
            <w:pPr>
              <w:spacing w:after="0"/>
              <w:ind w:firstLine="0"/>
              <w:jc w:val="center"/>
              <w:rPr>
                <w:rFonts w:ascii="Arial" w:hAnsi="Arial" w:cs="Arial"/>
                <w:bCs/>
                <w:color w:val="000000"/>
                <w:sz w:val="18"/>
                <w:szCs w:val="18"/>
                <w:lang w:val="es-ES" w:eastAsia="es-ES"/>
              </w:rPr>
            </w:pPr>
          </w:p>
        </w:tc>
        <w:tc>
          <w:tcPr>
            <w:tcW w:w="386" w:type="pct"/>
            <w:tcBorders>
              <w:top w:val="single" w:sz="4" w:space="0" w:color="auto"/>
              <w:bottom w:val="single" w:sz="4" w:space="0" w:color="auto"/>
            </w:tcBorders>
            <w:shd w:val="clear" w:color="auto" w:fill="FBD4B4" w:themeFill="accent6" w:themeFillTint="66"/>
            <w:noWrap/>
            <w:vAlign w:val="bottom"/>
          </w:tcPr>
          <w:p w:rsidR="00EC4F97" w:rsidRPr="00032B45" w:rsidRDefault="00EC4F97" w:rsidP="00422AD9">
            <w:pPr>
              <w:spacing w:after="0"/>
              <w:ind w:firstLine="0"/>
              <w:jc w:val="center"/>
              <w:rPr>
                <w:rFonts w:ascii="Arial" w:hAnsi="Arial" w:cs="Arial"/>
                <w:bCs/>
                <w:color w:val="000000"/>
                <w:sz w:val="18"/>
                <w:szCs w:val="18"/>
                <w:lang w:val="es-ES" w:eastAsia="es-ES"/>
              </w:rPr>
            </w:pPr>
            <w:r w:rsidRPr="00032B45">
              <w:rPr>
                <w:rFonts w:ascii="Arial" w:hAnsi="Arial" w:cs="Arial"/>
                <w:bCs/>
                <w:color w:val="000000"/>
                <w:sz w:val="18"/>
                <w:szCs w:val="18"/>
                <w:lang w:val="es-ES" w:eastAsia="es-ES"/>
              </w:rPr>
              <w:t>350</w:t>
            </w:r>
          </w:p>
        </w:tc>
        <w:tc>
          <w:tcPr>
            <w:tcW w:w="470" w:type="pct"/>
            <w:tcBorders>
              <w:top w:val="single" w:sz="4" w:space="0" w:color="auto"/>
              <w:bottom w:val="single" w:sz="4" w:space="0" w:color="auto"/>
            </w:tcBorders>
            <w:shd w:val="clear" w:color="auto" w:fill="FBD4B4" w:themeFill="accent6" w:themeFillTint="66"/>
            <w:noWrap/>
            <w:vAlign w:val="bottom"/>
          </w:tcPr>
          <w:p w:rsidR="00EC4F97" w:rsidRPr="00032B45" w:rsidRDefault="00EC4F97" w:rsidP="00422AD9">
            <w:pPr>
              <w:spacing w:after="0"/>
              <w:ind w:firstLine="0"/>
              <w:jc w:val="right"/>
              <w:rPr>
                <w:rFonts w:ascii="Arial" w:hAnsi="Arial" w:cs="Arial"/>
                <w:bCs/>
                <w:color w:val="000000"/>
                <w:sz w:val="18"/>
                <w:szCs w:val="18"/>
                <w:lang w:val="es-ES" w:eastAsia="es-ES"/>
              </w:rPr>
            </w:pPr>
            <w:r w:rsidRPr="00032B45">
              <w:rPr>
                <w:rFonts w:ascii="Arial" w:hAnsi="Arial" w:cs="Arial"/>
                <w:bCs/>
                <w:color w:val="000000"/>
                <w:sz w:val="18"/>
                <w:szCs w:val="18"/>
                <w:lang w:val="es-ES" w:eastAsia="es-ES"/>
              </w:rPr>
              <w:t>39.057</w:t>
            </w:r>
          </w:p>
        </w:tc>
      </w:tr>
    </w:tbl>
    <w:p w:rsidR="00EC4F97" w:rsidRPr="00783D29" w:rsidRDefault="00EC4F97" w:rsidP="00EC4F97">
      <w:pPr>
        <w:pStyle w:val="texto"/>
        <w:spacing w:before="240"/>
        <w:rPr>
          <w:w w:val="103"/>
        </w:rPr>
      </w:pPr>
      <w:r w:rsidRPr="00783D29">
        <w:rPr>
          <w:w w:val="103"/>
        </w:rPr>
        <w:t>En 2017, las entidades locales adjudicaron 350 contratos por un importe total de 39,06 millones. El 43 por ciento de los contratos son de asistencia y representan el 22 por ciento del importe total adjudicado. Los contratos de obras suponen el 35 por ciento del total de contratos, si bien su importe en este caso alcanza el 69 por ciento del total.</w:t>
      </w:r>
    </w:p>
    <w:p w:rsidR="00EC4F97" w:rsidRDefault="00EC4F97" w:rsidP="00EC4F97">
      <w:pPr>
        <w:pStyle w:val="texto"/>
        <w:spacing w:after="240"/>
      </w:pPr>
      <w:r w:rsidRPr="00783D29">
        <w:t>En 2017, los entes dependientes de las entidades locales adjudicaron los s</w:t>
      </w:r>
      <w:r w:rsidRPr="00783D29">
        <w:t>i</w:t>
      </w:r>
      <w:r w:rsidRPr="00783D29">
        <w:t>guientes contratos:</w:t>
      </w:r>
    </w:p>
    <w:p w:rsidR="00EC4F97" w:rsidRPr="00C12B66" w:rsidRDefault="00EC4F97" w:rsidP="00C12B66">
      <w:pPr>
        <w:pStyle w:val="texto"/>
        <w:spacing w:after="40"/>
        <w:ind w:right="-425"/>
        <w:jc w:val="right"/>
        <w:rPr>
          <w:sz w:val="20"/>
        </w:rPr>
      </w:pPr>
      <w:r w:rsidRPr="00C12B66">
        <w:rPr>
          <w:sz w:val="20"/>
        </w:rPr>
        <w:t>(en miles de euros)</w:t>
      </w:r>
    </w:p>
    <w:tbl>
      <w:tblPr>
        <w:tblW w:w="5319" w:type="pct"/>
        <w:tblInd w:w="-214" w:type="dxa"/>
        <w:tblLayout w:type="fixed"/>
        <w:tblCellMar>
          <w:left w:w="70" w:type="dxa"/>
          <w:right w:w="70" w:type="dxa"/>
        </w:tblCellMar>
        <w:tblLook w:val="04A0" w:firstRow="1" w:lastRow="0" w:firstColumn="1" w:lastColumn="0" w:noHBand="0" w:noVBand="1"/>
      </w:tblPr>
      <w:tblGrid>
        <w:gridCol w:w="1702"/>
        <w:gridCol w:w="851"/>
        <w:gridCol w:w="832"/>
        <w:gridCol w:w="160"/>
        <w:gridCol w:w="992"/>
        <w:gridCol w:w="851"/>
        <w:gridCol w:w="283"/>
        <w:gridCol w:w="849"/>
        <w:gridCol w:w="859"/>
        <w:gridCol w:w="283"/>
        <w:gridCol w:w="849"/>
        <w:gridCol w:w="988"/>
      </w:tblGrid>
      <w:tr w:rsidR="00606DBE" w:rsidRPr="00D24F2B" w:rsidTr="00606DBE">
        <w:trPr>
          <w:trHeight w:val="255"/>
        </w:trPr>
        <w:tc>
          <w:tcPr>
            <w:tcW w:w="896" w:type="pct"/>
            <w:vMerge w:val="restart"/>
            <w:tcBorders>
              <w:top w:val="single" w:sz="4" w:space="0" w:color="auto"/>
              <w:left w:val="nil"/>
              <w:bottom w:val="single" w:sz="4" w:space="0" w:color="000000"/>
            </w:tcBorders>
            <w:shd w:val="clear" w:color="auto" w:fill="FBD4B4" w:themeFill="accent6" w:themeFillTint="66"/>
            <w:noWrap/>
            <w:vAlign w:val="center"/>
            <w:hideMark/>
          </w:tcPr>
          <w:p w:rsidR="00F53537" w:rsidRPr="0039148F" w:rsidRDefault="00F53537" w:rsidP="00422AD9">
            <w:pPr>
              <w:spacing w:after="0"/>
              <w:ind w:firstLine="0"/>
              <w:jc w:val="left"/>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Tipo de contrato</w:t>
            </w:r>
          </w:p>
        </w:tc>
        <w:tc>
          <w:tcPr>
            <w:tcW w:w="886" w:type="pct"/>
            <w:gridSpan w:val="2"/>
            <w:tcBorders>
              <w:top w:val="single" w:sz="4" w:space="0" w:color="auto"/>
              <w:bottom w:val="single" w:sz="4" w:space="0" w:color="auto"/>
            </w:tcBorders>
            <w:shd w:val="clear" w:color="auto" w:fill="FBD4B4" w:themeFill="accent6" w:themeFillTint="66"/>
            <w:noWrap/>
            <w:vAlign w:val="center"/>
            <w:hideMark/>
          </w:tcPr>
          <w:p w:rsidR="00F53537" w:rsidRPr="0039148F" w:rsidRDefault="00F53537" w:rsidP="00422AD9">
            <w:pPr>
              <w:spacing w:after="0"/>
              <w:ind w:firstLine="0"/>
              <w:jc w:val="center"/>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O</w:t>
            </w:r>
            <w:r>
              <w:rPr>
                <w:rFonts w:ascii="Arial" w:hAnsi="Arial" w:cs="Arial"/>
                <w:bCs/>
                <w:color w:val="000000"/>
                <w:sz w:val="18"/>
                <w:szCs w:val="18"/>
                <w:lang w:val="es-ES" w:eastAsia="es-ES"/>
              </w:rPr>
              <w:t>O.AA.</w:t>
            </w:r>
          </w:p>
        </w:tc>
        <w:tc>
          <w:tcPr>
            <w:tcW w:w="84" w:type="pct"/>
            <w:tcBorders>
              <w:top w:val="single" w:sz="4" w:space="0" w:color="auto"/>
            </w:tcBorders>
            <w:shd w:val="clear" w:color="auto" w:fill="FBD4B4" w:themeFill="accent6" w:themeFillTint="66"/>
          </w:tcPr>
          <w:p w:rsidR="00F53537" w:rsidRPr="0039148F" w:rsidRDefault="00F53537" w:rsidP="00422AD9">
            <w:pPr>
              <w:spacing w:after="0"/>
              <w:ind w:firstLine="0"/>
              <w:jc w:val="center"/>
              <w:rPr>
                <w:rFonts w:ascii="Arial" w:hAnsi="Arial" w:cs="Arial"/>
                <w:bCs/>
                <w:color w:val="000000"/>
                <w:sz w:val="18"/>
                <w:szCs w:val="18"/>
                <w:lang w:val="es-ES" w:eastAsia="es-ES"/>
              </w:rPr>
            </w:pPr>
          </w:p>
        </w:tc>
        <w:tc>
          <w:tcPr>
            <w:tcW w:w="970" w:type="pct"/>
            <w:gridSpan w:val="2"/>
            <w:tcBorders>
              <w:top w:val="single" w:sz="4" w:space="0" w:color="auto"/>
              <w:bottom w:val="single" w:sz="4" w:space="0" w:color="auto"/>
            </w:tcBorders>
            <w:shd w:val="clear" w:color="auto" w:fill="FBD4B4" w:themeFill="accent6" w:themeFillTint="66"/>
            <w:noWrap/>
            <w:vAlign w:val="center"/>
            <w:hideMark/>
          </w:tcPr>
          <w:p w:rsidR="00F53537" w:rsidRPr="0039148F" w:rsidRDefault="00F53537" w:rsidP="00422AD9">
            <w:pPr>
              <w:spacing w:after="0"/>
              <w:ind w:firstLine="0"/>
              <w:jc w:val="center"/>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S</w:t>
            </w:r>
            <w:r>
              <w:rPr>
                <w:rFonts w:ascii="Arial" w:hAnsi="Arial" w:cs="Arial"/>
                <w:bCs/>
                <w:color w:val="000000"/>
                <w:sz w:val="18"/>
                <w:szCs w:val="18"/>
                <w:lang w:val="es-ES" w:eastAsia="es-ES"/>
              </w:rPr>
              <w:t>ocied. Públicas</w:t>
            </w:r>
          </w:p>
        </w:tc>
        <w:tc>
          <w:tcPr>
            <w:tcW w:w="149" w:type="pct"/>
            <w:tcBorders>
              <w:top w:val="single" w:sz="4" w:space="0" w:color="auto"/>
            </w:tcBorders>
            <w:shd w:val="clear" w:color="auto" w:fill="FBD4B4" w:themeFill="accent6" w:themeFillTint="66"/>
          </w:tcPr>
          <w:p w:rsidR="00F53537" w:rsidRPr="0039148F" w:rsidRDefault="00F53537" w:rsidP="00422AD9">
            <w:pPr>
              <w:spacing w:after="0"/>
              <w:ind w:firstLine="0"/>
              <w:jc w:val="center"/>
              <w:rPr>
                <w:rFonts w:ascii="Arial" w:hAnsi="Arial" w:cs="Arial"/>
                <w:bCs/>
                <w:color w:val="000000"/>
                <w:sz w:val="18"/>
                <w:szCs w:val="18"/>
                <w:lang w:val="es-ES" w:eastAsia="es-ES"/>
              </w:rPr>
            </w:pPr>
          </w:p>
        </w:tc>
        <w:tc>
          <w:tcPr>
            <w:tcW w:w="899" w:type="pct"/>
            <w:gridSpan w:val="2"/>
            <w:tcBorders>
              <w:top w:val="single" w:sz="4" w:space="0" w:color="auto"/>
              <w:bottom w:val="single" w:sz="4" w:space="0" w:color="auto"/>
            </w:tcBorders>
            <w:shd w:val="clear" w:color="auto" w:fill="FBD4B4" w:themeFill="accent6" w:themeFillTint="66"/>
            <w:noWrap/>
            <w:vAlign w:val="center"/>
            <w:hideMark/>
          </w:tcPr>
          <w:p w:rsidR="00F53537" w:rsidRPr="0039148F" w:rsidRDefault="00F53537" w:rsidP="00422AD9">
            <w:pPr>
              <w:spacing w:after="0"/>
              <w:ind w:firstLine="0"/>
              <w:jc w:val="center"/>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F</w:t>
            </w:r>
            <w:r>
              <w:rPr>
                <w:rFonts w:ascii="Arial" w:hAnsi="Arial" w:cs="Arial"/>
                <w:bCs/>
                <w:color w:val="000000"/>
                <w:sz w:val="18"/>
                <w:szCs w:val="18"/>
                <w:lang w:val="es-ES" w:eastAsia="es-ES"/>
              </w:rPr>
              <w:t>undaciones</w:t>
            </w:r>
          </w:p>
        </w:tc>
        <w:tc>
          <w:tcPr>
            <w:tcW w:w="149" w:type="pct"/>
            <w:tcBorders>
              <w:top w:val="single" w:sz="4" w:space="0" w:color="auto"/>
            </w:tcBorders>
            <w:shd w:val="clear" w:color="auto" w:fill="FBD4B4" w:themeFill="accent6" w:themeFillTint="66"/>
          </w:tcPr>
          <w:p w:rsidR="00F53537" w:rsidRPr="00F53537" w:rsidRDefault="00F53537" w:rsidP="00422AD9">
            <w:pPr>
              <w:spacing w:after="0"/>
              <w:ind w:firstLine="0"/>
              <w:jc w:val="center"/>
              <w:rPr>
                <w:rFonts w:ascii="Arial" w:hAnsi="Arial" w:cs="Arial"/>
                <w:bCs/>
                <w:color w:val="000000"/>
                <w:sz w:val="18"/>
                <w:szCs w:val="18"/>
                <w:lang w:val="es-ES" w:eastAsia="es-ES"/>
              </w:rPr>
            </w:pPr>
          </w:p>
        </w:tc>
        <w:tc>
          <w:tcPr>
            <w:tcW w:w="967" w:type="pct"/>
            <w:gridSpan w:val="2"/>
            <w:tcBorders>
              <w:top w:val="single" w:sz="4" w:space="0" w:color="auto"/>
              <w:bottom w:val="single" w:sz="4" w:space="0" w:color="auto"/>
            </w:tcBorders>
            <w:shd w:val="clear" w:color="auto" w:fill="FBD4B4" w:themeFill="accent6" w:themeFillTint="66"/>
            <w:noWrap/>
            <w:vAlign w:val="center"/>
            <w:hideMark/>
          </w:tcPr>
          <w:p w:rsidR="00F53537" w:rsidRPr="0039148F" w:rsidRDefault="00F53537" w:rsidP="00422AD9">
            <w:pPr>
              <w:spacing w:after="0"/>
              <w:ind w:firstLine="0"/>
              <w:jc w:val="center"/>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TOTAL</w:t>
            </w:r>
          </w:p>
        </w:tc>
      </w:tr>
      <w:tr w:rsidR="00606DBE" w:rsidRPr="00D24F2B" w:rsidTr="00606DBE">
        <w:trPr>
          <w:trHeight w:val="340"/>
        </w:trPr>
        <w:tc>
          <w:tcPr>
            <w:tcW w:w="896" w:type="pct"/>
            <w:vMerge/>
            <w:tcBorders>
              <w:top w:val="single" w:sz="4" w:space="0" w:color="auto"/>
              <w:left w:val="nil"/>
              <w:bottom w:val="single" w:sz="4" w:space="0" w:color="000000"/>
            </w:tcBorders>
            <w:vAlign w:val="center"/>
            <w:hideMark/>
          </w:tcPr>
          <w:p w:rsidR="00F53537" w:rsidRPr="0039148F" w:rsidRDefault="00F53537" w:rsidP="00422AD9">
            <w:pPr>
              <w:spacing w:after="0"/>
              <w:ind w:firstLine="0"/>
              <w:jc w:val="left"/>
              <w:rPr>
                <w:rFonts w:ascii="Arial" w:hAnsi="Arial" w:cs="Arial"/>
                <w:bCs/>
                <w:color w:val="000000"/>
                <w:sz w:val="18"/>
                <w:szCs w:val="18"/>
                <w:lang w:val="es-ES" w:eastAsia="es-ES"/>
              </w:rPr>
            </w:pPr>
          </w:p>
        </w:tc>
        <w:tc>
          <w:tcPr>
            <w:tcW w:w="448" w:type="pct"/>
            <w:tcBorders>
              <w:top w:val="single" w:sz="4" w:space="0" w:color="auto"/>
              <w:bottom w:val="single" w:sz="4" w:space="0" w:color="auto"/>
            </w:tcBorders>
            <w:shd w:val="clear" w:color="CCCCFF" w:fill="FBD4B4" w:themeFill="accent6" w:themeFillTint="66"/>
            <w:noWrap/>
            <w:vAlign w:val="center"/>
            <w:hideMark/>
          </w:tcPr>
          <w:p w:rsidR="00F53537" w:rsidRPr="0039148F" w:rsidRDefault="00F53537" w:rsidP="00422AD9">
            <w:pPr>
              <w:spacing w:after="0"/>
              <w:ind w:firstLine="0"/>
              <w:jc w:val="center"/>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Número</w:t>
            </w:r>
          </w:p>
        </w:tc>
        <w:tc>
          <w:tcPr>
            <w:tcW w:w="438" w:type="pct"/>
            <w:tcBorders>
              <w:top w:val="single" w:sz="4" w:space="0" w:color="auto"/>
              <w:bottom w:val="single" w:sz="4" w:space="0" w:color="auto"/>
            </w:tcBorders>
            <w:shd w:val="clear" w:color="CCCCFF" w:fill="FBD4B4" w:themeFill="accent6" w:themeFillTint="66"/>
            <w:vAlign w:val="center"/>
            <w:hideMark/>
          </w:tcPr>
          <w:p w:rsidR="00F53537" w:rsidRPr="0039148F" w:rsidRDefault="00F53537" w:rsidP="00422AD9">
            <w:pPr>
              <w:spacing w:after="0"/>
              <w:ind w:firstLine="0"/>
              <w:jc w:val="right"/>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 xml:space="preserve">Importe </w:t>
            </w:r>
          </w:p>
        </w:tc>
        <w:tc>
          <w:tcPr>
            <w:tcW w:w="84" w:type="pct"/>
            <w:tcBorders>
              <w:bottom w:val="single" w:sz="4" w:space="0" w:color="auto"/>
            </w:tcBorders>
            <w:shd w:val="clear" w:color="CCCCFF" w:fill="FBD4B4" w:themeFill="accent6" w:themeFillTint="66"/>
          </w:tcPr>
          <w:p w:rsidR="00F53537" w:rsidRPr="0039148F" w:rsidRDefault="00F53537" w:rsidP="00422AD9">
            <w:pPr>
              <w:spacing w:after="0"/>
              <w:ind w:firstLine="0"/>
              <w:jc w:val="center"/>
              <w:rPr>
                <w:rFonts w:ascii="Arial" w:hAnsi="Arial" w:cs="Arial"/>
                <w:bCs/>
                <w:color w:val="000000"/>
                <w:sz w:val="18"/>
                <w:szCs w:val="18"/>
                <w:lang w:val="es-ES" w:eastAsia="es-ES"/>
              </w:rPr>
            </w:pPr>
          </w:p>
        </w:tc>
        <w:tc>
          <w:tcPr>
            <w:tcW w:w="522" w:type="pct"/>
            <w:tcBorders>
              <w:top w:val="single" w:sz="4" w:space="0" w:color="auto"/>
              <w:bottom w:val="single" w:sz="4" w:space="0" w:color="auto"/>
            </w:tcBorders>
            <w:shd w:val="clear" w:color="CCCCFF" w:fill="FBD4B4" w:themeFill="accent6" w:themeFillTint="66"/>
            <w:noWrap/>
            <w:vAlign w:val="center"/>
            <w:hideMark/>
          </w:tcPr>
          <w:p w:rsidR="00F53537" w:rsidRPr="0039148F" w:rsidRDefault="00F53537" w:rsidP="00422AD9">
            <w:pPr>
              <w:spacing w:after="0"/>
              <w:ind w:firstLine="0"/>
              <w:jc w:val="center"/>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Número</w:t>
            </w:r>
          </w:p>
        </w:tc>
        <w:tc>
          <w:tcPr>
            <w:tcW w:w="448" w:type="pct"/>
            <w:tcBorders>
              <w:top w:val="single" w:sz="4" w:space="0" w:color="auto"/>
              <w:bottom w:val="single" w:sz="4" w:space="0" w:color="auto"/>
            </w:tcBorders>
            <w:shd w:val="clear" w:color="CCCCFF" w:fill="FBD4B4" w:themeFill="accent6" w:themeFillTint="66"/>
            <w:vAlign w:val="center"/>
            <w:hideMark/>
          </w:tcPr>
          <w:p w:rsidR="00F53537" w:rsidRPr="0039148F" w:rsidRDefault="00F53537" w:rsidP="00422AD9">
            <w:pPr>
              <w:spacing w:after="0"/>
              <w:ind w:firstLine="0"/>
              <w:jc w:val="right"/>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 xml:space="preserve">Importe </w:t>
            </w:r>
          </w:p>
        </w:tc>
        <w:tc>
          <w:tcPr>
            <w:tcW w:w="149" w:type="pct"/>
            <w:tcBorders>
              <w:bottom w:val="single" w:sz="4" w:space="0" w:color="auto"/>
            </w:tcBorders>
            <w:shd w:val="clear" w:color="CCCCFF" w:fill="FBD4B4" w:themeFill="accent6" w:themeFillTint="66"/>
          </w:tcPr>
          <w:p w:rsidR="00F53537" w:rsidRPr="0039148F" w:rsidRDefault="00F53537" w:rsidP="00422AD9">
            <w:pPr>
              <w:spacing w:after="0"/>
              <w:ind w:firstLine="0"/>
              <w:jc w:val="center"/>
              <w:rPr>
                <w:rFonts w:ascii="Arial" w:hAnsi="Arial" w:cs="Arial"/>
                <w:bCs/>
                <w:color w:val="000000"/>
                <w:sz w:val="18"/>
                <w:szCs w:val="18"/>
                <w:lang w:val="es-ES" w:eastAsia="es-ES"/>
              </w:rPr>
            </w:pPr>
          </w:p>
        </w:tc>
        <w:tc>
          <w:tcPr>
            <w:tcW w:w="447" w:type="pct"/>
            <w:tcBorders>
              <w:top w:val="single" w:sz="4" w:space="0" w:color="auto"/>
              <w:bottom w:val="single" w:sz="4" w:space="0" w:color="auto"/>
            </w:tcBorders>
            <w:shd w:val="clear" w:color="CCCCFF" w:fill="FBD4B4" w:themeFill="accent6" w:themeFillTint="66"/>
            <w:noWrap/>
            <w:vAlign w:val="center"/>
            <w:hideMark/>
          </w:tcPr>
          <w:p w:rsidR="00F53537" w:rsidRPr="0039148F" w:rsidRDefault="00F53537" w:rsidP="00422AD9">
            <w:pPr>
              <w:spacing w:after="0"/>
              <w:ind w:firstLine="0"/>
              <w:jc w:val="center"/>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Número</w:t>
            </w:r>
          </w:p>
        </w:tc>
        <w:tc>
          <w:tcPr>
            <w:tcW w:w="452" w:type="pct"/>
            <w:tcBorders>
              <w:top w:val="single" w:sz="4" w:space="0" w:color="auto"/>
              <w:bottom w:val="single" w:sz="4" w:space="0" w:color="auto"/>
            </w:tcBorders>
            <w:shd w:val="clear" w:color="CCCCFF" w:fill="FBD4B4" w:themeFill="accent6" w:themeFillTint="66"/>
            <w:vAlign w:val="center"/>
            <w:hideMark/>
          </w:tcPr>
          <w:p w:rsidR="00F53537" w:rsidRPr="0039148F" w:rsidRDefault="00F53537" w:rsidP="00422AD9">
            <w:pPr>
              <w:spacing w:after="0"/>
              <w:ind w:left="-149" w:firstLine="0"/>
              <w:jc w:val="right"/>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Importe</w:t>
            </w:r>
          </w:p>
        </w:tc>
        <w:tc>
          <w:tcPr>
            <w:tcW w:w="149" w:type="pct"/>
            <w:tcBorders>
              <w:bottom w:val="single" w:sz="4" w:space="0" w:color="auto"/>
            </w:tcBorders>
            <w:shd w:val="clear" w:color="CCCCFF" w:fill="FBD4B4" w:themeFill="accent6" w:themeFillTint="66"/>
          </w:tcPr>
          <w:p w:rsidR="00F53537" w:rsidRPr="00F53537" w:rsidRDefault="00F53537" w:rsidP="00422AD9">
            <w:pPr>
              <w:spacing w:after="0"/>
              <w:ind w:firstLine="0"/>
              <w:jc w:val="center"/>
              <w:rPr>
                <w:rFonts w:ascii="Arial" w:hAnsi="Arial" w:cs="Arial"/>
                <w:bCs/>
                <w:color w:val="000000"/>
                <w:sz w:val="18"/>
                <w:szCs w:val="18"/>
                <w:lang w:val="es-ES" w:eastAsia="es-ES"/>
              </w:rPr>
            </w:pPr>
          </w:p>
        </w:tc>
        <w:tc>
          <w:tcPr>
            <w:tcW w:w="447" w:type="pct"/>
            <w:tcBorders>
              <w:top w:val="single" w:sz="4" w:space="0" w:color="auto"/>
              <w:bottom w:val="single" w:sz="4" w:space="0" w:color="auto"/>
            </w:tcBorders>
            <w:shd w:val="clear" w:color="CCCCFF" w:fill="FBD4B4" w:themeFill="accent6" w:themeFillTint="66"/>
            <w:noWrap/>
            <w:vAlign w:val="center"/>
            <w:hideMark/>
          </w:tcPr>
          <w:p w:rsidR="00F53537" w:rsidRPr="0039148F" w:rsidRDefault="00F53537" w:rsidP="00422AD9">
            <w:pPr>
              <w:spacing w:after="0"/>
              <w:ind w:firstLine="0"/>
              <w:jc w:val="center"/>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Número</w:t>
            </w:r>
          </w:p>
        </w:tc>
        <w:tc>
          <w:tcPr>
            <w:tcW w:w="520" w:type="pct"/>
            <w:tcBorders>
              <w:top w:val="single" w:sz="4" w:space="0" w:color="auto"/>
              <w:bottom w:val="single" w:sz="4" w:space="0" w:color="auto"/>
            </w:tcBorders>
            <w:shd w:val="clear" w:color="CCCCFF" w:fill="FBD4B4" w:themeFill="accent6" w:themeFillTint="66"/>
            <w:vAlign w:val="center"/>
            <w:hideMark/>
          </w:tcPr>
          <w:p w:rsidR="00F53537" w:rsidRPr="0039148F" w:rsidRDefault="00F53537" w:rsidP="00422AD9">
            <w:pPr>
              <w:spacing w:after="0"/>
              <w:ind w:left="-101" w:firstLine="0"/>
              <w:jc w:val="right"/>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 xml:space="preserve">Importe </w:t>
            </w:r>
          </w:p>
        </w:tc>
      </w:tr>
      <w:tr w:rsidR="00606DBE" w:rsidRPr="00ED1BF9" w:rsidTr="00606DBE">
        <w:trPr>
          <w:trHeight w:val="255"/>
        </w:trPr>
        <w:tc>
          <w:tcPr>
            <w:tcW w:w="896" w:type="pct"/>
            <w:tcBorders>
              <w:top w:val="nil"/>
              <w:left w:val="nil"/>
              <w:bottom w:val="single" w:sz="4" w:space="0" w:color="auto"/>
            </w:tcBorders>
            <w:shd w:val="clear" w:color="auto" w:fill="auto"/>
            <w:noWrap/>
            <w:vAlign w:val="bottom"/>
            <w:hideMark/>
          </w:tcPr>
          <w:p w:rsidR="00F53537" w:rsidRPr="0039148F" w:rsidRDefault="00F53537" w:rsidP="00422AD9">
            <w:pPr>
              <w:spacing w:after="0"/>
              <w:ind w:firstLine="0"/>
              <w:jc w:val="lef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Asistencia</w:t>
            </w:r>
          </w:p>
        </w:tc>
        <w:tc>
          <w:tcPr>
            <w:tcW w:w="448"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center"/>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4</w:t>
            </w:r>
          </w:p>
        </w:tc>
        <w:tc>
          <w:tcPr>
            <w:tcW w:w="438"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righ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211</w:t>
            </w:r>
          </w:p>
        </w:tc>
        <w:tc>
          <w:tcPr>
            <w:tcW w:w="84" w:type="pct"/>
            <w:tcBorders>
              <w:top w:val="nil"/>
            </w:tcBorders>
          </w:tcPr>
          <w:p w:rsidR="00F53537" w:rsidRPr="0039148F" w:rsidRDefault="00F53537" w:rsidP="00422AD9">
            <w:pPr>
              <w:spacing w:after="0"/>
              <w:ind w:firstLine="0"/>
              <w:jc w:val="center"/>
              <w:rPr>
                <w:rFonts w:ascii="Arial Narrow" w:hAnsi="Arial Narrow" w:cs="Calibri"/>
                <w:color w:val="000000"/>
                <w:sz w:val="18"/>
                <w:szCs w:val="18"/>
                <w:lang w:val="es-ES" w:eastAsia="es-ES"/>
              </w:rPr>
            </w:pPr>
          </w:p>
        </w:tc>
        <w:tc>
          <w:tcPr>
            <w:tcW w:w="522"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center"/>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19</w:t>
            </w:r>
          </w:p>
        </w:tc>
        <w:tc>
          <w:tcPr>
            <w:tcW w:w="448"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righ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1.396</w:t>
            </w:r>
          </w:p>
        </w:tc>
        <w:tc>
          <w:tcPr>
            <w:tcW w:w="149" w:type="pct"/>
            <w:tcBorders>
              <w:top w:val="nil"/>
            </w:tcBorders>
          </w:tcPr>
          <w:p w:rsidR="00F53537" w:rsidRPr="0039148F" w:rsidRDefault="00F53537" w:rsidP="00422AD9">
            <w:pPr>
              <w:spacing w:after="0"/>
              <w:ind w:firstLine="0"/>
              <w:jc w:val="center"/>
              <w:rPr>
                <w:rFonts w:ascii="Arial Narrow" w:hAnsi="Arial Narrow" w:cs="Calibri"/>
                <w:color w:val="000000"/>
                <w:sz w:val="18"/>
                <w:szCs w:val="18"/>
                <w:lang w:val="es-ES" w:eastAsia="es-ES"/>
              </w:rPr>
            </w:pPr>
          </w:p>
        </w:tc>
        <w:tc>
          <w:tcPr>
            <w:tcW w:w="447"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center"/>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 </w:t>
            </w:r>
          </w:p>
        </w:tc>
        <w:tc>
          <w:tcPr>
            <w:tcW w:w="452"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righ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 </w:t>
            </w:r>
          </w:p>
        </w:tc>
        <w:tc>
          <w:tcPr>
            <w:tcW w:w="149" w:type="pct"/>
            <w:tcBorders>
              <w:top w:val="single" w:sz="4" w:space="0" w:color="auto"/>
            </w:tcBorders>
          </w:tcPr>
          <w:p w:rsidR="00F53537" w:rsidRPr="00F53537" w:rsidRDefault="00F53537" w:rsidP="00422AD9">
            <w:pPr>
              <w:spacing w:after="0"/>
              <w:ind w:firstLine="0"/>
              <w:jc w:val="center"/>
              <w:rPr>
                <w:rFonts w:ascii="Arial Narrow" w:hAnsi="Arial Narrow" w:cs="Calibri"/>
                <w:color w:val="000000"/>
                <w:sz w:val="18"/>
                <w:szCs w:val="18"/>
                <w:lang w:val="es-ES" w:eastAsia="es-ES"/>
              </w:rPr>
            </w:pPr>
          </w:p>
        </w:tc>
        <w:tc>
          <w:tcPr>
            <w:tcW w:w="447" w:type="pct"/>
            <w:tcBorders>
              <w:top w:val="single" w:sz="4" w:space="0" w:color="auto"/>
              <w:bottom w:val="single" w:sz="4" w:space="0" w:color="auto"/>
            </w:tcBorders>
            <w:shd w:val="clear" w:color="auto" w:fill="auto"/>
            <w:noWrap/>
            <w:vAlign w:val="bottom"/>
            <w:hideMark/>
          </w:tcPr>
          <w:p w:rsidR="00F53537" w:rsidRPr="0039148F" w:rsidRDefault="00F53537" w:rsidP="00422AD9">
            <w:pPr>
              <w:spacing w:after="0"/>
              <w:ind w:firstLine="0"/>
              <w:jc w:val="center"/>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23</w:t>
            </w:r>
          </w:p>
        </w:tc>
        <w:tc>
          <w:tcPr>
            <w:tcW w:w="520" w:type="pct"/>
            <w:tcBorders>
              <w:top w:val="nil"/>
              <w:bottom w:val="single" w:sz="4" w:space="0" w:color="auto"/>
              <w:right w:val="nil"/>
            </w:tcBorders>
            <w:shd w:val="clear" w:color="auto" w:fill="auto"/>
            <w:noWrap/>
            <w:vAlign w:val="bottom"/>
            <w:hideMark/>
          </w:tcPr>
          <w:p w:rsidR="00F53537" w:rsidRPr="0039148F" w:rsidRDefault="00F53537" w:rsidP="00422AD9">
            <w:pPr>
              <w:spacing w:after="0"/>
              <w:ind w:firstLine="0"/>
              <w:jc w:val="righ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1.607</w:t>
            </w:r>
          </w:p>
        </w:tc>
      </w:tr>
      <w:tr w:rsidR="00606DBE" w:rsidRPr="00ED1BF9" w:rsidTr="00606DBE">
        <w:trPr>
          <w:trHeight w:val="255"/>
        </w:trPr>
        <w:tc>
          <w:tcPr>
            <w:tcW w:w="896" w:type="pct"/>
            <w:tcBorders>
              <w:top w:val="nil"/>
              <w:left w:val="nil"/>
              <w:bottom w:val="single" w:sz="4" w:space="0" w:color="auto"/>
            </w:tcBorders>
            <w:shd w:val="clear" w:color="auto" w:fill="auto"/>
            <w:noWrap/>
            <w:vAlign w:val="bottom"/>
            <w:hideMark/>
          </w:tcPr>
          <w:p w:rsidR="00F53537" w:rsidRPr="0039148F" w:rsidRDefault="00F53537" w:rsidP="00422AD9">
            <w:pPr>
              <w:spacing w:after="0"/>
              <w:ind w:firstLine="0"/>
              <w:jc w:val="lef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Obras</w:t>
            </w:r>
          </w:p>
        </w:tc>
        <w:tc>
          <w:tcPr>
            <w:tcW w:w="448"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center"/>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3</w:t>
            </w:r>
          </w:p>
        </w:tc>
        <w:tc>
          <w:tcPr>
            <w:tcW w:w="438"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righ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428</w:t>
            </w:r>
          </w:p>
        </w:tc>
        <w:tc>
          <w:tcPr>
            <w:tcW w:w="84" w:type="pct"/>
            <w:tcBorders>
              <w:top w:val="nil"/>
            </w:tcBorders>
          </w:tcPr>
          <w:p w:rsidR="00F53537" w:rsidRPr="0039148F" w:rsidRDefault="00F53537" w:rsidP="00422AD9">
            <w:pPr>
              <w:spacing w:after="0"/>
              <w:ind w:firstLine="0"/>
              <w:jc w:val="center"/>
              <w:rPr>
                <w:rFonts w:ascii="Arial Narrow" w:hAnsi="Arial Narrow" w:cs="Calibri"/>
                <w:color w:val="000000"/>
                <w:sz w:val="18"/>
                <w:szCs w:val="18"/>
                <w:lang w:val="es-ES" w:eastAsia="es-ES"/>
              </w:rPr>
            </w:pPr>
          </w:p>
        </w:tc>
        <w:tc>
          <w:tcPr>
            <w:tcW w:w="522"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center"/>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17</w:t>
            </w:r>
          </w:p>
        </w:tc>
        <w:tc>
          <w:tcPr>
            <w:tcW w:w="448"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righ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4.886</w:t>
            </w:r>
          </w:p>
        </w:tc>
        <w:tc>
          <w:tcPr>
            <w:tcW w:w="149" w:type="pct"/>
            <w:tcBorders>
              <w:top w:val="nil"/>
            </w:tcBorders>
          </w:tcPr>
          <w:p w:rsidR="00F53537" w:rsidRPr="0039148F" w:rsidRDefault="00F53537" w:rsidP="00422AD9">
            <w:pPr>
              <w:spacing w:after="0"/>
              <w:ind w:firstLine="0"/>
              <w:jc w:val="center"/>
              <w:rPr>
                <w:rFonts w:ascii="Arial Narrow" w:hAnsi="Arial Narrow" w:cs="Calibri"/>
                <w:color w:val="000000"/>
                <w:sz w:val="18"/>
                <w:szCs w:val="18"/>
                <w:lang w:val="es-ES" w:eastAsia="es-ES"/>
              </w:rPr>
            </w:pPr>
          </w:p>
        </w:tc>
        <w:tc>
          <w:tcPr>
            <w:tcW w:w="447"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center"/>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1</w:t>
            </w:r>
          </w:p>
        </w:tc>
        <w:tc>
          <w:tcPr>
            <w:tcW w:w="452"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righ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232</w:t>
            </w:r>
          </w:p>
        </w:tc>
        <w:tc>
          <w:tcPr>
            <w:tcW w:w="149" w:type="pct"/>
          </w:tcPr>
          <w:p w:rsidR="00F53537" w:rsidRPr="0039148F" w:rsidRDefault="00F53537" w:rsidP="00422AD9">
            <w:pPr>
              <w:spacing w:after="0"/>
              <w:ind w:firstLine="0"/>
              <w:jc w:val="center"/>
              <w:rPr>
                <w:rFonts w:ascii="Arial Narrow" w:hAnsi="Arial Narrow" w:cs="Calibri"/>
                <w:color w:val="000000"/>
                <w:sz w:val="18"/>
                <w:szCs w:val="18"/>
                <w:lang w:val="es-ES" w:eastAsia="es-ES"/>
              </w:rPr>
            </w:pPr>
          </w:p>
        </w:tc>
        <w:tc>
          <w:tcPr>
            <w:tcW w:w="447" w:type="pct"/>
            <w:tcBorders>
              <w:top w:val="single" w:sz="4" w:space="0" w:color="auto"/>
              <w:bottom w:val="single" w:sz="4" w:space="0" w:color="auto"/>
            </w:tcBorders>
            <w:shd w:val="clear" w:color="auto" w:fill="auto"/>
            <w:noWrap/>
            <w:vAlign w:val="bottom"/>
            <w:hideMark/>
          </w:tcPr>
          <w:p w:rsidR="00F53537" w:rsidRPr="0039148F" w:rsidRDefault="00F53537" w:rsidP="00422AD9">
            <w:pPr>
              <w:spacing w:after="0"/>
              <w:ind w:firstLine="0"/>
              <w:jc w:val="center"/>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21</w:t>
            </w:r>
          </w:p>
        </w:tc>
        <w:tc>
          <w:tcPr>
            <w:tcW w:w="520" w:type="pct"/>
            <w:tcBorders>
              <w:top w:val="single" w:sz="4" w:space="0" w:color="auto"/>
              <w:bottom w:val="single" w:sz="4" w:space="0" w:color="auto"/>
              <w:right w:val="nil"/>
            </w:tcBorders>
            <w:shd w:val="clear" w:color="auto" w:fill="auto"/>
            <w:noWrap/>
            <w:vAlign w:val="bottom"/>
            <w:hideMark/>
          </w:tcPr>
          <w:p w:rsidR="00F53537" w:rsidRPr="0039148F" w:rsidRDefault="00F53537" w:rsidP="00422AD9">
            <w:pPr>
              <w:spacing w:after="0"/>
              <w:ind w:firstLine="0"/>
              <w:jc w:val="righ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5.546</w:t>
            </w:r>
          </w:p>
        </w:tc>
      </w:tr>
      <w:tr w:rsidR="00606DBE" w:rsidRPr="00ED1BF9" w:rsidTr="00606DBE">
        <w:trPr>
          <w:trHeight w:val="255"/>
        </w:trPr>
        <w:tc>
          <w:tcPr>
            <w:tcW w:w="896" w:type="pct"/>
            <w:tcBorders>
              <w:top w:val="nil"/>
              <w:left w:val="nil"/>
              <w:bottom w:val="single" w:sz="4" w:space="0" w:color="auto"/>
            </w:tcBorders>
            <w:shd w:val="clear" w:color="auto" w:fill="auto"/>
            <w:noWrap/>
            <w:vAlign w:val="bottom"/>
            <w:hideMark/>
          </w:tcPr>
          <w:p w:rsidR="00F53537" w:rsidRPr="0039148F" w:rsidRDefault="00F53537" w:rsidP="00422AD9">
            <w:pPr>
              <w:spacing w:after="0"/>
              <w:ind w:firstLine="0"/>
              <w:jc w:val="lef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Suministro</w:t>
            </w:r>
          </w:p>
        </w:tc>
        <w:tc>
          <w:tcPr>
            <w:tcW w:w="448"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center"/>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5</w:t>
            </w:r>
          </w:p>
        </w:tc>
        <w:tc>
          <w:tcPr>
            <w:tcW w:w="438"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righ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74</w:t>
            </w:r>
          </w:p>
        </w:tc>
        <w:tc>
          <w:tcPr>
            <w:tcW w:w="84" w:type="pct"/>
            <w:tcBorders>
              <w:top w:val="nil"/>
            </w:tcBorders>
          </w:tcPr>
          <w:p w:rsidR="00F53537" w:rsidRPr="0039148F" w:rsidRDefault="00F53537" w:rsidP="00422AD9">
            <w:pPr>
              <w:spacing w:after="0"/>
              <w:ind w:firstLine="0"/>
              <w:jc w:val="center"/>
              <w:rPr>
                <w:rFonts w:ascii="Arial Narrow" w:hAnsi="Arial Narrow" w:cs="Calibri"/>
                <w:color w:val="000000"/>
                <w:sz w:val="18"/>
                <w:szCs w:val="18"/>
                <w:lang w:val="es-ES" w:eastAsia="es-ES"/>
              </w:rPr>
            </w:pPr>
          </w:p>
        </w:tc>
        <w:tc>
          <w:tcPr>
            <w:tcW w:w="522"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center"/>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21</w:t>
            </w:r>
          </w:p>
        </w:tc>
        <w:tc>
          <w:tcPr>
            <w:tcW w:w="448"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righ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2.168</w:t>
            </w:r>
          </w:p>
        </w:tc>
        <w:tc>
          <w:tcPr>
            <w:tcW w:w="149" w:type="pct"/>
            <w:tcBorders>
              <w:top w:val="nil"/>
            </w:tcBorders>
          </w:tcPr>
          <w:p w:rsidR="00F53537" w:rsidRPr="0039148F" w:rsidRDefault="00F53537" w:rsidP="00422AD9">
            <w:pPr>
              <w:spacing w:after="0"/>
              <w:ind w:firstLine="0"/>
              <w:jc w:val="center"/>
              <w:rPr>
                <w:rFonts w:ascii="Arial Narrow" w:hAnsi="Arial Narrow" w:cs="Calibri"/>
                <w:color w:val="000000"/>
                <w:sz w:val="18"/>
                <w:szCs w:val="18"/>
                <w:lang w:val="es-ES" w:eastAsia="es-ES"/>
              </w:rPr>
            </w:pPr>
          </w:p>
        </w:tc>
        <w:tc>
          <w:tcPr>
            <w:tcW w:w="447" w:type="pct"/>
            <w:tcBorders>
              <w:top w:val="nil"/>
              <w:bottom w:val="single" w:sz="4" w:space="0" w:color="auto"/>
            </w:tcBorders>
            <w:shd w:val="clear" w:color="auto" w:fill="auto"/>
            <w:noWrap/>
            <w:vAlign w:val="bottom"/>
          </w:tcPr>
          <w:p w:rsidR="00F53537" w:rsidRPr="0039148F" w:rsidRDefault="00F53537" w:rsidP="00422AD9">
            <w:pPr>
              <w:spacing w:after="0"/>
              <w:ind w:firstLine="0"/>
              <w:jc w:val="center"/>
              <w:rPr>
                <w:rFonts w:ascii="Arial Narrow" w:hAnsi="Arial Narrow" w:cs="Calibri"/>
                <w:color w:val="000000"/>
                <w:sz w:val="18"/>
                <w:szCs w:val="18"/>
                <w:lang w:val="es-ES" w:eastAsia="es-ES"/>
              </w:rPr>
            </w:pPr>
          </w:p>
        </w:tc>
        <w:tc>
          <w:tcPr>
            <w:tcW w:w="452" w:type="pct"/>
            <w:tcBorders>
              <w:top w:val="nil"/>
              <w:bottom w:val="single" w:sz="4" w:space="0" w:color="auto"/>
            </w:tcBorders>
            <w:shd w:val="clear" w:color="auto" w:fill="auto"/>
            <w:noWrap/>
            <w:vAlign w:val="bottom"/>
          </w:tcPr>
          <w:p w:rsidR="00F53537" w:rsidRPr="0039148F" w:rsidRDefault="00F53537" w:rsidP="00422AD9">
            <w:pPr>
              <w:spacing w:after="0"/>
              <w:ind w:firstLine="0"/>
              <w:jc w:val="right"/>
              <w:rPr>
                <w:rFonts w:ascii="Arial Narrow" w:hAnsi="Arial Narrow" w:cs="Calibri"/>
                <w:color w:val="000000"/>
                <w:sz w:val="18"/>
                <w:szCs w:val="18"/>
                <w:lang w:val="es-ES" w:eastAsia="es-ES"/>
              </w:rPr>
            </w:pPr>
          </w:p>
        </w:tc>
        <w:tc>
          <w:tcPr>
            <w:tcW w:w="149" w:type="pct"/>
          </w:tcPr>
          <w:p w:rsidR="00F53537" w:rsidRPr="0039148F" w:rsidRDefault="00F53537" w:rsidP="00422AD9">
            <w:pPr>
              <w:spacing w:after="0"/>
              <w:ind w:firstLine="0"/>
              <w:jc w:val="center"/>
              <w:rPr>
                <w:rFonts w:ascii="Arial Narrow" w:hAnsi="Arial Narrow" w:cs="Calibri"/>
                <w:color w:val="000000"/>
                <w:sz w:val="18"/>
                <w:szCs w:val="18"/>
                <w:lang w:val="es-ES" w:eastAsia="es-ES"/>
              </w:rPr>
            </w:pPr>
          </w:p>
        </w:tc>
        <w:tc>
          <w:tcPr>
            <w:tcW w:w="447" w:type="pct"/>
            <w:tcBorders>
              <w:top w:val="single" w:sz="4" w:space="0" w:color="auto"/>
              <w:bottom w:val="single" w:sz="4" w:space="0" w:color="auto"/>
            </w:tcBorders>
            <w:shd w:val="clear" w:color="auto" w:fill="auto"/>
            <w:noWrap/>
            <w:vAlign w:val="bottom"/>
            <w:hideMark/>
          </w:tcPr>
          <w:p w:rsidR="00F53537" w:rsidRPr="0039148F" w:rsidRDefault="00F53537" w:rsidP="00422AD9">
            <w:pPr>
              <w:spacing w:after="0"/>
              <w:ind w:firstLine="0"/>
              <w:jc w:val="center"/>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26</w:t>
            </w:r>
          </w:p>
        </w:tc>
        <w:tc>
          <w:tcPr>
            <w:tcW w:w="520" w:type="pct"/>
            <w:tcBorders>
              <w:top w:val="single" w:sz="4" w:space="0" w:color="auto"/>
              <w:bottom w:val="single" w:sz="4" w:space="0" w:color="auto"/>
              <w:right w:val="nil"/>
            </w:tcBorders>
            <w:shd w:val="clear" w:color="auto" w:fill="auto"/>
            <w:noWrap/>
            <w:vAlign w:val="bottom"/>
            <w:hideMark/>
          </w:tcPr>
          <w:p w:rsidR="00F53537" w:rsidRPr="0039148F" w:rsidRDefault="00F53537" w:rsidP="00422AD9">
            <w:pPr>
              <w:spacing w:after="0"/>
              <w:ind w:firstLine="0"/>
              <w:jc w:val="righ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2.242</w:t>
            </w:r>
          </w:p>
        </w:tc>
      </w:tr>
      <w:tr w:rsidR="00606DBE" w:rsidRPr="00ED1BF9" w:rsidTr="00606DBE">
        <w:trPr>
          <w:trHeight w:val="255"/>
        </w:trPr>
        <w:tc>
          <w:tcPr>
            <w:tcW w:w="896" w:type="pct"/>
            <w:tcBorders>
              <w:top w:val="nil"/>
              <w:left w:val="nil"/>
              <w:bottom w:val="single" w:sz="4" w:space="0" w:color="auto"/>
            </w:tcBorders>
            <w:shd w:val="clear" w:color="auto" w:fill="auto"/>
            <w:noWrap/>
            <w:vAlign w:val="bottom"/>
            <w:hideMark/>
          </w:tcPr>
          <w:p w:rsidR="00F53537" w:rsidRPr="0039148F" w:rsidRDefault="00F53537" w:rsidP="00422AD9">
            <w:pPr>
              <w:spacing w:after="0"/>
              <w:ind w:firstLine="0"/>
              <w:jc w:val="lef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Concesión de servicios</w:t>
            </w:r>
          </w:p>
        </w:tc>
        <w:tc>
          <w:tcPr>
            <w:tcW w:w="448"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center"/>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1</w:t>
            </w:r>
          </w:p>
        </w:tc>
        <w:tc>
          <w:tcPr>
            <w:tcW w:w="438"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righ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3</w:t>
            </w:r>
          </w:p>
        </w:tc>
        <w:tc>
          <w:tcPr>
            <w:tcW w:w="84" w:type="pct"/>
            <w:tcBorders>
              <w:bottom w:val="single" w:sz="4" w:space="0" w:color="auto"/>
            </w:tcBorders>
          </w:tcPr>
          <w:p w:rsidR="00F53537" w:rsidRPr="0039148F" w:rsidRDefault="00F53537" w:rsidP="00422AD9">
            <w:pPr>
              <w:spacing w:after="0"/>
              <w:ind w:firstLine="0"/>
              <w:jc w:val="center"/>
              <w:rPr>
                <w:rFonts w:ascii="Arial Narrow" w:hAnsi="Arial Narrow" w:cs="Calibri"/>
                <w:color w:val="000000"/>
                <w:sz w:val="18"/>
                <w:szCs w:val="18"/>
                <w:lang w:val="es-ES" w:eastAsia="es-ES"/>
              </w:rPr>
            </w:pPr>
          </w:p>
        </w:tc>
        <w:tc>
          <w:tcPr>
            <w:tcW w:w="522"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center"/>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 </w:t>
            </w:r>
          </w:p>
        </w:tc>
        <w:tc>
          <w:tcPr>
            <w:tcW w:w="448"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righ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 </w:t>
            </w:r>
          </w:p>
        </w:tc>
        <w:tc>
          <w:tcPr>
            <w:tcW w:w="149" w:type="pct"/>
            <w:tcBorders>
              <w:bottom w:val="single" w:sz="4" w:space="0" w:color="auto"/>
            </w:tcBorders>
          </w:tcPr>
          <w:p w:rsidR="00F53537" w:rsidRPr="0039148F" w:rsidRDefault="00F53537" w:rsidP="00422AD9">
            <w:pPr>
              <w:spacing w:after="0"/>
              <w:ind w:firstLine="0"/>
              <w:jc w:val="center"/>
              <w:rPr>
                <w:rFonts w:ascii="Arial Narrow" w:hAnsi="Arial Narrow" w:cs="Calibri"/>
                <w:color w:val="000000"/>
                <w:sz w:val="18"/>
                <w:szCs w:val="18"/>
                <w:lang w:val="es-ES" w:eastAsia="es-ES"/>
              </w:rPr>
            </w:pPr>
          </w:p>
        </w:tc>
        <w:tc>
          <w:tcPr>
            <w:tcW w:w="447"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center"/>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 </w:t>
            </w:r>
          </w:p>
        </w:tc>
        <w:tc>
          <w:tcPr>
            <w:tcW w:w="452" w:type="pct"/>
            <w:tcBorders>
              <w:top w:val="nil"/>
              <w:bottom w:val="single" w:sz="4" w:space="0" w:color="auto"/>
            </w:tcBorders>
            <w:shd w:val="clear" w:color="auto" w:fill="auto"/>
            <w:noWrap/>
            <w:vAlign w:val="bottom"/>
            <w:hideMark/>
          </w:tcPr>
          <w:p w:rsidR="00F53537" w:rsidRPr="0039148F" w:rsidRDefault="00F53537" w:rsidP="00422AD9">
            <w:pPr>
              <w:spacing w:after="0"/>
              <w:ind w:firstLine="0"/>
              <w:jc w:val="righ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 </w:t>
            </w:r>
          </w:p>
        </w:tc>
        <w:tc>
          <w:tcPr>
            <w:tcW w:w="149" w:type="pct"/>
            <w:tcBorders>
              <w:bottom w:val="single" w:sz="4" w:space="0" w:color="auto"/>
            </w:tcBorders>
          </w:tcPr>
          <w:p w:rsidR="00F53537" w:rsidRPr="0039148F" w:rsidRDefault="00F53537" w:rsidP="00422AD9">
            <w:pPr>
              <w:spacing w:after="0"/>
              <w:ind w:firstLine="0"/>
              <w:jc w:val="center"/>
              <w:rPr>
                <w:rFonts w:ascii="Arial Narrow" w:hAnsi="Arial Narrow" w:cs="Calibri"/>
                <w:color w:val="000000"/>
                <w:sz w:val="18"/>
                <w:szCs w:val="18"/>
                <w:lang w:val="es-ES" w:eastAsia="es-ES"/>
              </w:rPr>
            </w:pPr>
          </w:p>
        </w:tc>
        <w:tc>
          <w:tcPr>
            <w:tcW w:w="447" w:type="pct"/>
            <w:tcBorders>
              <w:top w:val="single" w:sz="4" w:space="0" w:color="auto"/>
              <w:bottom w:val="single" w:sz="4" w:space="0" w:color="auto"/>
            </w:tcBorders>
            <w:shd w:val="clear" w:color="auto" w:fill="auto"/>
            <w:noWrap/>
            <w:vAlign w:val="bottom"/>
            <w:hideMark/>
          </w:tcPr>
          <w:p w:rsidR="00F53537" w:rsidRPr="0039148F" w:rsidRDefault="00F53537" w:rsidP="00422AD9">
            <w:pPr>
              <w:spacing w:after="0"/>
              <w:ind w:firstLine="0"/>
              <w:jc w:val="center"/>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 xml:space="preserve"> 1</w:t>
            </w:r>
          </w:p>
        </w:tc>
        <w:tc>
          <w:tcPr>
            <w:tcW w:w="520" w:type="pct"/>
            <w:tcBorders>
              <w:top w:val="nil"/>
              <w:bottom w:val="single" w:sz="4" w:space="0" w:color="auto"/>
              <w:right w:val="nil"/>
            </w:tcBorders>
            <w:shd w:val="clear" w:color="auto" w:fill="auto"/>
            <w:noWrap/>
            <w:vAlign w:val="bottom"/>
            <w:hideMark/>
          </w:tcPr>
          <w:p w:rsidR="00F53537" w:rsidRPr="0039148F" w:rsidRDefault="00F53537" w:rsidP="00422AD9">
            <w:pPr>
              <w:spacing w:after="0"/>
              <w:ind w:firstLine="0"/>
              <w:jc w:val="right"/>
              <w:rPr>
                <w:rFonts w:ascii="Arial Narrow" w:hAnsi="Arial Narrow" w:cs="Calibri"/>
                <w:color w:val="000000"/>
                <w:sz w:val="18"/>
                <w:szCs w:val="18"/>
                <w:lang w:val="es-ES" w:eastAsia="es-ES"/>
              </w:rPr>
            </w:pPr>
            <w:r w:rsidRPr="0039148F">
              <w:rPr>
                <w:rFonts w:ascii="Arial Narrow" w:hAnsi="Arial Narrow" w:cs="Calibri"/>
                <w:color w:val="000000"/>
                <w:sz w:val="18"/>
                <w:szCs w:val="18"/>
                <w:lang w:val="es-ES" w:eastAsia="es-ES"/>
              </w:rPr>
              <w:t>3</w:t>
            </w:r>
          </w:p>
        </w:tc>
      </w:tr>
      <w:tr w:rsidR="00606DBE" w:rsidRPr="00ED1BF9" w:rsidTr="00606DBE">
        <w:trPr>
          <w:trHeight w:val="255"/>
        </w:trPr>
        <w:tc>
          <w:tcPr>
            <w:tcW w:w="896" w:type="pct"/>
            <w:tcBorders>
              <w:top w:val="single" w:sz="4" w:space="0" w:color="auto"/>
              <w:left w:val="nil"/>
              <w:bottom w:val="single" w:sz="4" w:space="0" w:color="auto"/>
            </w:tcBorders>
            <w:shd w:val="clear" w:color="auto" w:fill="FBD4B4" w:themeFill="accent6" w:themeFillTint="66"/>
            <w:noWrap/>
            <w:vAlign w:val="bottom"/>
            <w:hideMark/>
          </w:tcPr>
          <w:p w:rsidR="00F53537" w:rsidRPr="0039148F" w:rsidRDefault="00F53537" w:rsidP="00422AD9">
            <w:pPr>
              <w:spacing w:after="0"/>
              <w:ind w:firstLine="0"/>
              <w:jc w:val="left"/>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Total general</w:t>
            </w:r>
          </w:p>
        </w:tc>
        <w:tc>
          <w:tcPr>
            <w:tcW w:w="448" w:type="pct"/>
            <w:tcBorders>
              <w:top w:val="single" w:sz="4" w:space="0" w:color="auto"/>
              <w:bottom w:val="single" w:sz="4" w:space="0" w:color="auto"/>
            </w:tcBorders>
            <w:shd w:val="clear" w:color="auto" w:fill="FBD4B4" w:themeFill="accent6" w:themeFillTint="66"/>
            <w:noWrap/>
            <w:vAlign w:val="bottom"/>
            <w:hideMark/>
          </w:tcPr>
          <w:p w:rsidR="00F53537" w:rsidRPr="0039148F" w:rsidRDefault="00F53537" w:rsidP="00422AD9">
            <w:pPr>
              <w:spacing w:after="0"/>
              <w:ind w:firstLine="0"/>
              <w:jc w:val="center"/>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13</w:t>
            </w:r>
          </w:p>
        </w:tc>
        <w:tc>
          <w:tcPr>
            <w:tcW w:w="438" w:type="pct"/>
            <w:tcBorders>
              <w:top w:val="single" w:sz="4" w:space="0" w:color="auto"/>
              <w:bottom w:val="single" w:sz="4" w:space="0" w:color="auto"/>
            </w:tcBorders>
            <w:shd w:val="clear" w:color="auto" w:fill="FBD4B4" w:themeFill="accent6" w:themeFillTint="66"/>
            <w:noWrap/>
            <w:vAlign w:val="bottom"/>
            <w:hideMark/>
          </w:tcPr>
          <w:p w:rsidR="00F53537" w:rsidRPr="0039148F" w:rsidRDefault="00F53537" w:rsidP="00422AD9">
            <w:pPr>
              <w:spacing w:after="0"/>
              <w:ind w:firstLine="0"/>
              <w:jc w:val="right"/>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716</w:t>
            </w:r>
          </w:p>
        </w:tc>
        <w:tc>
          <w:tcPr>
            <w:tcW w:w="84" w:type="pct"/>
            <w:tcBorders>
              <w:top w:val="single" w:sz="4" w:space="0" w:color="auto"/>
              <w:bottom w:val="single" w:sz="4" w:space="0" w:color="auto"/>
            </w:tcBorders>
            <w:shd w:val="clear" w:color="auto" w:fill="FBD4B4" w:themeFill="accent6" w:themeFillTint="66"/>
          </w:tcPr>
          <w:p w:rsidR="00F53537" w:rsidRPr="0039148F" w:rsidRDefault="00F53537" w:rsidP="00422AD9">
            <w:pPr>
              <w:spacing w:after="0"/>
              <w:ind w:firstLine="0"/>
              <w:jc w:val="center"/>
              <w:rPr>
                <w:rFonts w:ascii="Arial" w:hAnsi="Arial" w:cs="Arial"/>
                <w:bCs/>
                <w:color w:val="000000"/>
                <w:sz w:val="18"/>
                <w:szCs w:val="18"/>
                <w:lang w:val="es-ES" w:eastAsia="es-ES"/>
              </w:rPr>
            </w:pPr>
          </w:p>
        </w:tc>
        <w:tc>
          <w:tcPr>
            <w:tcW w:w="522" w:type="pct"/>
            <w:tcBorders>
              <w:top w:val="single" w:sz="4" w:space="0" w:color="auto"/>
              <w:bottom w:val="single" w:sz="4" w:space="0" w:color="auto"/>
            </w:tcBorders>
            <w:shd w:val="clear" w:color="auto" w:fill="FBD4B4" w:themeFill="accent6" w:themeFillTint="66"/>
            <w:noWrap/>
            <w:vAlign w:val="bottom"/>
            <w:hideMark/>
          </w:tcPr>
          <w:p w:rsidR="00F53537" w:rsidRPr="0039148F" w:rsidRDefault="00F53537" w:rsidP="00422AD9">
            <w:pPr>
              <w:spacing w:after="0"/>
              <w:ind w:firstLine="0"/>
              <w:jc w:val="center"/>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57</w:t>
            </w:r>
          </w:p>
        </w:tc>
        <w:tc>
          <w:tcPr>
            <w:tcW w:w="448" w:type="pct"/>
            <w:tcBorders>
              <w:top w:val="single" w:sz="4" w:space="0" w:color="auto"/>
              <w:bottom w:val="single" w:sz="4" w:space="0" w:color="auto"/>
            </w:tcBorders>
            <w:shd w:val="clear" w:color="auto" w:fill="FBD4B4" w:themeFill="accent6" w:themeFillTint="66"/>
            <w:noWrap/>
            <w:vAlign w:val="bottom"/>
            <w:hideMark/>
          </w:tcPr>
          <w:p w:rsidR="00F53537" w:rsidRPr="0039148F" w:rsidRDefault="00F53537" w:rsidP="00422AD9">
            <w:pPr>
              <w:spacing w:after="0"/>
              <w:ind w:firstLine="0"/>
              <w:jc w:val="right"/>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8.450</w:t>
            </w:r>
          </w:p>
        </w:tc>
        <w:tc>
          <w:tcPr>
            <w:tcW w:w="149" w:type="pct"/>
            <w:tcBorders>
              <w:top w:val="single" w:sz="4" w:space="0" w:color="auto"/>
              <w:bottom w:val="single" w:sz="4" w:space="0" w:color="auto"/>
            </w:tcBorders>
            <w:shd w:val="clear" w:color="auto" w:fill="FBD4B4" w:themeFill="accent6" w:themeFillTint="66"/>
          </w:tcPr>
          <w:p w:rsidR="00F53537" w:rsidRPr="0039148F" w:rsidRDefault="00F53537" w:rsidP="00422AD9">
            <w:pPr>
              <w:spacing w:after="0"/>
              <w:ind w:firstLine="0"/>
              <w:jc w:val="center"/>
              <w:rPr>
                <w:rFonts w:ascii="Arial" w:hAnsi="Arial" w:cs="Arial"/>
                <w:bCs/>
                <w:color w:val="000000"/>
                <w:sz w:val="18"/>
                <w:szCs w:val="18"/>
                <w:lang w:val="es-ES" w:eastAsia="es-ES"/>
              </w:rPr>
            </w:pPr>
          </w:p>
        </w:tc>
        <w:tc>
          <w:tcPr>
            <w:tcW w:w="447" w:type="pct"/>
            <w:tcBorders>
              <w:top w:val="single" w:sz="4" w:space="0" w:color="auto"/>
              <w:bottom w:val="single" w:sz="4" w:space="0" w:color="auto"/>
            </w:tcBorders>
            <w:shd w:val="clear" w:color="auto" w:fill="FBD4B4" w:themeFill="accent6" w:themeFillTint="66"/>
            <w:noWrap/>
            <w:vAlign w:val="bottom"/>
            <w:hideMark/>
          </w:tcPr>
          <w:p w:rsidR="00F53537" w:rsidRPr="0039148F" w:rsidRDefault="00F53537" w:rsidP="00422AD9">
            <w:pPr>
              <w:spacing w:after="0"/>
              <w:ind w:firstLine="0"/>
              <w:jc w:val="center"/>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1</w:t>
            </w:r>
          </w:p>
        </w:tc>
        <w:tc>
          <w:tcPr>
            <w:tcW w:w="452" w:type="pct"/>
            <w:tcBorders>
              <w:top w:val="single" w:sz="4" w:space="0" w:color="auto"/>
              <w:bottom w:val="single" w:sz="4" w:space="0" w:color="auto"/>
            </w:tcBorders>
            <w:shd w:val="clear" w:color="auto" w:fill="FBD4B4" w:themeFill="accent6" w:themeFillTint="66"/>
            <w:noWrap/>
            <w:vAlign w:val="bottom"/>
            <w:hideMark/>
          </w:tcPr>
          <w:p w:rsidR="00F53537" w:rsidRPr="0039148F" w:rsidRDefault="00F53537" w:rsidP="00422AD9">
            <w:pPr>
              <w:spacing w:after="0"/>
              <w:ind w:firstLine="0"/>
              <w:jc w:val="right"/>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232</w:t>
            </w:r>
          </w:p>
        </w:tc>
        <w:tc>
          <w:tcPr>
            <w:tcW w:w="149" w:type="pct"/>
            <w:tcBorders>
              <w:top w:val="single" w:sz="4" w:space="0" w:color="auto"/>
              <w:bottom w:val="single" w:sz="4" w:space="0" w:color="auto"/>
            </w:tcBorders>
            <w:shd w:val="clear" w:color="auto" w:fill="FBD4B4" w:themeFill="accent6" w:themeFillTint="66"/>
          </w:tcPr>
          <w:p w:rsidR="00F53537" w:rsidRPr="0039148F" w:rsidRDefault="00F53537" w:rsidP="00422AD9">
            <w:pPr>
              <w:spacing w:after="0"/>
              <w:ind w:firstLine="0"/>
              <w:jc w:val="center"/>
              <w:rPr>
                <w:rFonts w:ascii="Arial" w:hAnsi="Arial" w:cs="Arial"/>
                <w:bCs/>
                <w:color w:val="000000"/>
                <w:sz w:val="18"/>
                <w:szCs w:val="18"/>
                <w:lang w:val="es-ES" w:eastAsia="es-ES"/>
              </w:rPr>
            </w:pPr>
          </w:p>
        </w:tc>
        <w:tc>
          <w:tcPr>
            <w:tcW w:w="447" w:type="pct"/>
            <w:tcBorders>
              <w:top w:val="single" w:sz="4" w:space="0" w:color="auto"/>
              <w:bottom w:val="single" w:sz="4" w:space="0" w:color="auto"/>
            </w:tcBorders>
            <w:shd w:val="clear" w:color="auto" w:fill="FBD4B4" w:themeFill="accent6" w:themeFillTint="66"/>
            <w:noWrap/>
            <w:vAlign w:val="bottom"/>
            <w:hideMark/>
          </w:tcPr>
          <w:p w:rsidR="00F53537" w:rsidRPr="0039148F" w:rsidRDefault="00F53537" w:rsidP="00422AD9">
            <w:pPr>
              <w:spacing w:after="0"/>
              <w:ind w:firstLine="0"/>
              <w:jc w:val="center"/>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71</w:t>
            </w:r>
          </w:p>
        </w:tc>
        <w:tc>
          <w:tcPr>
            <w:tcW w:w="520" w:type="pct"/>
            <w:tcBorders>
              <w:top w:val="single" w:sz="4" w:space="0" w:color="auto"/>
              <w:bottom w:val="single" w:sz="4" w:space="0" w:color="auto"/>
            </w:tcBorders>
            <w:shd w:val="clear" w:color="auto" w:fill="FBD4B4" w:themeFill="accent6" w:themeFillTint="66"/>
            <w:noWrap/>
            <w:vAlign w:val="bottom"/>
            <w:hideMark/>
          </w:tcPr>
          <w:p w:rsidR="00F53537" w:rsidRPr="0039148F" w:rsidRDefault="00F53537" w:rsidP="00422AD9">
            <w:pPr>
              <w:spacing w:after="0"/>
              <w:ind w:firstLine="0"/>
              <w:jc w:val="right"/>
              <w:rPr>
                <w:rFonts w:ascii="Arial" w:hAnsi="Arial" w:cs="Arial"/>
                <w:bCs/>
                <w:color w:val="000000"/>
                <w:sz w:val="18"/>
                <w:szCs w:val="18"/>
                <w:lang w:val="es-ES" w:eastAsia="es-ES"/>
              </w:rPr>
            </w:pPr>
            <w:r w:rsidRPr="0039148F">
              <w:rPr>
                <w:rFonts w:ascii="Arial" w:hAnsi="Arial" w:cs="Arial"/>
                <w:bCs/>
                <w:color w:val="000000"/>
                <w:sz w:val="18"/>
                <w:szCs w:val="18"/>
                <w:lang w:val="es-ES" w:eastAsia="es-ES"/>
              </w:rPr>
              <w:t>9.398</w:t>
            </w:r>
          </w:p>
        </w:tc>
      </w:tr>
    </w:tbl>
    <w:p w:rsidR="00EC4F97" w:rsidRPr="007E3BFE" w:rsidRDefault="00EC4F97" w:rsidP="00EC4F97">
      <w:pPr>
        <w:pStyle w:val="texto"/>
        <w:spacing w:after="240"/>
      </w:pPr>
    </w:p>
    <w:p w:rsidR="00EC4F97" w:rsidRDefault="00EC4F97" w:rsidP="00EC4F97">
      <w:pPr>
        <w:pStyle w:val="texto"/>
        <w:spacing w:before="240"/>
        <w:rPr>
          <w:w w:val="103"/>
        </w:rPr>
      </w:pPr>
      <w:r w:rsidRPr="00F03111">
        <w:rPr>
          <w:w w:val="103"/>
        </w:rPr>
        <w:t>Destaca que de los 71 contratos existentes en 2017, el 80 por ciento fueron adjudicados por sociedades públicas por un importe de 8,45 millones de e</w:t>
      </w:r>
      <w:r w:rsidRPr="00F03111">
        <w:rPr>
          <w:w w:val="103"/>
        </w:rPr>
        <w:t>u</w:t>
      </w:r>
      <w:r w:rsidRPr="00F03111">
        <w:rPr>
          <w:w w:val="103"/>
        </w:rPr>
        <w:t>ros, que supone el 90 por ciento del importe total. El resto de contratos fu</w:t>
      </w:r>
      <w:r w:rsidRPr="00F03111">
        <w:rPr>
          <w:w w:val="103"/>
        </w:rPr>
        <w:t>e</w:t>
      </w:r>
      <w:r w:rsidRPr="00F03111">
        <w:rPr>
          <w:w w:val="103"/>
        </w:rPr>
        <w:t>ron adjudicados por organismos autónomos y por una fundación.</w:t>
      </w:r>
    </w:p>
    <w:p w:rsidR="00EC4F97" w:rsidRPr="007E3BFE" w:rsidRDefault="00EC4F97" w:rsidP="00EC4F97">
      <w:pPr>
        <w:pStyle w:val="texto"/>
        <w:spacing w:before="240"/>
        <w:rPr>
          <w:w w:val="103"/>
        </w:rPr>
      </w:pPr>
      <w:r w:rsidRPr="00F03111">
        <w:rPr>
          <w:w w:val="103"/>
        </w:rPr>
        <w:t>En resumen, en el año 2017 los entes locales, sus organismos autónomos</w:t>
      </w:r>
      <w:r>
        <w:rPr>
          <w:w w:val="103"/>
        </w:rPr>
        <w:t>,</w:t>
      </w:r>
      <w:r w:rsidRPr="00F03111">
        <w:rPr>
          <w:w w:val="103"/>
        </w:rPr>
        <w:t xml:space="preserve"> sociedades públicas</w:t>
      </w:r>
      <w:r>
        <w:rPr>
          <w:w w:val="103"/>
        </w:rPr>
        <w:t xml:space="preserve"> y fundaciones</w:t>
      </w:r>
      <w:r w:rsidRPr="00F03111">
        <w:rPr>
          <w:w w:val="103"/>
        </w:rPr>
        <w:t>, adjudicaron 421 contratos por un total de 48,45 millones de euros.</w:t>
      </w:r>
    </w:p>
    <w:p w:rsidR="00EC4F97" w:rsidRPr="00F03111" w:rsidRDefault="00EC4F97" w:rsidP="00EC4F97">
      <w:pPr>
        <w:pStyle w:val="texto"/>
        <w:spacing w:after="240"/>
      </w:pPr>
      <w:r w:rsidRPr="00F03111">
        <w:t>A continuación, mostramos el procedimiento y los criterios de adjudicación que se siguieron en los contratos celebrados por las entidades locales y sus e</w:t>
      </w:r>
      <w:r w:rsidRPr="00F03111">
        <w:t>n</w:t>
      </w:r>
      <w:r w:rsidRPr="00F03111">
        <w:t>tes dependientes:</w:t>
      </w:r>
    </w:p>
    <w:tbl>
      <w:tblPr>
        <w:tblW w:w="9930" w:type="dxa"/>
        <w:tblInd w:w="-497" w:type="dxa"/>
        <w:tblLayout w:type="fixed"/>
        <w:tblCellMar>
          <w:left w:w="70" w:type="dxa"/>
          <w:right w:w="70" w:type="dxa"/>
        </w:tblCellMar>
        <w:tblLook w:val="04A0" w:firstRow="1" w:lastRow="0" w:firstColumn="1" w:lastColumn="0" w:noHBand="0" w:noVBand="1"/>
      </w:tblPr>
      <w:tblGrid>
        <w:gridCol w:w="1135"/>
        <w:gridCol w:w="772"/>
        <w:gridCol w:w="555"/>
        <w:gridCol w:w="160"/>
        <w:gridCol w:w="724"/>
        <w:gridCol w:w="803"/>
        <w:gridCol w:w="575"/>
        <w:gridCol w:w="166"/>
        <w:gridCol w:w="1064"/>
        <w:gridCol w:w="160"/>
        <w:gridCol w:w="945"/>
        <w:gridCol w:w="160"/>
        <w:gridCol w:w="909"/>
        <w:gridCol w:w="166"/>
        <w:gridCol w:w="823"/>
        <w:gridCol w:w="169"/>
        <w:gridCol w:w="644"/>
      </w:tblGrid>
      <w:tr w:rsidR="00EC4F97" w:rsidRPr="009E337B" w:rsidTr="00422AD9">
        <w:trPr>
          <w:trHeight w:val="510"/>
        </w:trPr>
        <w:tc>
          <w:tcPr>
            <w:tcW w:w="1135" w:type="dxa"/>
            <w:vMerge w:val="restart"/>
            <w:tcBorders>
              <w:top w:val="single" w:sz="4" w:space="0" w:color="auto"/>
              <w:left w:val="nil"/>
              <w:bottom w:val="single" w:sz="4" w:space="0" w:color="auto"/>
            </w:tcBorders>
            <w:shd w:val="clear" w:color="auto" w:fill="FBD4B4" w:themeFill="accent6" w:themeFillTint="66"/>
            <w:vAlign w:val="bottom"/>
            <w:hideMark/>
          </w:tcPr>
          <w:p w:rsidR="00EC4F97" w:rsidRPr="00CB048E" w:rsidRDefault="00EC4F97" w:rsidP="00422AD9">
            <w:pPr>
              <w:spacing w:after="0"/>
              <w:ind w:firstLine="0"/>
              <w:jc w:val="center"/>
              <w:rPr>
                <w:rFonts w:asciiTheme="minorHAnsi" w:hAnsiTheme="minorHAnsi" w:cs="Calibri"/>
                <w:color w:val="000000"/>
                <w:sz w:val="16"/>
                <w:szCs w:val="16"/>
                <w:lang w:val="es-ES" w:eastAsia="es-ES"/>
              </w:rPr>
            </w:pPr>
            <w:r w:rsidRPr="00CB048E">
              <w:rPr>
                <w:rFonts w:asciiTheme="minorHAnsi" w:hAnsiTheme="minorHAnsi" w:cs="Calibri"/>
                <w:color w:val="000000"/>
                <w:sz w:val="16"/>
                <w:szCs w:val="16"/>
                <w:lang w:val="es-ES" w:eastAsia="es-ES"/>
              </w:rPr>
              <w:t> </w:t>
            </w:r>
          </w:p>
        </w:tc>
        <w:tc>
          <w:tcPr>
            <w:tcW w:w="1327" w:type="dxa"/>
            <w:gridSpan w:val="2"/>
            <w:tcBorders>
              <w:top w:val="single" w:sz="4" w:space="0" w:color="auto"/>
              <w:bottom w:val="single" w:sz="4" w:space="0" w:color="auto"/>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Abierto</w:t>
            </w:r>
          </w:p>
        </w:tc>
        <w:tc>
          <w:tcPr>
            <w:tcW w:w="160" w:type="dxa"/>
            <w:tcBorders>
              <w:top w:val="single" w:sz="4" w:space="0" w:color="auto"/>
            </w:tcBorders>
            <w:shd w:val="clear" w:color="auto" w:fill="FBD4B4" w:themeFill="accent6" w:themeFillTint="66"/>
          </w:tcPr>
          <w:p w:rsidR="00EC4F97" w:rsidRPr="00DC0E5F" w:rsidRDefault="00EC4F97" w:rsidP="00422AD9">
            <w:pPr>
              <w:spacing w:after="0"/>
              <w:ind w:firstLine="0"/>
              <w:jc w:val="center"/>
              <w:rPr>
                <w:rFonts w:ascii="Arial" w:hAnsi="Arial" w:cs="Arial"/>
                <w:color w:val="000000"/>
                <w:sz w:val="14"/>
                <w:szCs w:val="14"/>
                <w:lang w:val="es-ES" w:eastAsia="es-ES"/>
              </w:rPr>
            </w:pPr>
          </w:p>
        </w:tc>
        <w:tc>
          <w:tcPr>
            <w:tcW w:w="2102" w:type="dxa"/>
            <w:gridSpan w:val="3"/>
            <w:tcBorders>
              <w:top w:val="single" w:sz="4" w:space="0" w:color="auto"/>
              <w:bottom w:val="single" w:sz="4" w:space="0" w:color="auto"/>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Negociado s</w:t>
            </w:r>
            <w:r>
              <w:rPr>
                <w:rFonts w:ascii="Arial" w:hAnsi="Arial" w:cs="Arial"/>
                <w:color w:val="000000"/>
                <w:sz w:val="14"/>
                <w:szCs w:val="14"/>
                <w:lang w:val="es-ES" w:eastAsia="es-ES"/>
              </w:rPr>
              <w:t>in</w:t>
            </w:r>
            <w:r w:rsidRPr="00DC0E5F">
              <w:rPr>
                <w:rFonts w:ascii="Arial" w:hAnsi="Arial" w:cs="Arial"/>
                <w:color w:val="000000"/>
                <w:sz w:val="14"/>
                <w:szCs w:val="14"/>
                <w:lang w:val="es-ES" w:eastAsia="es-ES"/>
              </w:rPr>
              <w:t xml:space="preserve"> publicidad</w:t>
            </w:r>
          </w:p>
        </w:tc>
        <w:tc>
          <w:tcPr>
            <w:tcW w:w="166" w:type="dxa"/>
            <w:tcBorders>
              <w:top w:val="single" w:sz="4" w:space="0" w:color="auto"/>
            </w:tcBorders>
            <w:shd w:val="clear" w:color="auto" w:fill="FBD4B4" w:themeFill="accent6" w:themeFillTint="66"/>
          </w:tcPr>
          <w:p w:rsidR="00EC4F97" w:rsidRPr="00DC0E5F" w:rsidRDefault="00EC4F97" w:rsidP="00422AD9">
            <w:pPr>
              <w:spacing w:after="0"/>
              <w:ind w:firstLine="0"/>
              <w:jc w:val="center"/>
              <w:rPr>
                <w:rFonts w:ascii="Arial" w:hAnsi="Arial" w:cs="Arial"/>
                <w:color w:val="000000"/>
                <w:sz w:val="14"/>
                <w:szCs w:val="14"/>
                <w:lang w:val="es-ES" w:eastAsia="es-ES"/>
              </w:rPr>
            </w:pPr>
          </w:p>
        </w:tc>
        <w:tc>
          <w:tcPr>
            <w:tcW w:w="1064" w:type="dxa"/>
            <w:tcBorders>
              <w:top w:val="single" w:sz="4" w:space="0" w:color="auto"/>
              <w:bottom w:val="single" w:sz="4" w:space="0" w:color="auto"/>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Negociado c</w:t>
            </w:r>
            <w:r>
              <w:rPr>
                <w:rFonts w:ascii="Arial" w:hAnsi="Arial" w:cs="Arial"/>
                <w:color w:val="000000"/>
                <w:sz w:val="14"/>
                <w:szCs w:val="14"/>
                <w:lang w:val="es-ES" w:eastAsia="es-ES"/>
              </w:rPr>
              <w:t xml:space="preserve">on </w:t>
            </w:r>
            <w:r w:rsidRPr="00DC0E5F">
              <w:rPr>
                <w:rFonts w:ascii="Arial" w:hAnsi="Arial" w:cs="Arial"/>
                <w:color w:val="000000"/>
                <w:sz w:val="14"/>
                <w:szCs w:val="14"/>
                <w:lang w:val="es-ES" w:eastAsia="es-ES"/>
              </w:rPr>
              <w:t>publicidad</w:t>
            </w:r>
          </w:p>
        </w:tc>
        <w:tc>
          <w:tcPr>
            <w:tcW w:w="160" w:type="dxa"/>
            <w:tcBorders>
              <w:top w:val="single" w:sz="4" w:space="0" w:color="auto"/>
            </w:tcBorders>
            <w:shd w:val="clear" w:color="auto" w:fill="FBD4B4" w:themeFill="accent6" w:themeFillTint="66"/>
          </w:tcPr>
          <w:p w:rsidR="00EC4F97" w:rsidRPr="00DC0E5F" w:rsidRDefault="00EC4F97" w:rsidP="00422AD9">
            <w:pPr>
              <w:spacing w:after="0"/>
              <w:ind w:firstLine="0"/>
              <w:jc w:val="center"/>
              <w:rPr>
                <w:rFonts w:ascii="Arial" w:hAnsi="Arial" w:cs="Arial"/>
                <w:color w:val="000000"/>
                <w:sz w:val="14"/>
                <w:szCs w:val="14"/>
                <w:lang w:val="es-ES" w:eastAsia="es-ES"/>
              </w:rPr>
            </w:pPr>
          </w:p>
        </w:tc>
        <w:tc>
          <w:tcPr>
            <w:tcW w:w="945" w:type="dxa"/>
            <w:tcBorders>
              <w:top w:val="single" w:sz="4" w:space="0" w:color="auto"/>
              <w:bottom w:val="single" w:sz="4" w:space="0" w:color="auto"/>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Diálogo competitivo</w:t>
            </w:r>
          </w:p>
        </w:tc>
        <w:tc>
          <w:tcPr>
            <w:tcW w:w="160" w:type="dxa"/>
            <w:tcBorders>
              <w:top w:val="single" w:sz="4" w:space="0" w:color="auto"/>
            </w:tcBorders>
            <w:shd w:val="clear" w:color="auto" w:fill="FBD4B4" w:themeFill="accent6" w:themeFillTint="66"/>
          </w:tcPr>
          <w:p w:rsidR="00EC4F97" w:rsidRPr="00DC0E5F" w:rsidRDefault="00EC4F97" w:rsidP="00422AD9">
            <w:pPr>
              <w:spacing w:after="0"/>
              <w:ind w:firstLine="0"/>
              <w:jc w:val="center"/>
              <w:rPr>
                <w:rFonts w:ascii="Arial" w:hAnsi="Arial" w:cs="Arial"/>
                <w:color w:val="000000"/>
                <w:sz w:val="14"/>
                <w:szCs w:val="14"/>
                <w:lang w:val="es-ES" w:eastAsia="es-ES"/>
              </w:rPr>
            </w:pPr>
          </w:p>
        </w:tc>
        <w:tc>
          <w:tcPr>
            <w:tcW w:w="909" w:type="dxa"/>
            <w:tcBorders>
              <w:top w:val="single" w:sz="4" w:space="0" w:color="auto"/>
              <w:bottom w:val="single" w:sz="4" w:space="0" w:color="auto"/>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Restringido</w:t>
            </w:r>
          </w:p>
        </w:tc>
        <w:tc>
          <w:tcPr>
            <w:tcW w:w="166" w:type="dxa"/>
            <w:tcBorders>
              <w:top w:val="single" w:sz="4" w:space="0" w:color="auto"/>
            </w:tcBorders>
            <w:shd w:val="clear" w:color="auto" w:fill="FBD4B4" w:themeFill="accent6" w:themeFillTint="66"/>
          </w:tcPr>
          <w:p w:rsidR="00EC4F97" w:rsidRPr="00DC0E5F" w:rsidRDefault="00EC4F97" w:rsidP="00422AD9">
            <w:pPr>
              <w:spacing w:after="0"/>
              <w:ind w:firstLine="0"/>
              <w:jc w:val="center"/>
              <w:rPr>
                <w:rFonts w:ascii="Arial" w:hAnsi="Arial" w:cs="Arial"/>
                <w:color w:val="000000"/>
                <w:sz w:val="14"/>
                <w:szCs w:val="14"/>
                <w:lang w:val="es-ES" w:eastAsia="es-ES"/>
              </w:rPr>
            </w:pPr>
          </w:p>
        </w:tc>
        <w:tc>
          <w:tcPr>
            <w:tcW w:w="823" w:type="dxa"/>
            <w:tcBorders>
              <w:top w:val="single" w:sz="4" w:space="0" w:color="auto"/>
              <w:bottom w:val="single" w:sz="4" w:space="0" w:color="auto"/>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Concurso proyectos</w:t>
            </w:r>
          </w:p>
        </w:tc>
        <w:tc>
          <w:tcPr>
            <w:tcW w:w="169" w:type="dxa"/>
            <w:tcBorders>
              <w:top w:val="single" w:sz="4" w:space="0" w:color="auto"/>
            </w:tcBorders>
            <w:shd w:val="clear" w:color="auto" w:fill="FBD4B4" w:themeFill="accent6" w:themeFillTint="66"/>
          </w:tcPr>
          <w:p w:rsidR="00EC4F97" w:rsidRPr="00DC0E5F" w:rsidRDefault="00EC4F97" w:rsidP="00422AD9">
            <w:pPr>
              <w:spacing w:after="0"/>
              <w:ind w:firstLine="0"/>
              <w:jc w:val="center"/>
              <w:rPr>
                <w:rFonts w:ascii="Arial" w:hAnsi="Arial" w:cs="Arial"/>
                <w:color w:val="000000"/>
                <w:sz w:val="14"/>
                <w:szCs w:val="14"/>
                <w:lang w:val="es-ES" w:eastAsia="es-ES"/>
              </w:rPr>
            </w:pPr>
          </w:p>
        </w:tc>
        <w:tc>
          <w:tcPr>
            <w:tcW w:w="644" w:type="dxa"/>
            <w:vMerge w:val="restart"/>
            <w:tcBorders>
              <w:top w:val="single" w:sz="4" w:space="0" w:color="auto"/>
              <w:bottom w:val="single" w:sz="4" w:space="0" w:color="auto"/>
              <w:right w:val="nil"/>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Total general</w:t>
            </w:r>
          </w:p>
        </w:tc>
      </w:tr>
      <w:tr w:rsidR="00EC4F97" w:rsidRPr="009E337B" w:rsidTr="00C12B66">
        <w:trPr>
          <w:trHeight w:val="570"/>
        </w:trPr>
        <w:tc>
          <w:tcPr>
            <w:tcW w:w="1135" w:type="dxa"/>
            <w:vMerge/>
            <w:tcBorders>
              <w:top w:val="single" w:sz="4" w:space="0" w:color="auto"/>
              <w:left w:val="nil"/>
              <w:bottom w:val="single" w:sz="4" w:space="0" w:color="auto"/>
            </w:tcBorders>
            <w:shd w:val="clear" w:color="auto" w:fill="FBD4B4" w:themeFill="accent6" w:themeFillTint="66"/>
            <w:vAlign w:val="center"/>
            <w:hideMark/>
          </w:tcPr>
          <w:p w:rsidR="00EC4F97" w:rsidRPr="00CB048E" w:rsidRDefault="00EC4F97" w:rsidP="00422AD9">
            <w:pPr>
              <w:spacing w:after="0"/>
              <w:ind w:firstLine="0"/>
              <w:jc w:val="left"/>
              <w:rPr>
                <w:rFonts w:asciiTheme="minorHAnsi" w:hAnsiTheme="minorHAnsi" w:cs="Calibri"/>
                <w:color w:val="000000"/>
                <w:sz w:val="16"/>
                <w:szCs w:val="16"/>
                <w:lang w:val="es-ES" w:eastAsia="es-ES"/>
              </w:rPr>
            </w:pPr>
          </w:p>
        </w:tc>
        <w:tc>
          <w:tcPr>
            <w:tcW w:w="772" w:type="dxa"/>
            <w:tcBorders>
              <w:top w:val="single" w:sz="4" w:space="0" w:color="auto"/>
              <w:bottom w:val="single" w:sz="4" w:space="0" w:color="auto"/>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Oferta más ventajosa</w:t>
            </w:r>
          </w:p>
        </w:tc>
        <w:tc>
          <w:tcPr>
            <w:tcW w:w="555" w:type="dxa"/>
            <w:tcBorders>
              <w:bottom w:val="single" w:sz="4" w:space="0" w:color="auto"/>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Precio más bajo</w:t>
            </w:r>
          </w:p>
        </w:tc>
        <w:tc>
          <w:tcPr>
            <w:tcW w:w="160" w:type="dxa"/>
            <w:tcBorders>
              <w:bottom w:val="single" w:sz="4" w:space="0" w:color="auto"/>
            </w:tcBorders>
            <w:shd w:val="clear" w:color="auto" w:fill="FBD4B4" w:themeFill="accent6" w:themeFillTint="66"/>
          </w:tcPr>
          <w:p w:rsidR="00EC4F97" w:rsidRPr="00DC0E5F" w:rsidRDefault="00EC4F97" w:rsidP="00422AD9">
            <w:pPr>
              <w:spacing w:after="0"/>
              <w:ind w:firstLine="0"/>
              <w:jc w:val="center"/>
              <w:rPr>
                <w:rFonts w:ascii="Arial" w:hAnsi="Arial" w:cs="Arial"/>
                <w:color w:val="000000"/>
                <w:sz w:val="14"/>
                <w:szCs w:val="14"/>
                <w:lang w:val="es-ES" w:eastAsia="es-ES"/>
              </w:rPr>
            </w:pPr>
          </w:p>
        </w:tc>
        <w:tc>
          <w:tcPr>
            <w:tcW w:w="724" w:type="dxa"/>
            <w:tcBorders>
              <w:bottom w:val="single" w:sz="4" w:space="0" w:color="auto"/>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Mejor relación calidad-precio</w:t>
            </w:r>
          </w:p>
        </w:tc>
        <w:tc>
          <w:tcPr>
            <w:tcW w:w="803" w:type="dxa"/>
            <w:tcBorders>
              <w:bottom w:val="single" w:sz="4" w:space="0" w:color="auto"/>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Oferta más ve</w:t>
            </w:r>
            <w:r w:rsidRPr="00DC0E5F">
              <w:rPr>
                <w:rFonts w:ascii="Arial" w:hAnsi="Arial" w:cs="Arial"/>
                <w:color w:val="000000"/>
                <w:sz w:val="14"/>
                <w:szCs w:val="14"/>
                <w:lang w:val="es-ES" w:eastAsia="es-ES"/>
              </w:rPr>
              <w:t>n</w:t>
            </w:r>
            <w:r w:rsidRPr="00DC0E5F">
              <w:rPr>
                <w:rFonts w:ascii="Arial" w:hAnsi="Arial" w:cs="Arial"/>
                <w:color w:val="000000"/>
                <w:sz w:val="14"/>
                <w:szCs w:val="14"/>
                <w:lang w:val="es-ES" w:eastAsia="es-ES"/>
              </w:rPr>
              <w:t>tajosa</w:t>
            </w:r>
          </w:p>
        </w:tc>
        <w:tc>
          <w:tcPr>
            <w:tcW w:w="575" w:type="dxa"/>
            <w:tcBorders>
              <w:bottom w:val="single" w:sz="4" w:space="0" w:color="auto"/>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Precio más bajo</w:t>
            </w:r>
          </w:p>
        </w:tc>
        <w:tc>
          <w:tcPr>
            <w:tcW w:w="166" w:type="dxa"/>
            <w:tcBorders>
              <w:bottom w:val="single" w:sz="4" w:space="0" w:color="auto"/>
            </w:tcBorders>
            <w:shd w:val="clear" w:color="auto" w:fill="FBD4B4" w:themeFill="accent6" w:themeFillTint="66"/>
          </w:tcPr>
          <w:p w:rsidR="00EC4F97" w:rsidRPr="00DC0E5F" w:rsidRDefault="00EC4F97" w:rsidP="00422AD9">
            <w:pPr>
              <w:spacing w:after="0"/>
              <w:ind w:firstLine="0"/>
              <w:jc w:val="center"/>
              <w:rPr>
                <w:rFonts w:ascii="Arial" w:hAnsi="Arial" w:cs="Arial"/>
                <w:color w:val="000000"/>
                <w:sz w:val="14"/>
                <w:szCs w:val="14"/>
                <w:lang w:val="es-ES" w:eastAsia="es-ES"/>
              </w:rPr>
            </w:pPr>
          </w:p>
        </w:tc>
        <w:tc>
          <w:tcPr>
            <w:tcW w:w="1064" w:type="dxa"/>
            <w:tcBorders>
              <w:bottom w:val="single" w:sz="4" w:space="0" w:color="auto"/>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Precio más bajo</w:t>
            </w:r>
          </w:p>
        </w:tc>
        <w:tc>
          <w:tcPr>
            <w:tcW w:w="160" w:type="dxa"/>
            <w:tcBorders>
              <w:bottom w:val="single" w:sz="4" w:space="0" w:color="auto"/>
            </w:tcBorders>
            <w:shd w:val="clear" w:color="auto" w:fill="FBD4B4" w:themeFill="accent6" w:themeFillTint="66"/>
          </w:tcPr>
          <w:p w:rsidR="00EC4F97" w:rsidRPr="00DC0E5F" w:rsidRDefault="00EC4F97" w:rsidP="00422AD9">
            <w:pPr>
              <w:spacing w:after="0"/>
              <w:ind w:firstLine="0"/>
              <w:jc w:val="center"/>
              <w:rPr>
                <w:rFonts w:ascii="Arial" w:hAnsi="Arial" w:cs="Arial"/>
                <w:color w:val="000000"/>
                <w:sz w:val="14"/>
                <w:szCs w:val="14"/>
                <w:lang w:val="es-ES" w:eastAsia="es-ES"/>
              </w:rPr>
            </w:pPr>
          </w:p>
        </w:tc>
        <w:tc>
          <w:tcPr>
            <w:tcW w:w="945" w:type="dxa"/>
            <w:tcBorders>
              <w:bottom w:val="single" w:sz="4" w:space="0" w:color="auto"/>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Precio más bajo</w:t>
            </w:r>
          </w:p>
        </w:tc>
        <w:tc>
          <w:tcPr>
            <w:tcW w:w="160" w:type="dxa"/>
            <w:tcBorders>
              <w:bottom w:val="single" w:sz="4" w:space="0" w:color="auto"/>
            </w:tcBorders>
            <w:shd w:val="clear" w:color="auto" w:fill="FBD4B4" w:themeFill="accent6" w:themeFillTint="66"/>
          </w:tcPr>
          <w:p w:rsidR="00EC4F97" w:rsidRPr="00DC0E5F" w:rsidRDefault="00EC4F97" w:rsidP="00422AD9">
            <w:pPr>
              <w:spacing w:after="0"/>
              <w:ind w:firstLine="0"/>
              <w:jc w:val="center"/>
              <w:rPr>
                <w:rFonts w:ascii="Arial" w:hAnsi="Arial" w:cs="Arial"/>
                <w:color w:val="000000"/>
                <w:sz w:val="14"/>
                <w:szCs w:val="14"/>
                <w:lang w:val="es-ES" w:eastAsia="es-ES"/>
              </w:rPr>
            </w:pPr>
          </w:p>
        </w:tc>
        <w:tc>
          <w:tcPr>
            <w:tcW w:w="909" w:type="dxa"/>
            <w:tcBorders>
              <w:bottom w:val="single" w:sz="4" w:space="0" w:color="auto"/>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Oferta más ventajosa</w:t>
            </w:r>
          </w:p>
        </w:tc>
        <w:tc>
          <w:tcPr>
            <w:tcW w:w="166" w:type="dxa"/>
            <w:tcBorders>
              <w:bottom w:val="single" w:sz="4" w:space="0" w:color="auto"/>
            </w:tcBorders>
            <w:shd w:val="clear" w:color="auto" w:fill="FBD4B4" w:themeFill="accent6" w:themeFillTint="66"/>
          </w:tcPr>
          <w:p w:rsidR="00EC4F97" w:rsidRPr="00DC0E5F" w:rsidRDefault="00EC4F97" w:rsidP="00422AD9">
            <w:pPr>
              <w:spacing w:after="0"/>
              <w:ind w:firstLine="0"/>
              <w:jc w:val="center"/>
              <w:rPr>
                <w:rFonts w:ascii="Arial" w:hAnsi="Arial" w:cs="Arial"/>
                <w:color w:val="000000"/>
                <w:sz w:val="14"/>
                <w:szCs w:val="14"/>
                <w:lang w:val="es-ES" w:eastAsia="es-ES"/>
              </w:rPr>
            </w:pPr>
          </w:p>
        </w:tc>
        <w:tc>
          <w:tcPr>
            <w:tcW w:w="823" w:type="dxa"/>
            <w:tcBorders>
              <w:bottom w:val="single" w:sz="4" w:space="0" w:color="auto"/>
            </w:tcBorders>
            <w:shd w:val="clear" w:color="auto" w:fill="FBD4B4" w:themeFill="accent6" w:themeFillTint="66"/>
            <w:vAlign w:val="center"/>
            <w:hideMark/>
          </w:tcPr>
          <w:p w:rsidR="00EC4F97" w:rsidRPr="00DC0E5F" w:rsidRDefault="00EC4F97" w:rsidP="00422AD9">
            <w:pPr>
              <w:spacing w:after="0"/>
              <w:ind w:firstLine="0"/>
              <w:jc w:val="center"/>
              <w:rPr>
                <w:rFonts w:ascii="Arial" w:hAnsi="Arial" w:cs="Arial"/>
                <w:color w:val="000000"/>
                <w:sz w:val="14"/>
                <w:szCs w:val="14"/>
                <w:lang w:val="es-ES" w:eastAsia="es-ES"/>
              </w:rPr>
            </w:pPr>
            <w:r w:rsidRPr="00DC0E5F">
              <w:rPr>
                <w:rFonts w:ascii="Arial" w:hAnsi="Arial" w:cs="Arial"/>
                <w:color w:val="000000"/>
                <w:sz w:val="14"/>
                <w:szCs w:val="14"/>
                <w:lang w:val="es-ES" w:eastAsia="es-ES"/>
              </w:rPr>
              <w:t>Oferta más ve</w:t>
            </w:r>
            <w:r w:rsidRPr="00DC0E5F">
              <w:rPr>
                <w:rFonts w:ascii="Arial" w:hAnsi="Arial" w:cs="Arial"/>
                <w:color w:val="000000"/>
                <w:sz w:val="14"/>
                <w:szCs w:val="14"/>
                <w:lang w:val="es-ES" w:eastAsia="es-ES"/>
              </w:rPr>
              <w:t>n</w:t>
            </w:r>
            <w:r w:rsidRPr="00DC0E5F">
              <w:rPr>
                <w:rFonts w:ascii="Arial" w:hAnsi="Arial" w:cs="Arial"/>
                <w:color w:val="000000"/>
                <w:sz w:val="14"/>
                <w:szCs w:val="14"/>
                <w:lang w:val="es-ES" w:eastAsia="es-ES"/>
              </w:rPr>
              <w:t>tajosa</w:t>
            </w:r>
          </w:p>
        </w:tc>
        <w:tc>
          <w:tcPr>
            <w:tcW w:w="169" w:type="dxa"/>
            <w:tcBorders>
              <w:bottom w:val="single" w:sz="4" w:space="0" w:color="auto"/>
            </w:tcBorders>
            <w:shd w:val="clear" w:color="auto" w:fill="FBD4B4" w:themeFill="accent6" w:themeFillTint="66"/>
          </w:tcPr>
          <w:p w:rsidR="00EC4F97" w:rsidRPr="009E337B" w:rsidRDefault="00EC4F97" w:rsidP="00422AD9">
            <w:pPr>
              <w:spacing w:after="0"/>
              <w:ind w:firstLine="0"/>
              <w:jc w:val="left"/>
              <w:rPr>
                <w:rFonts w:ascii="Calibri" w:hAnsi="Calibri" w:cs="Calibri"/>
                <w:color w:val="000000"/>
                <w:sz w:val="19"/>
                <w:szCs w:val="19"/>
                <w:lang w:val="es-ES" w:eastAsia="es-ES"/>
              </w:rPr>
            </w:pPr>
          </w:p>
        </w:tc>
        <w:tc>
          <w:tcPr>
            <w:tcW w:w="644" w:type="dxa"/>
            <w:vMerge/>
            <w:tcBorders>
              <w:top w:val="single" w:sz="4" w:space="0" w:color="auto"/>
              <w:bottom w:val="single" w:sz="4" w:space="0" w:color="auto"/>
              <w:right w:val="nil"/>
            </w:tcBorders>
            <w:shd w:val="clear" w:color="auto" w:fill="FBD4B4" w:themeFill="accent6" w:themeFillTint="66"/>
            <w:vAlign w:val="center"/>
            <w:hideMark/>
          </w:tcPr>
          <w:p w:rsidR="00EC4F97" w:rsidRPr="009E337B" w:rsidRDefault="00EC4F97" w:rsidP="00422AD9">
            <w:pPr>
              <w:spacing w:after="0"/>
              <w:ind w:firstLine="0"/>
              <w:jc w:val="left"/>
              <w:rPr>
                <w:rFonts w:ascii="Calibri" w:hAnsi="Calibri" w:cs="Calibri"/>
                <w:color w:val="000000"/>
                <w:sz w:val="19"/>
                <w:szCs w:val="19"/>
                <w:lang w:val="es-ES" w:eastAsia="es-ES"/>
              </w:rPr>
            </w:pPr>
          </w:p>
        </w:tc>
      </w:tr>
      <w:tr w:rsidR="00EC4F97" w:rsidRPr="00DC0E5F" w:rsidTr="00422AD9">
        <w:trPr>
          <w:trHeight w:val="300"/>
        </w:trPr>
        <w:tc>
          <w:tcPr>
            <w:tcW w:w="1135" w:type="dxa"/>
            <w:tcBorders>
              <w:top w:val="single" w:sz="4" w:space="0" w:color="auto"/>
              <w:left w:val="nil"/>
              <w:bottom w:val="single" w:sz="4" w:space="0" w:color="auto"/>
            </w:tcBorders>
            <w:shd w:val="clear" w:color="auto" w:fill="auto"/>
            <w:noWrap/>
            <w:vAlign w:val="center"/>
            <w:hideMark/>
          </w:tcPr>
          <w:p w:rsidR="00EC4F97" w:rsidRPr="00DC0E5F" w:rsidRDefault="00EC4F97" w:rsidP="00422AD9">
            <w:pPr>
              <w:spacing w:after="0"/>
              <w:ind w:firstLine="0"/>
              <w:jc w:val="lef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Asistencia</w:t>
            </w:r>
          </w:p>
        </w:tc>
        <w:tc>
          <w:tcPr>
            <w:tcW w:w="772"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133</w:t>
            </w:r>
          </w:p>
        </w:tc>
        <w:tc>
          <w:tcPr>
            <w:tcW w:w="555"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8</w:t>
            </w:r>
          </w:p>
        </w:tc>
        <w:tc>
          <w:tcPr>
            <w:tcW w:w="160" w:type="dxa"/>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724"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2</w:t>
            </w:r>
          </w:p>
        </w:tc>
        <w:tc>
          <w:tcPr>
            <w:tcW w:w="803"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22</w:t>
            </w:r>
          </w:p>
        </w:tc>
        <w:tc>
          <w:tcPr>
            <w:tcW w:w="575"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4</w:t>
            </w:r>
          </w:p>
        </w:tc>
        <w:tc>
          <w:tcPr>
            <w:tcW w:w="166" w:type="dxa"/>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1064"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1</w:t>
            </w:r>
          </w:p>
        </w:tc>
        <w:tc>
          <w:tcPr>
            <w:tcW w:w="160" w:type="dxa"/>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945"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1</w:t>
            </w:r>
          </w:p>
        </w:tc>
        <w:tc>
          <w:tcPr>
            <w:tcW w:w="160" w:type="dxa"/>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909"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1</w:t>
            </w:r>
          </w:p>
        </w:tc>
        <w:tc>
          <w:tcPr>
            <w:tcW w:w="166" w:type="dxa"/>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823"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3</w:t>
            </w:r>
          </w:p>
        </w:tc>
        <w:tc>
          <w:tcPr>
            <w:tcW w:w="169" w:type="dxa"/>
          </w:tcPr>
          <w:p w:rsidR="00EC4F97" w:rsidRPr="00DC0E5F" w:rsidRDefault="00EC4F97" w:rsidP="00422AD9">
            <w:pPr>
              <w:spacing w:after="0"/>
              <w:ind w:firstLine="0"/>
              <w:jc w:val="right"/>
              <w:rPr>
                <w:rFonts w:ascii="Arial Narrow" w:hAnsi="Arial Narrow" w:cs="Calibri"/>
                <w:bCs/>
                <w:color w:val="000000"/>
                <w:sz w:val="16"/>
                <w:szCs w:val="16"/>
                <w:lang w:val="es-ES" w:eastAsia="es-ES"/>
              </w:rPr>
            </w:pPr>
          </w:p>
        </w:tc>
        <w:tc>
          <w:tcPr>
            <w:tcW w:w="644" w:type="dxa"/>
            <w:tcBorders>
              <w:top w:val="single" w:sz="4" w:space="0" w:color="auto"/>
              <w:bottom w:val="single" w:sz="4" w:space="0" w:color="auto"/>
              <w:right w:val="nil"/>
            </w:tcBorders>
            <w:shd w:val="clear" w:color="auto" w:fill="auto"/>
            <w:noWrap/>
            <w:vAlign w:val="center"/>
            <w:hideMark/>
          </w:tcPr>
          <w:p w:rsidR="00EC4F97" w:rsidRPr="00DC0E5F" w:rsidRDefault="00EC4F97" w:rsidP="00422AD9">
            <w:pPr>
              <w:spacing w:after="0"/>
              <w:ind w:firstLine="0"/>
              <w:jc w:val="right"/>
              <w:rPr>
                <w:rFonts w:ascii="Arial Narrow" w:hAnsi="Arial Narrow" w:cs="Calibri"/>
                <w:bCs/>
                <w:color w:val="000000"/>
                <w:sz w:val="16"/>
                <w:szCs w:val="16"/>
                <w:lang w:val="es-ES" w:eastAsia="es-ES"/>
              </w:rPr>
            </w:pPr>
            <w:r w:rsidRPr="00DC0E5F">
              <w:rPr>
                <w:rFonts w:ascii="Arial Narrow" w:hAnsi="Arial Narrow" w:cs="Calibri"/>
                <w:bCs/>
                <w:color w:val="000000"/>
                <w:sz w:val="16"/>
                <w:szCs w:val="16"/>
                <w:lang w:val="es-ES" w:eastAsia="es-ES"/>
              </w:rPr>
              <w:t>175</w:t>
            </w:r>
          </w:p>
        </w:tc>
      </w:tr>
      <w:tr w:rsidR="00EC4F97" w:rsidRPr="00DC0E5F" w:rsidTr="00422AD9">
        <w:trPr>
          <w:trHeight w:val="300"/>
        </w:trPr>
        <w:tc>
          <w:tcPr>
            <w:tcW w:w="1135" w:type="dxa"/>
            <w:tcBorders>
              <w:top w:val="single" w:sz="4" w:space="0" w:color="auto"/>
              <w:left w:val="nil"/>
              <w:bottom w:val="single" w:sz="4" w:space="0" w:color="auto"/>
            </w:tcBorders>
            <w:shd w:val="clear" w:color="auto" w:fill="auto"/>
            <w:noWrap/>
            <w:vAlign w:val="center"/>
            <w:hideMark/>
          </w:tcPr>
          <w:p w:rsidR="00EC4F97" w:rsidRPr="00DC0E5F" w:rsidRDefault="00EC4F97" w:rsidP="00422AD9">
            <w:pPr>
              <w:spacing w:after="0"/>
              <w:ind w:firstLine="0"/>
              <w:jc w:val="lef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Obras</w:t>
            </w:r>
          </w:p>
        </w:tc>
        <w:tc>
          <w:tcPr>
            <w:tcW w:w="772"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73</w:t>
            </w:r>
          </w:p>
        </w:tc>
        <w:tc>
          <w:tcPr>
            <w:tcW w:w="555"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12</w:t>
            </w:r>
          </w:p>
        </w:tc>
        <w:tc>
          <w:tcPr>
            <w:tcW w:w="160" w:type="dxa"/>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724"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4</w:t>
            </w:r>
          </w:p>
        </w:tc>
        <w:tc>
          <w:tcPr>
            <w:tcW w:w="803"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42</w:t>
            </w:r>
          </w:p>
        </w:tc>
        <w:tc>
          <w:tcPr>
            <w:tcW w:w="575"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11</w:t>
            </w:r>
          </w:p>
        </w:tc>
        <w:tc>
          <w:tcPr>
            <w:tcW w:w="166" w:type="dxa"/>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1064"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 </w:t>
            </w:r>
          </w:p>
        </w:tc>
        <w:tc>
          <w:tcPr>
            <w:tcW w:w="160" w:type="dxa"/>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945"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 </w:t>
            </w:r>
          </w:p>
        </w:tc>
        <w:tc>
          <w:tcPr>
            <w:tcW w:w="160" w:type="dxa"/>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909"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2</w:t>
            </w:r>
          </w:p>
        </w:tc>
        <w:tc>
          <w:tcPr>
            <w:tcW w:w="166" w:type="dxa"/>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823"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 </w:t>
            </w:r>
          </w:p>
        </w:tc>
        <w:tc>
          <w:tcPr>
            <w:tcW w:w="169" w:type="dxa"/>
          </w:tcPr>
          <w:p w:rsidR="00EC4F97" w:rsidRPr="00DC0E5F" w:rsidRDefault="00EC4F97" w:rsidP="00422AD9">
            <w:pPr>
              <w:spacing w:after="0"/>
              <w:ind w:firstLine="0"/>
              <w:jc w:val="right"/>
              <w:rPr>
                <w:rFonts w:ascii="Arial Narrow" w:hAnsi="Arial Narrow" w:cs="Calibri"/>
                <w:bCs/>
                <w:color w:val="000000"/>
                <w:sz w:val="16"/>
                <w:szCs w:val="16"/>
                <w:lang w:val="es-ES" w:eastAsia="es-ES"/>
              </w:rPr>
            </w:pPr>
          </w:p>
        </w:tc>
        <w:tc>
          <w:tcPr>
            <w:tcW w:w="644" w:type="dxa"/>
            <w:tcBorders>
              <w:top w:val="single" w:sz="4" w:space="0" w:color="auto"/>
              <w:bottom w:val="single" w:sz="4" w:space="0" w:color="auto"/>
              <w:right w:val="nil"/>
            </w:tcBorders>
            <w:shd w:val="clear" w:color="auto" w:fill="auto"/>
            <w:noWrap/>
            <w:vAlign w:val="center"/>
            <w:hideMark/>
          </w:tcPr>
          <w:p w:rsidR="00EC4F97" w:rsidRPr="00DC0E5F" w:rsidRDefault="00EC4F97" w:rsidP="00422AD9">
            <w:pPr>
              <w:spacing w:after="0"/>
              <w:ind w:firstLine="0"/>
              <w:jc w:val="right"/>
              <w:rPr>
                <w:rFonts w:ascii="Arial Narrow" w:hAnsi="Arial Narrow" w:cs="Calibri"/>
                <w:bCs/>
                <w:color w:val="000000"/>
                <w:sz w:val="16"/>
                <w:szCs w:val="16"/>
                <w:lang w:val="es-ES" w:eastAsia="es-ES"/>
              </w:rPr>
            </w:pPr>
            <w:r w:rsidRPr="00DC0E5F">
              <w:rPr>
                <w:rFonts w:ascii="Arial Narrow" w:hAnsi="Arial Narrow" w:cs="Calibri"/>
                <w:bCs/>
                <w:color w:val="000000"/>
                <w:sz w:val="16"/>
                <w:szCs w:val="16"/>
                <w:lang w:val="es-ES" w:eastAsia="es-ES"/>
              </w:rPr>
              <w:t>144</w:t>
            </w:r>
          </w:p>
        </w:tc>
      </w:tr>
      <w:tr w:rsidR="00EC4F97" w:rsidRPr="00DC0E5F" w:rsidTr="00422AD9">
        <w:trPr>
          <w:trHeight w:val="300"/>
        </w:trPr>
        <w:tc>
          <w:tcPr>
            <w:tcW w:w="1135" w:type="dxa"/>
            <w:tcBorders>
              <w:top w:val="single" w:sz="4" w:space="0" w:color="auto"/>
              <w:left w:val="nil"/>
              <w:bottom w:val="single" w:sz="4" w:space="0" w:color="auto"/>
            </w:tcBorders>
            <w:shd w:val="clear" w:color="auto" w:fill="auto"/>
            <w:noWrap/>
            <w:vAlign w:val="center"/>
            <w:hideMark/>
          </w:tcPr>
          <w:p w:rsidR="00EC4F97" w:rsidRPr="00DC0E5F" w:rsidRDefault="00EC4F97" w:rsidP="00422AD9">
            <w:pPr>
              <w:spacing w:after="0"/>
              <w:ind w:firstLine="0"/>
              <w:jc w:val="lef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Suministro</w:t>
            </w:r>
          </w:p>
        </w:tc>
        <w:tc>
          <w:tcPr>
            <w:tcW w:w="772"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38</w:t>
            </w:r>
          </w:p>
        </w:tc>
        <w:tc>
          <w:tcPr>
            <w:tcW w:w="555"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14</w:t>
            </w:r>
          </w:p>
        </w:tc>
        <w:tc>
          <w:tcPr>
            <w:tcW w:w="160" w:type="dxa"/>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724"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 </w:t>
            </w:r>
          </w:p>
        </w:tc>
        <w:tc>
          <w:tcPr>
            <w:tcW w:w="803"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17</w:t>
            </w:r>
          </w:p>
        </w:tc>
        <w:tc>
          <w:tcPr>
            <w:tcW w:w="575"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13</w:t>
            </w:r>
          </w:p>
        </w:tc>
        <w:tc>
          <w:tcPr>
            <w:tcW w:w="166" w:type="dxa"/>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1064"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 </w:t>
            </w:r>
          </w:p>
        </w:tc>
        <w:tc>
          <w:tcPr>
            <w:tcW w:w="160" w:type="dxa"/>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945"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 </w:t>
            </w:r>
          </w:p>
        </w:tc>
        <w:tc>
          <w:tcPr>
            <w:tcW w:w="160" w:type="dxa"/>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909"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3</w:t>
            </w:r>
          </w:p>
        </w:tc>
        <w:tc>
          <w:tcPr>
            <w:tcW w:w="166" w:type="dxa"/>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823"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 </w:t>
            </w:r>
          </w:p>
        </w:tc>
        <w:tc>
          <w:tcPr>
            <w:tcW w:w="169" w:type="dxa"/>
          </w:tcPr>
          <w:p w:rsidR="00EC4F97" w:rsidRPr="00DC0E5F" w:rsidRDefault="00EC4F97" w:rsidP="00422AD9">
            <w:pPr>
              <w:spacing w:after="0"/>
              <w:ind w:firstLine="0"/>
              <w:jc w:val="right"/>
              <w:rPr>
                <w:rFonts w:ascii="Arial Narrow" w:hAnsi="Arial Narrow" w:cs="Calibri"/>
                <w:bCs/>
                <w:color w:val="000000"/>
                <w:sz w:val="16"/>
                <w:szCs w:val="16"/>
                <w:lang w:val="es-ES" w:eastAsia="es-ES"/>
              </w:rPr>
            </w:pPr>
          </w:p>
        </w:tc>
        <w:tc>
          <w:tcPr>
            <w:tcW w:w="644" w:type="dxa"/>
            <w:tcBorders>
              <w:top w:val="single" w:sz="4" w:space="0" w:color="auto"/>
              <w:bottom w:val="single" w:sz="4" w:space="0" w:color="auto"/>
              <w:right w:val="nil"/>
            </w:tcBorders>
            <w:shd w:val="clear" w:color="auto" w:fill="auto"/>
            <w:noWrap/>
            <w:vAlign w:val="center"/>
            <w:hideMark/>
          </w:tcPr>
          <w:p w:rsidR="00EC4F97" w:rsidRPr="00DC0E5F" w:rsidRDefault="00EC4F97" w:rsidP="00422AD9">
            <w:pPr>
              <w:spacing w:after="0"/>
              <w:ind w:firstLine="0"/>
              <w:jc w:val="right"/>
              <w:rPr>
                <w:rFonts w:ascii="Arial Narrow" w:hAnsi="Arial Narrow" w:cs="Calibri"/>
                <w:bCs/>
                <w:color w:val="000000"/>
                <w:sz w:val="16"/>
                <w:szCs w:val="16"/>
                <w:lang w:val="es-ES" w:eastAsia="es-ES"/>
              </w:rPr>
            </w:pPr>
            <w:r w:rsidRPr="00DC0E5F">
              <w:rPr>
                <w:rFonts w:ascii="Arial Narrow" w:hAnsi="Arial Narrow" w:cs="Calibri"/>
                <w:bCs/>
                <w:color w:val="000000"/>
                <w:sz w:val="16"/>
                <w:szCs w:val="16"/>
                <w:lang w:val="es-ES" w:eastAsia="es-ES"/>
              </w:rPr>
              <w:t>85</w:t>
            </w:r>
          </w:p>
        </w:tc>
      </w:tr>
      <w:tr w:rsidR="00EC4F97" w:rsidRPr="00DC0E5F" w:rsidTr="00C12B66">
        <w:trPr>
          <w:trHeight w:val="300"/>
        </w:trPr>
        <w:tc>
          <w:tcPr>
            <w:tcW w:w="1135" w:type="dxa"/>
            <w:tcBorders>
              <w:top w:val="single" w:sz="4" w:space="0" w:color="auto"/>
              <w:left w:val="nil"/>
              <w:bottom w:val="single" w:sz="4" w:space="0" w:color="auto"/>
            </w:tcBorders>
            <w:shd w:val="clear" w:color="auto" w:fill="auto"/>
            <w:noWrap/>
            <w:vAlign w:val="center"/>
            <w:hideMark/>
          </w:tcPr>
          <w:p w:rsidR="00EC4F97" w:rsidRPr="00DC0E5F" w:rsidRDefault="00EC4F97" w:rsidP="00422AD9">
            <w:pPr>
              <w:spacing w:after="0"/>
              <w:ind w:firstLine="0"/>
              <w:jc w:val="lef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Concesión de servicios</w:t>
            </w:r>
          </w:p>
        </w:tc>
        <w:tc>
          <w:tcPr>
            <w:tcW w:w="772" w:type="dxa"/>
            <w:tcBorders>
              <w:top w:val="single" w:sz="4" w:space="0" w:color="auto"/>
              <w:bottom w:val="single" w:sz="4" w:space="0" w:color="auto"/>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16</w:t>
            </w:r>
          </w:p>
        </w:tc>
        <w:tc>
          <w:tcPr>
            <w:tcW w:w="555" w:type="dxa"/>
            <w:tcBorders>
              <w:top w:val="single" w:sz="4" w:space="0" w:color="auto"/>
              <w:bottom w:val="single" w:sz="4" w:space="0" w:color="000000"/>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 </w:t>
            </w:r>
          </w:p>
        </w:tc>
        <w:tc>
          <w:tcPr>
            <w:tcW w:w="160" w:type="dxa"/>
            <w:tcBorders>
              <w:bottom w:val="single" w:sz="4" w:space="0" w:color="000000"/>
            </w:tcBorders>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724" w:type="dxa"/>
            <w:tcBorders>
              <w:top w:val="single" w:sz="4" w:space="0" w:color="auto"/>
              <w:bottom w:val="single" w:sz="4" w:space="0" w:color="000000"/>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 </w:t>
            </w:r>
          </w:p>
        </w:tc>
        <w:tc>
          <w:tcPr>
            <w:tcW w:w="803" w:type="dxa"/>
            <w:tcBorders>
              <w:top w:val="single" w:sz="4" w:space="0" w:color="auto"/>
              <w:bottom w:val="single" w:sz="4" w:space="0" w:color="000000"/>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 </w:t>
            </w:r>
          </w:p>
        </w:tc>
        <w:tc>
          <w:tcPr>
            <w:tcW w:w="575" w:type="dxa"/>
            <w:tcBorders>
              <w:top w:val="single" w:sz="4" w:space="0" w:color="auto"/>
              <w:bottom w:val="single" w:sz="4" w:space="0" w:color="000000"/>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 </w:t>
            </w:r>
          </w:p>
        </w:tc>
        <w:tc>
          <w:tcPr>
            <w:tcW w:w="166" w:type="dxa"/>
            <w:tcBorders>
              <w:bottom w:val="single" w:sz="4" w:space="0" w:color="000000"/>
            </w:tcBorders>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1064" w:type="dxa"/>
            <w:tcBorders>
              <w:top w:val="single" w:sz="4" w:space="0" w:color="auto"/>
              <w:bottom w:val="single" w:sz="4" w:space="0" w:color="000000"/>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 </w:t>
            </w:r>
          </w:p>
        </w:tc>
        <w:tc>
          <w:tcPr>
            <w:tcW w:w="160" w:type="dxa"/>
            <w:tcBorders>
              <w:bottom w:val="single" w:sz="4" w:space="0" w:color="000000"/>
            </w:tcBorders>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945" w:type="dxa"/>
            <w:tcBorders>
              <w:top w:val="single" w:sz="4" w:space="0" w:color="auto"/>
              <w:bottom w:val="single" w:sz="4" w:space="0" w:color="000000"/>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 </w:t>
            </w:r>
          </w:p>
        </w:tc>
        <w:tc>
          <w:tcPr>
            <w:tcW w:w="160" w:type="dxa"/>
            <w:tcBorders>
              <w:bottom w:val="single" w:sz="4" w:space="0" w:color="000000"/>
            </w:tcBorders>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909" w:type="dxa"/>
            <w:tcBorders>
              <w:top w:val="single" w:sz="4" w:space="0" w:color="auto"/>
              <w:bottom w:val="single" w:sz="4" w:space="0" w:color="000000"/>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1</w:t>
            </w:r>
          </w:p>
        </w:tc>
        <w:tc>
          <w:tcPr>
            <w:tcW w:w="166" w:type="dxa"/>
            <w:tcBorders>
              <w:bottom w:val="single" w:sz="4" w:space="0" w:color="000000"/>
            </w:tcBorders>
          </w:tcPr>
          <w:p w:rsidR="00EC4F97" w:rsidRPr="00DC0E5F" w:rsidRDefault="00EC4F97" w:rsidP="00422AD9">
            <w:pPr>
              <w:spacing w:after="0"/>
              <w:ind w:firstLine="0"/>
              <w:jc w:val="right"/>
              <w:rPr>
                <w:rFonts w:ascii="Arial Narrow" w:hAnsi="Arial Narrow" w:cs="Calibri"/>
                <w:color w:val="000000"/>
                <w:sz w:val="16"/>
                <w:szCs w:val="16"/>
                <w:lang w:val="es-ES" w:eastAsia="es-ES"/>
              </w:rPr>
            </w:pPr>
          </w:p>
        </w:tc>
        <w:tc>
          <w:tcPr>
            <w:tcW w:w="823" w:type="dxa"/>
            <w:tcBorders>
              <w:top w:val="single" w:sz="4" w:space="0" w:color="auto"/>
              <w:bottom w:val="single" w:sz="4" w:space="0" w:color="000000"/>
            </w:tcBorders>
            <w:shd w:val="clear" w:color="auto" w:fill="auto"/>
            <w:noWrap/>
            <w:vAlign w:val="center"/>
            <w:hideMark/>
          </w:tcPr>
          <w:p w:rsidR="00EC4F97" w:rsidRPr="00DC0E5F" w:rsidRDefault="00EC4F97" w:rsidP="00422AD9">
            <w:pPr>
              <w:spacing w:after="0"/>
              <w:ind w:firstLine="0"/>
              <w:jc w:val="right"/>
              <w:rPr>
                <w:rFonts w:ascii="Arial Narrow" w:hAnsi="Arial Narrow" w:cs="Calibri"/>
                <w:color w:val="000000"/>
                <w:sz w:val="16"/>
                <w:szCs w:val="16"/>
                <w:lang w:val="es-ES" w:eastAsia="es-ES"/>
              </w:rPr>
            </w:pPr>
            <w:r w:rsidRPr="00DC0E5F">
              <w:rPr>
                <w:rFonts w:ascii="Arial Narrow" w:hAnsi="Arial Narrow" w:cs="Calibri"/>
                <w:color w:val="000000"/>
                <w:sz w:val="16"/>
                <w:szCs w:val="16"/>
                <w:lang w:val="es-ES" w:eastAsia="es-ES"/>
              </w:rPr>
              <w:t> </w:t>
            </w:r>
          </w:p>
        </w:tc>
        <w:tc>
          <w:tcPr>
            <w:tcW w:w="169" w:type="dxa"/>
            <w:tcBorders>
              <w:bottom w:val="single" w:sz="4" w:space="0" w:color="000000"/>
            </w:tcBorders>
          </w:tcPr>
          <w:p w:rsidR="00EC4F97" w:rsidRPr="00DC0E5F" w:rsidRDefault="00EC4F97" w:rsidP="00422AD9">
            <w:pPr>
              <w:spacing w:after="0"/>
              <w:ind w:firstLine="0"/>
              <w:jc w:val="right"/>
              <w:rPr>
                <w:rFonts w:ascii="Arial Narrow" w:hAnsi="Arial Narrow" w:cs="Calibri"/>
                <w:bCs/>
                <w:color w:val="000000"/>
                <w:sz w:val="16"/>
                <w:szCs w:val="16"/>
                <w:lang w:val="es-ES" w:eastAsia="es-ES"/>
              </w:rPr>
            </w:pPr>
          </w:p>
        </w:tc>
        <w:tc>
          <w:tcPr>
            <w:tcW w:w="644" w:type="dxa"/>
            <w:tcBorders>
              <w:top w:val="single" w:sz="4" w:space="0" w:color="auto"/>
              <w:bottom w:val="single" w:sz="4" w:space="0" w:color="000000"/>
              <w:right w:val="nil"/>
            </w:tcBorders>
            <w:shd w:val="clear" w:color="auto" w:fill="auto"/>
            <w:noWrap/>
            <w:vAlign w:val="center"/>
            <w:hideMark/>
          </w:tcPr>
          <w:p w:rsidR="00EC4F97" w:rsidRPr="00DC0E5F" w:rsidRDefault="00EC4F97" w:rsidP="00422AD9">
            <w:pPr>
              <w:spacing w:after="0"/>
              <w:ind w:firstLine="0"/>
              <w:jc w:val="right"/>
              <w:rPr>
                <w:rFonts w:ascii="Arial Narrow" w:hAnsi="Arial Narrow" w:cs="Calibri"/>
                <w:bCs/>
                <w:color w:val="000000"/>
                <w:sz w:val="16"/>
                <w:szCs w:val="16"/>
                <w:lang w:val="es-ES" w:eastAsia="es-ES"/>
              </w:rPr>
            </w:pPr>
            <w:r w:rsidRPr="00DC0E5F">
              <w:rPr>
                <w:rFonts w:ascii="Arial Narrow" w:hAnsi="Arial Narrow" w:cs="Calibri"/>
                <w:bCs/>
                <w:color w:val="000000"/>
                <w:sz w:val="16"/>
                <w:szCs w:val="16"/>
                <w:lang w:val="es-ES" w:eastAsia="es-ES"/>
              </w:rPr>
              <w:t>17</w:t>
            </w:r>
          </w:p>
        </w:tc>
      </w:tr>
      <w:tr w:rsidR="00EC4F97" w:rsidRPr="00BA7955" w:rsidTr="00C12B66">
        <w:trPr>
          <w:trHeight w:val="300"/>
        </w:trPr>
        <w:tc>
          <w:tcPr>
            <w:tcW w:w="1135" w:type="dxa"/>
            <w:tcBorders>
              <w:top w:val="single" w:sz="4" w:space="0" w:color="auto"/>
              <w:left w:val="nil"/>
              <w:bottom w:val="single" w:sz="4" w:space="0" w:color="auto"/>
            </w:tcBorders>
            <w:shd w:val="clear" w:color="auto" w:fill="FBD4B4" w:themeFill="accent6" w:themeFillTint="66"/>
            <w:noWrap/>
            <w:vAlign w:val="bottom"/>
            <w:hideMark/>
          </w:tcPr>
          <w:p w:rsidR="00EC4F97" w:rsidRPr="00BA7955" w:rsidRDefault="00EC4F97" w:rsidP="00422AD9">
            <w:pPr>
              <w:spacing w:after="0"/>
              <w:ind w:firstLine="0"/>
              <w:rPr>
                <w:rFonts w:ascii="Arial" w:hAnsi="Arial" w:cs="Arial"/>
                <w:color w:val="000000"/>
                <w:sz w:val="16"/>
                <w:szCs w:val="16"/>
                <w:lang w:val="es-ES" w:eastAsia="es-ES"/>
              </w:rPr>
            </w:pPr>
            <w:r w:rsidRPr="00BA7955">
              <w:rPr>
                <w:rFonts w:ascii="Arial" w:hAnsi="Arial" w:cs="Arial"/>
                <w:color w:val="000000"/>
                <w:sz w:val="16"/>
                <w:szCs w:val="16"/>
                <w:lang w:val="es-ES" w:eastAsia="es-ES"/>
              </w:rPr>
              <w:t>Total general</w:t>
            </w:r>
          </w:p>
        </w:tc>
        <w:tc>
          <w:tcPr>
            <w:tcW w:w="772" w:type="dxa"/>
            <w:tcBorders>
              <w:top w:val="single" w:sz="4" w:space="0" w:color="auto"/>
              <w:bottom w:val="single" w:sz="4" w:space="0" w:color="auto"/>
            </w:tcBorders>
            <w:shd w:val="clear" w:color="auto" w:fill="FBD4B4" w:themeFill="accent6" w:themeFillTint="66"/>
            <w:noWrap/>
            <w:vAlign w:val="bottom"/>
            <w:hideMark/>
          </w:tcPr>
          <w:p w:rsidR="00EC4F97" w:rsidRPr="00BA7955" w:rsidRDefault="00EC4F97" w:rsidP="00422AD9">
            <w:pPr>
              <w:spacing w:after="0"/>
              <w:ind w:firstLine="0"/>
              <w:jc w:val="right"/>
              <w:rPr>
                <w:rFonts w:ascii="Arial" w:hAnsi="Arial" w:cs="Arial"/>
                <w:color w:val="000000"/>
                <w:sz w:val="18"/>
                <w:szCs w:val="18"/>
                <w:lang w:val="es-ES" w:eastAsia="es-ES"/>
              </w:rPr>
            </w:pPr>
            <w:r w:rsidRPr="00BA7955">
              <w:rPr>
                <w:rFonts w:ascii="Arial" w:hAnsi="Arial" w:cs="Arial"/>
                <w:color w:val="000000"/>
                <w:sz w:val="18"/>
                <w:szCs w:val="18"/>
                <w:lang w:val="es-ES" w:eastAsia="es-ES"/>
              </w:rPr>
              <w:t>260</w:t>
            </w:r>
          </w:p>
        </w:tc>
        <w:tc>
          <w:tcPr>
            <w:tcW w:w="555" w:type="dxa"/>
            <w:tcBorders>
              <w:top w:val="single" w:sz="4" w:space="0" w:color="000000"/>
              <w:bottom w:val="single" w:sz="4" w:space="0" w:color="auto"/>
            </w:tcBorders>
            <w:shd w:val="clear" w:color="auto" w:fill="FBD4B4" w:themeFill="accent6" w:themeFillTint="66"/>
            <w:noWrap/>
            <w:vAlign w:val="bottom"/>
            <w:hideMark/>
          </w:tcPr>
          <w:p w:rsidR="00EC4F97" w:rsidRPr="00BA7955" w:rsidRDefault="00EC4F97" w:rsidP="00422AD9">
            <w:pPr>
              <w:spacing w:after="0"/>
              <w:ind w:firstLine="0"/>
              <w:jc w:val="right"/>
              <w:rPr>
                <w:rFonts w:ascii="Arial" w:hAnsi="Arial" w:cs="Arial"/>
                <w:color w:val="000000"/>
                <w:sz w:val="18"/>
                <w:szCs w:val="18"/>
                <w:lang w:val="es-ES" w:eastAsia="es-ES"/>
              </w:rPr>
            </w:pPr>
            <w:r w:rsidRPr="00BA7955">
              <w:rPr>
                <w:rFonts w:ascii="Arial" w:hAnsi="Arial" w:cs="Arial"/>
                <w:color w:val="000000"/>
                <w:sz w:val="18"/>
                <w:szCs w:val="18"/>
                <w:lang w:val="es-ES" w:eastAsia="es-ES"/>
              </w:rPr>
              <w:t>34</w:t>
            </w:r>
          </w:p>
        </w:tc>
        <w:tc>
          <w:tcPr>
            <w:tcW w:w="160" w:type="dxa"/>
            <w:tcBorders>
              <w:top w:val="single" w:sz="4" w:space="0" w:color="000000"/>
              <w:bottom w:val="single" w:sz="4" w:space="0" w:color="auto"/>
            </w:tcBorders>
            <w:shd w:val="clear" w:color="auto" w:fill="FBD4B4" w:themeFill="accent6" w:themeFillTint="66"/>
          </w:tcPr>
          <w:p w:rsidR="00EC4F97" w:rsidRPr="00BA7955" w:rsidRDefault="00EC4F97" w:rsidP="00422AD9">
            <w:pPr>
              <w:spacing w:after="0"/>
              <w:ind w:firstLine="0"/>
              <w:jc w:val="right"/>
              <w:rPr>
                <w:rFonts w:ascii="Arial" w:hAnsi="Arial" w:cs="Arial"/>
                <w:color w:val="000000"/>
                <w:sz w:val="18"/>
                <w:szCs w:val="18"/>
                <w:lang w:val="es-ES" w:eastAsia="es-ES"/>
              </w:rPr>
            </w:pPr>
          </w:p>
        </w:tc>
        <w:tc>
          <w:tcPr>
            <w:tcW w:w="724" w:type="dxa"/>
            <w:tcBorders>
              <w:top w:val="single" w:sz="4" w:space="0" w:color="000000"/>
              <w:bottom w:val="single" w:sz="4" w:space="0" w:color="auto"/>
            </w:tcBorders>
            <w:shd w:val="clear" w:color="auto" w:fill="FBD4B4" w:themeFill="accent6" w:themeFillTint="66"/>
            <w:noWrap/>
            <w:vAlign w:val="bottom"/>
            <w:hideMark/>
          </w:tcPr>
          <w:p w:rsidR="00EC4F97" w:rsidRPr="00BA7955" w:rsidRDefault="00EC4F97" w:rsidP="00422AD9">
            <w:pPr>
              <w:spacing w:after="0"/>
              <w:ind w:firstLine="0"/>
              <w:jc w:val="right"/>
              <w:rPr>
                <w:rFonts w:ascii="Arial" w:hAnsi="Arial" w:cs="Arial"/>
                <w:color w:val="000000"/>
                <w:sz w:val="18"/>
                <w:szCs w:val="18"/>
                <w:lang w:val="es-ES" w:eastAsia="es-ES"/>
              </w:rPr>
            </w:pPr>
            <w:r w:rsidRPr="00BA7955">
              <w:rPr>
                <w:rFonts w:ascii="Arial" w:hAnsi="Arial" w:cs="Arial"/>
                <w:color w:val="000000"/>
                <w:sz w:val="18"/>
                <w:szCs w:val="18"/>
                <w:lang w:val="es-ES" w:eastAsia="es-ES"/>
              </w:rPr>
              <w:t>6</w:t>
            </w:r>
          </w:p>
        </w:tc>
        <w:tc>
          <w:tcPr>
            <w:tcW w:w="803" w:type="dxa"/>
            <w:tcBorders>
              <w:top w:val="single" w:sz="4" w:space="0" w:color="000000"/>
              <w:bottom w:val="single" w:sz="4" w:space="0" w:color="auto"/>
            </w:tcBorders>
            <w:shd w:val="clear" w:color="auto" w:fill="FBD4B4" w:themeFill="accent6" w:themeFillTint="66"/>
            <w:noWrap/>
            <w:vAlign w:val="bottom"/>
            <w:hideMark/>
          </w:tcPr>
          <w:p w:rsidR="00EC4F97" w:rsidRPr="00BA7955" w:rsidRDefault="00EC4F97" w:rsidP="00422AD9">
            <w:pPr>
              <w:spacing w:after="0"/>
              <w:ind w:firstLine="0"/>
              <w:jc w:val="right"/>
              <w:rPr>
                <w:rFonts w:ascii="Arial" w:hAnsi="Arial" w:cs="Arial"/>
                <w:color w:val="000000"/>
                <w:sz w:val="18"/>
                <w:szCs w:val="18"/>
                <w:lang w:val="es-ES" w:eastAsia="es-ES"/>
              </w:rPr>
            </w:pPr>
            <w:r w:rsidRPr="00BA7955">
              <w:rPr>
                <w:rFonts w:ascii="Arial" w:hAnsi="Arial" w:cs="Arial"/>
                <w:color w:val="000000"/>
                <w:sz w:val="18"/>
                <w:szCs w:val="18"/>
                <w:lang w:val="es-ES" w:eastAsia="es-ES"/>
              </w:rPr>
              <w:t>81</w:t>
            </w:r>
          </w:p>
        </w:tc>
        <w:tc>
          <w:tcPr>
            <w:tcW w:w="575" w:type="dxa"/>
            <w:tcBorders>
              <w:top w:val="single" w:sz="4" w:space="0" w:color="000000"/>
              <w:bottom w:val="single" w:sz="4" w:space="0" w:color="auto"/>
            </w:tcBorders>
            <w:shd w:val="clear" w:color="auto" w:fill="FBD4B4" w:themeFill="accent6" w:themeFillTint="66"/>
            <w:noWrap/>
            <w:vAlign w:val="bottom"/>
            <w:hideMark/>
          </w:tcPr>
          <w:p w:rsidR="00EC4F97" w:rsidRPr="00BA7955" w:rsidRDefault="00EC4F97" w:rsidP="00422AD9">
            <w:pPr>
              <w:spacing w:after="0"/>
              <w:ind w:firstLine="0"/>
              <w:jc w:val="right"/>
              <w:rPr>
                <w:rFonts w:ascii="Arial" w:hAnsi="Arial" w:cs="Arial"/>
                <w:color w:val="000000"/>
                <w:sz w:val="18"/>
                <w:szCs w:val="18"/>
                <w:lang w:val="es-ES" w:eastAsia="es-ES"/>
              </w:rPr>
            </w:pPr>
            <w:r w:rsidRPr="00BA7955">
              <w:rPr>
                <w:rFonts w:ascii="Arial" w:hAnsi="Arial" w:cs="Arial"/>
                <w:color w:val="000000"/>
                <w:sz w:val="18"/>
                <w:szCs w:val="18"/>
                <w:lang w:val="es-ES" w:eastAsia="es-ES"/>
              </w:rPr>
              <w:t>28</w:t>
            </w:r>
          </w:p>
        </w:tc>
        <w:tc>
          <w:tcPr>
            <w:tcW w:w="166" w:type="dxa"/>
            <w:tcBorders>
              <w:top w:val="single" w:sz="4" w:space="0" w:color="000000"/>
              <w:bottom w:val="single" w:sz="4" w:space="0" w:color="auto"/>
            </w:tcBorders>
            <w:shd w:val="clear" w:color="auto" w:fill="FBD4B4" w:themeFill="accent6" w:themeFillTint="66"/>
          </w:tcPr>
          <w:p w:rsidR="00EC4F97" w:rsidRPr="00BA7955" w:rsidRDefault="00EC4F97" w:rsidP="00422AD9">
            <w:pPr>
              <w:spacing w:after="0"/>
              <w:ind w:firstLine="0"/>
              <w:jc w:val="right"/>
              <w:rPr>
                <w:rFonts w:ascii="Arial" w:hAnsi="Arial" w:cs="Arial"/>
                <w:color w:val="000000"/>
                <w:sz w:val="18"/>
                <w:szCs w:val="18"/>
                <w:lang w:val="es-ES" w:eastAsia="es-ES"/>
              </w:rPr>
            </w:pPr>
          </w:p>
        </w:tc>
        <w:tc>
          <w:tcPr>
            <w:tcW w:w="1064" w:type="dxa"/>
            <w:tcBorders>
              <w:top w:val="single" w:sz="4" w:space="0" w:color="000000"/>
              <w:bottom w:val="single" w:sz="4" w:space="0" w:color="auto"/>
            </w:tcBorders>
            <w:shd w:val="clear" w:color="auto" w:fill="FBD4B4" w:themeFill="accent6" w:themeFillTint="66"/>
            <w:noWrap/>
            <w:vAlign w:val="bottom"/>
            <w:hideMark/>
          </w:tcPr>
          <w:p w:rsidR="00EC4F97" w:rsidRPr="00BA7955" w:rsidRDefault="00EC4F97" w:rsidP="00422AD9">
            <w:pPr>
              <w:spacing w:after="0"/>
              <w:ind w:firstLine="0"/>
              <w:jc w:val="right"/>
              <w:rPr>
                <w:rFonts w:ascii="Arial" w:hAnsi="Arial" w:cs="Arial"/>
                <w:color w:val="000000"/>
                <w:sz w:val="18"/>
                <w:szCs w:val="18"/>
                <w:lang w:val="es-ES" w:eastAsia="es-ES"/>
              </w:rPr>
            </w:pPr>
            <w:r w:rsidRPr="00BA7955">
              <w:rPr>
                <w:rFonts w:ascii="Arial" w:hAnsi="Arial" w:cs="Arial"/>
                <w:color w:val="000000"/>
                <w:sz w:val="18"/>
                <w:szCs w:val="18"/>
                <w:lang w:val="es-ES" w:eastAsia="es-ES"/>
              </w:rPr>
              <w:t>1</w:t>
            </w:r>
          </w:p>
        </w:tc>
        <w:tc>
          <w:tcPr>
            <w:tcW w:w="160" w:type="dxa"/>
            <w:tcBorders>
              <w:top w:val="single" w:sz="4" w:space="0" w:color="000000"/>
              <w:bottom w:val="single" w:sz="4" w:space="0" w:color="auto"/>
            </w:tcBorders>
            <w:shd w:val="clear" w:color="auto" w:fill="FBD4B4" w:themeFill="accent6" w:themeFillTint="66"/>
          </w:tcPr>
          <w:p w:rsidR="00EC4F97" w:rsidRPr="00BA7955" w:rsidRDefault="00EC4F97" w:rsidP="00422AD9">
            <w:pPr>
              <w:spacing w:after="0"/>
              <w:ind w:firstLine="0"/>
              <w:jc w:val="right"/>
              <w:rPr>
                <w:rFonts w:ascii="Arial" w:hAnsi="Arial" w:cs="Arial"/>
                <w:color w:val="000000"/>
                <w:sz w:val="18"/>
                <w:szCs w:val="18"/>
                <w:lang w:val="es-ES" w:eastAsia="es-ES"/>
              </w:rPr>
            </w:pPr>
          </w:p>
        </w:tc>
        <w:tc>
          <w:tcPr>
            <w:tcW w:w="945" w:type="dxa"/>
            <w:tcBorders>
              <w:top w:val="single" w:sz="4" w:space="0" w:color="000000"/>
              <w:bottom w:val="single" w:sz="4" w:space="0" w:color="auto"/>
            </w:tcBorders>
            <w:shd w:val="clear" w:color="auto" w:fill="FBD4B4" w:themeFill="accent6" w:themeFillTint="66"/>
            <w:noWrap/>
            <w:vAlign w:val="bottom"/>
            <w:hideMark/>
          </w:tcPr>
          <w:p w:rsidR="00EC4F97" w:rsidRPr="00BA7955" w:rsidRDefault="00EC4F97" w:rsidP="00422AD9">
            <w:pPr>
              <w:spacing w:after="0"/>
              <w:ind w:firstLine="0"/>
              <w:jc w:val="right"/>
              <w:rPr>
                <w:rFonts w:ascii="Arial" w:hAnsi="Arial" w:cs="Arial"/>
                <w:color w:val="000000"/>
                <w:sz w:val="18"/>
                <w:szCs w:val="18"/>
                <w:lang w:val="es-ES" w:eastAsia="es-ES"/>
              </w:rPr>
            </w:pPr>
            <w:r w:rsidRPr="00BA7955">
              <w:rPr>
                <w:rFonts w:ascii="Arial" w:hAnsi="Arial" w:cs="Arial"/>
                <w:color w:val="000000"/>
                <w:sz w:val="18"/>
                <w:szCs w:val="18"/>
                <w:lang w:val="es-ES" w:eastAsia="es-ES"/>
              </w:rPr>
              <w:t>1</w:t>
            </w:r>
          </w:p>
        </w:tc>
        <w:tc>
          <w:tcPr>
            <w:tcW w:w="160" w:type="dxa"/>
            <w:tcBorders>
              <w:top w:val="single" w:sz="4" w:space="0" w:color="000000"/>
              <w:bottom w:val="single" w:sz="4" w:space="0" w:color="auto"/>
            </w:tcBorders>
            <w:shd w:val="clear" w:color="auto" w:fill="FBD4B4" w:themeFill="accent6" w:themeFillTint="66"/>
          </w:tcPr>
          <w:p w:rsidR="00EC4F97" w:rsidRPr="00BA7955" w:rsidRDefault="00EC4F97" w:rsidP="00422AD9">
            <w:pPr>
              <w:spacing w:after="0"/>
              <w:ind w:firstLine="0"/>
              <w:jc w:val="right"/>
              <w:rPr>
                <w:rFonts w:ascii="Arial" w:hAnsi="Arial" w:cs="Arial"/>
                <w:color w:val="000000"/>
                <w:sz w:val="18"/>
                <w:szCs w:val="18"/>
                <w:lang w:val="es-ES" w:eastAsia="es-ES"/>
              </w:rPr>
            </w:pPr>
          </w:p>
        </w:tc>
        <w:tc>
          <w:tcPr>
            <w:tcW w:w="909" w:type="dxa"/>
            <w:tcBorders>
              <w:top w:val="single" w:sz="4" w:space="0" w:color="000000"/>
              <w:bottom w:val="single" w:sz="4" w:space="0" w:color="auto"/>
            </w:tcBorders>
            <w:shd w:val="clear" w:color="auto" w:fill="FBD4B4" w:themeFill="accent6" w:themeFillTint="66"/>
            <w:noWrap/>
            <w:vAlign w:val="bottom"/>
            <w:hideMark/>
          </w:tcPr>
          <w:p w:rsidR="00EC4F97" w:rsidRPr="00BA7955" w:rsidRDefault="00EC4F97" w:rsidP="00422AD9">
            <w:pPr>
              <w:spacing w:after="0"/>
              <w:ind w:firstLine="0"/>
              <w:jc w:val="right"/>
              <w:rPr>
                <w:rFonts w:ascii="Arial" w:hAnsi="Arial" w:cs="Arial"/>
                <w:color w:val="000000"/>
                <w:sz w:val="18"/>
                <w:szCs w:val="18"/>
                <w:lang w:val="es-ES" w:eastAsia="es-ES"/>
              </w:rPr>
            </w:pPr>
            <w:r w:rsidRPr="00BA7955">
              <w:rPr>
                <w:rFonts w:ascii="Arial" w:hAnsi="Arial" w:cs="Arial"/>
                <w:color w:val="000000"/>
                <w:sz w:val="18"/>
                <w:szCs w:val="18"/>
                <w:lang w:val="es-ES" w:eastAsia="es-ES"/>
              </w:rPr>
              <w:t>7</w:t>
            </w:r>
          </w:p>
        </w:tc>
        <w:tc>
          <w:tcPr>
            <w:tcW w:w="166" w:type="dxa"/>
            <w:tcBorders>
              <w:top w:val="single" w:sz="4" w:space="0" w:color="000000"/>
              <w:bottom w:val="single" w:sz="4" w:space="0" w:color="auto"/>
            </w:tcBorders>
            <w:shd w:val="clear" w:color="auto" w:fill="FBD4B4" w:themeFill="accent6" w:themeFillTint="66"/>
          </w:tcPr>
          <w:p w:rsidR="00EC4F97" w:rsidRPr="00BA7955" w:rsidRDefault="00EC4F97" w:rsidP="00422AD9">
            <w:pPr>
              <w:spacing w:after="0"/>
              <w:ind w:firstLine="0"/>
              <w:jc w:val="right"/>
              <w:rPr>
                <w:rFonts w:ascii="Arial" w:hAnsi="Arial" w:cs="Arial"/>
                <w:color w:val="000000"/>
                <w:sz w:val="18"/>
                <w:szCs w:val="18"/>
                <w:lang w:val="es-ES" w:eastAsia="es-ES"/>
              </w:rPr>
            </w:pPr>
          </w:p>
        </w:tc>
        <w:tc>
          <w:tcPr>
            <w:tcW w:w="823" w:type="dxa"/>
            <w:tcBorders>
              <w:top w:val="single" w:sz="4" w:space="0" w:color="000000"/>
              <w:bottom w:val="single" w:sz="4" w:space="0" w:color="auto"/>
            </w:tcBorders>
            <w:shd w:val="clear" w:color="auto" w:fill="FBD4B4" w:themeFill="accent6" w:themeFillTint="66"/>
            <w:noWrap/>
            <w:vAlign w:val="bottom"/>
            <w:hideMark/>
          </w:tcPr>
          <w:p w:rsidR="00EC4F97" w:rsidRPr="00BA7955" w:rsidRDefault="00EC4F97" w:rsidP="00422AD9">
            <w:pPr>
              <w:spacing w:after="0"/>
              <w:ind w:firstLine="0"/>
              <w:jc w:val="right"/>
              <w:rPr>
                <w:rFonts w:ascii="Arial" w:hAnsi="Arial" w:cs="Arial"/>
                <w:color w:val="000000"/>
                <w:sz w:val="18"/>
                <w:szCs w:val="18"/>
                <w:lang w:val="es-ES" w:eastAsia="es-ES"/>
              </w:rPr>
            </w:pPr>
            <w:r w:rsidRPr="00BA7955">
              <w:rPr>
                <w:rFonts w:ascii="Arial" w:hAnsi="Arial" w:cs="Arial"/>
                <w:color w:val="000000"/>
                <w:sz w:val="18"/>
                <w:szCs w:val="18"/>
                <w:lang w:val="es-ES" w:eastAsia="es-ES"/>
              </w:rPr>
              <w:t>3</w:t>
            </w:r>
          </w:p>
        </w:tc>
        <w:tc>
          <w:tcPr>
            <w:tcW w:w="169" w:type="dxa"/>
            <w:tcBorders>
              <w:top w:val="single" w:sz="4" w:space="0" w:color="000000"/>
              <w:bottom w:val="single" w:sz="4" w:space="0" w:color="auto"/>
            </w:tcBorders>
            <w:shd w:val="clear" w:color="auto" w:fill="FBD4B4" w:themeFill="accent6" w:themeFillTint="66"/>
          </w:tcPr>
          <w:p w:rsidR="00EC4F97" w:rsidRPr="00BA7955" w:rsidRDefault="00EC4F97" w:rsidP="00422AD9">
            <w:pPr>
              <w:spacing w:after="0"/>
              <w:ind w:firstLine="0"/>
              <w:jc w:val="right"/>
              <w:rPr>
                <w:rFonts w:ascii="Arial" w:hAnsi="Arial" w:cs="Arial"/>
                <w:color w:val="000000"/>
                <w:sz w:val="18"/>
                <w:szCs w:val="18"/>
                <w:lang w:val="es-ES" w:eastAsia="es-ES"/>
              </w:rPr>
            </w:pPr>
          </w:p>
        </w:tc>
        <w:tc>
          <w:tcPr>
            <w:tcW w:w="644" w:type="dxa"/>
            <w:tcBorders>
              <w:top w:val="single" w:sz="4" w:space="0" w:color="000000"/>
              <w:bottom w:val="single" w:sz="4" w:space="0" w:color="auto"/>
              <w:right w:val="single" w:sz="4" w:space="0" w:color="000000"/>
            </w:tcBorders>
            <w:shd w:val="clear" w:color="auto" w:fill="FBD4B4" w:themeFill="accent6" w:themeFillTint="66"/>
            <w:noWrap/>
            <w:vAlign w:val="bottom"/>
            <w:hideMark/>
          </w:tcPr>
          <w:p w:rsidR="00EC4F97" w:rsidRPr="00BA7955" w:rsidRDefault="00EC4F97" w:rsidP="00422AD9">
            <w:pPr>
              <w:spacing w:after="0"/>
              <w:ind w:firstLine="0"/>
              <w:jc w:val="right"/>
              <w:rPr>
                <w:rFonts w:ascii="Arial" w:hAnsi="Arial" w:cs="Arial"/>
                <w:color w:val="000000"/>
                <w:sz w:val="18"/>
                <w:szCs w:val="18"/>
                <w:lang w:val="es-ES" w:eastAsia="es-ES"/>
              </w:rPr>
            </w:pPr>
            <w:r w:rsidRPr="00BA7955">
              <w:rPr>
                <w:rFonts w:ascii="Arial" w:hAnsi="Arial" w:cs="Arial"/>
                <w:color w:val="000000"/>
                <w:sz w:val="18"/>
                <w:szCs w:val="18"/>
                <w:lang w:val="es-ES" w:eastAsia="es-ES"/>
              </w:rPr>
              <w:t>421</w:t>
            </w:r>
          </w:p>
        </w:tc>
      </w:tr>
    </w:tbl>
    <w:p w:rsidR="00EC4F97" w:rsidRPr="00A55281" w:rsidRDefault="00EC4F97" w:rsidP="00EC4F97">
      <w:pPr>
        <w:pStyle w:val="texto"/>
        <w:spacing w:before="240"/>
        <w:rPr>
          <w:w w:val="103"/>
          <w:highlight w:val="yellow"/>
        </w:rPr>
      </w:pPr>
      <w:r w:rsidRPr="00F03111">
        <w:rPr>
          <w:w w:val="103"/>
        </w:rPr>
        <w:t>El 70 por ciento de los contratos se adjudicó por procedimiento abierto ut</w:t>
      </w:r>
      <w:r w:rsidRPr="00F03111">
        <w:rPr>
          <w:w w:val="103"/>
        </w:rPr>
        <w:t>i</w:t>
      </w:r>
      <w:r w:rsidRPr="00F03111">
        <w:rPr>
          <w:w w:val="103"/>
        </w:rPr>
        <w:t>lizando el criterio de oferta más ventajosa en el 88 por ciento de los casos y de precio más bajo en el doce por ciento restante. Asimismo, el 27 por ciento del total de contratos se adjudicó por procedimiento negociado sin publicidad siguiendo el criterio de oferta más ventajosa en el 70 por ciento de los casos, el de precio más bajo en el 24 y el seis por ciento restante mediante el proc</w:t>
      </w:r>
      <w:r w:rsidRPr="00F03111">
        <w:rPr>
          <w:w w:val="103"/>
        </w:rPr>
        <w:t>e</w:t>
      </w:r>
      <w:r w:rsidRPr="00F03111">
        <w:rPr>
          <w:w w:val="103"/>
        </w:rPr>
        <w:t xml:space="preserve">dimiento de mejor relación calidad precio. </w:t>
      </w:r>
    </w:p>
    <w:p w:rsidR="00EC4F97" w:rsidRPr="000334D7" w:rsidRDefault="00EC4F97" w:rsidP="00EC4F97">
      <w:pPr>
        <w:pStyle w:val="texto"/>
        <w:spacing w:after="240"/>
      </w:pPr>
      <w:r w:rsidRPr="000334D7">
        <w:t xml:space="preserve">Analizando los importes de adjudicación anual observamos que, del total de los 421 contratos, </w:t>
      </w:r>
      <w:r>
        <w:t>14</w:t>
      </w:r>
      <w:r w:rsidRPr="000334D7">
        <w:t xml:space="preserve"> contratos de obras y uno de asistencia superaban la cua</w:t>
      </w:r>
      <w:r w:rsidRPr="000334D7">
        <w:t>n</w:t>
      </w:r>
      <w:r w:rsidRPr="000334D7">
        <w:t xml:space="preserve">tía de 600.000 euros </w:t>
      </w:r>
      <w:r>
        <w:t>alcanzando</w:t>
      </w:r>
      <w:r w:rsidRPr="000334D7">
        <w:t xml:space="preserve"> un importe total de 16,98 millones de euros, seis contratos de obras y dos de asistencia se adjudicaron por un precio superior a 400.000 euros cada uno alcanzando un importe total de 3,94 millones y 32 contratos de obras, diez de suministros y siete de asistencia superaron los 150.000 euros sumando en total 11,64 millones.</w:t>
      </w:r>
    </w:p>
    <w:p w:rsidR="00EC4F97" w:rsidRDefault="00EC4F97" w:rsidP="00EC4F97">
      <w:pPr>
        <w:pStyle w:val="texto"/>
        <w:spacing w:after="240"/>
      </w:pPr>
      <w:r w:rsidRPr="000334D7">
        <w:t>El importe de adjudicación anual para estos contratos, que son más signific</w:t>
      </w:r>
      <w:r w:rsidRPr="000334D7">
        <w:t>a</w:t>
      </w:r>
      <w:r w:rsidRPr="000334D7">
        <w:t>tivos por su cuantía, fue:</w:t>
      </w:r>
    </w:p>
    <w:p w:rsidR="00EC4F97" w:rsidRPr="007A4FF0" w:rsidRDefault="00EC4F97" w:rsidP="00EC4F97">
      <w:pPr>
        <w:pStyle w:val="texto"/>
        <w:spacing w:after="40"/>
        <w:rPr>
          <w:i/>
          <w:sz w:val="20"/>
        </w:rPr>
      </w:pPr>
      <w:r w:rsidRPr="007A4FF0">
        <w:rPr>
          <w:i/>
          <w:sz w:val="20"/>
        </w:rPr>
        <w:t xml:space="preserve">                                                                        </w:t>
      </w:r>
      <w:r>
        <w:rPr>
          <w:i/>
          <w:sz w:val="20"/>
        </w:rPr>
        <w:t xml:space="preserve">                                                </w:t>
      </w:r>
      <w:r w:rsidRPr="007A4FF0">
        <w:rPr>
          <w:i/>
          <w:sz w:val="20"/>
        </w:rPr>
        <w:t xml:space="preserve"> (</w:t>
      </w:r>
      <w:r>
        <w:rPr>
          <w:i/>
          <w:sz w:val="20"/>
        </w:rPr>
        <w:t xml:space="preserve">en </w:t>
      </w:r>
      <w:r w:rsidRPr="007A4FF0">
        <w:rPr>
          <w:i/>
          <w:sz w:val="20"/>
        </w:rPr>
        <w:t>miles de euros)</w:t>
      </w:r>
    </w:p>
    <w:tbl>
      <w:tblPr>
        <w:tblW w:w="5000" w:type="pct"/>
        <w:jc w:val="center"/>
        <w:tblCellMar>
          <w:left w:w="70" w:type="dxa"/>
          <w:right w:w="70" w:type="dxa"/>
        </w:tblCellMar>
        <w:tblLook w:val="04A0" w:firstRow="1" w:lastRow="0" w:firstColumn="1" w:lastColumn="0" w:noHBand="0" w:noVBand="1"/>
      </w:tblPr>
      <w:tblGrid>
        <w:gridCol w:w="4817"/>
        <w:gridCol w:w="1530"/>
        <w:gridCol w:w="2582"/>
      </w:tblGrid>
      <w:tr w:rsidR="00EC4F97" w:rsidRPr="00FD7A17" w:rsidTr="00422AD9">
        <w:trPr>
          <w:trHeight w:val="340"/>
          <w:jc w:val="center"/>
        </w:trPr>
        <w:tc>
          <w:tcPr>
            <w:tcW w:w="2697" w:type="pct"/>
            <w:tcBorders>
              <w:top w:val="single" w:sz="4" w:space="0" w:color="000000"/>
              <w:left w:val="nil"/>
              <w:bottom w:val="single" w:sz="4" w:space="0" w:color="000000"/>
              <w:right w:val="nil"/>
            </w:tcBorders>
            <w:shd w:val="clear" w:color="auto" w:fill="FBD4B4" w:themeFill="accent6" w:themeFillTint="66"/>
            <w:noWrap/>
            <w:vAlign w:val="center"/>
            <w:hideMark/>
          </w:tcPr>
          <w:p w:rsidR="00EC4F97" w:rsidRPr="00FD7A17" w:rsidRDefault="00EC4F97" w:rsidP="00422AD9">
            <w:pPr>
              <w:spacing w:after="0"/>
              <w:ind w:firstLine="0"/>
              <w:jc w:val="left"/>
              <w:rPr>
                <w:rFonts w:ascii="Arial" w:hAnsi="Arial" w:cs="Arial"/>
                <w:bCs/>
                <w:color w:val="000000"/>
                <w:sz w:val="18"/>
                <w:szCs w:val="18"/>
                <w:lang w:val="es-ES" w:eastAsia="es-ES"/>
              </w:rPr>
            </w:pPr>
            <w:r w:rsidRPr="00FD7A17">
              <w:rPr>
                <w:rFonts w:ascii="Arial" w:hAnsi="Arial" w:cs="Arial"/>
                <w:bCs/>
                <w:color w:val="000000"/>
                <w:sz w:val="18"/>
                <w:szCs w:val="18"/>
                <w:lang w:val="es-ES" w:eastAsia="es-ES"/>
              </w:rPr>
              <w:t>Tipo de contrato</w:t>
            </w:r>
          </w:p>
        </w:tc>
        <w:tc>
          <w:tcPr>
            <w:tcW w:w="857" w:type="pct"/>
            <w:tcBorders>
              <w:top w:val="single" w:sz="4" w:space="0" w:color="000000"/>
              <w:left w:val="nil"/>
              <w:bottom w:val="single" w:sz="4" w:space="0" w:color="000000"/>
              <w:right w:val="nil"/>
            </w:tcBorders>
            <w:shd w:val="clear" w:color="auto" w:fill="FBD4B4" w:themeFill="accent6" w:themeFillTint="66"/>
            <w:noWrap/>
            <w:vAlign w:val="center"/>
            <w:hideMark/>
          </w:tcPr>
          <w:p w:rsidR="00EC4F97" w:rsidRPr="00FD7A17" w:rsidRDefault="00EC4F97" w:rsidP="00422AD9">
            <w:pPr>
              <w:spacing w:after="0"/>
              <w:ind w:firstLine="0"/>
              <w:jc w:val="left"/>
              <w:rPr>
                <w:rFonts w:ascii="Arial" w:hAnsi="Arial" w:cs="Arial"/>
                <w:bCs/>
                <w:color w:val="000000"/>
                <w:sz w:val="18"/>
                <w:szCs w:val="18"/>
                <w:lang w:val="es-ES" w:eastAsia="es-ES"/>
              </w:rPr>
            </w:pPr>
            <w:r w:rsidRPr="00FD7A17">
              <w:rPr>
                <w:rFonts w:ascii="Arial" w:hAnsi="Arial" w:cs="Arial"/>
                <w:bCs/>
                <w:color w:val="000000"/>
                <w:sz w:val="18"/>
                <w:szCs w:val="18"/>
                <w:lang w:val="es-ES" w:eastAsia="es-ES"/>
              </w:rPr>
              <w:t>Número</w:t>
            </w:r>
          </w:p>
        </w:tc>
        <w:tc>
          <w:tcPr>
            <w:tcW w:w="1446" w:type="pct"/>
            <w:tcBorders>
              <w:top w:val="single" w:sz="4" w:space="0" w:color="000000"/>
              <w:left w:val="nil"/>
              <w:bottom w:val="single" w:sz="4" w:space="0" w:color="000000"/>
            </w:tcBorders>
            <w:shd w:val="clear" w:color="auto" w:fill="FBD4B4" w:themeFill="accent6" w:themeFillTint="66"/>
            <w:vAlign w:val="center"/>
            <w:hideMark/>
          </w:tcPr>
          <w:p w:rsidR="00EC4F97" w:rsidRPr="00FD7A17" w:rsidRDefault="00EC4F97" w:rsidP="00422AD9">
            <w:pPr>
              <w:spacing w:after="0"/>
              <w:ind w:firstLine="0"/>
              <w:jc w:val="right"/>
              <w:rPr>
                <w:rFonts w:ascii="Arial" w:hAnsi="Arial" w:cs="Arial"/>
                <w:bCs/>
                <w:color w:val="000000"/>
                <w:sz w:val="18"/>
                <w:szCs w:val="18"/>
                <w:lang w:val="es-ES" w:eastAsia="es-ES"/>
              </w:rPr>
            </w:pPr>
            <w:r w:rsidRPr="00FD7A17">
              <w:rPr>
                <w:rFonts w:ascii="Arial" w:hAnsi="Arial" w:cs="Arial"/>
                <w:bCs/>
                <w:color w:val="000000"/>
                <w:sz w:val="18"/>
                <w:szCs w:val="18"/>
                <w:lang w:val="es-ES" w:eastAsia="es-ES"/>
              </w:rPr>
              <w:t>Importe adjudicación</w:t>
            </w:r>
          </w:p>
        </w:tc>
      </w:tr>
      <w:tr w:rsidR="00EC4F97" w:rsidRPr="002E2437" w:rsidTr="00422AD9">
        <w:trPr>
          <w:trHeight w:val="300"/>
          <w:jc w:val="center"/>
        </w:trPr>
        <w:tc>
          <w:tcPr>
            <w:tcW w:w="2697" w:type="pct"/>
            <w:tcBorders>
              <w:top w:val="single" w:sz="4" w:space="0" w:color="000000"/>
              <w:left w:val="nil"/>
              <w:bottom w:val="single" w:sz="2" w:space="0" w:color="000000"/>
              <w:right w:val="nil"/>
            </w:tcBorders>
            <w:shd w:val="clear" w:color="auto" w:fill="auto"/>
            <w:noWrap/>
            <w:vAlign w:val="bottom"/>
            <w:hideMark/>
          </w:tcPr>
          <w:p w:rsidR="00EC4F97" w:rsidRPr="002E2437" w:rsidRDefault="00EC4F97" w:rsidP="00422AD9">
            <w:pPr>
              <w:spacing w:after="0"/>
              <w:ind w:firstLine="0"/>
              <w:jc w:val="left"/>
              <w:rPr>
                <w:rFonts w:ascii="Arial Narrow" w:hAnsi="Arial Narrow" w:cs="Calibri"/>
                <w:color w:val="000000"/>
                <w:sz w:val="18"/>
                <w:szCs w:val="18"/>
                <w:lang w:val="es-ES" w:eastAsia="es-ES"/>
              </w:rPr>
            </w:pPr>
            <w:r w:rsidRPr="002E2437">
              <w:rPr>
                <w:rFonts w:ascii="Arial Narrow" w:hAnsi="Arial Narrow" w:cs="Calibri"/>
                <w:color w:val="000000"/>
                <w:sz w:val="18"/>
                <w:szCs w:val="18"/>
                <w:lang w:val="es-ES" w:eastAsia="es-ES"/>
              </w:rPr>
              <w:t>Asistencia</w:t>
            </w:r>
          </w:p>
        </w:tc>
        <w:tc>
          <w:tcPr>
            <w:tcW w:w="857" w:type="pct"/>
            <w:tcBorders>
              <w:top w:val="single" w:sz="4" w:space="0" w:color="000000"/>
              <w:left w:val="nil"/>
              <w:bottom w:val="single" w:sz="2" w:space="0" w:color="000000"/>
              <w:right w:val="nil"/>
            </w:tcBorders>
            <w:shd w:val="clear" w:color="auto" w:fill="auto"/>
            <w:noWrap/>
            <w:vAlign w:val="bottom"/>
            <w:hideMark/>
          </w:tcPr>
          <w:p w:rsidR="00EC4F97" w:rsidRPr="002E2437" w:rsidRDefault="00EC4F97" w:rsidP="00422AD9">
            <w:pPr>
              <w:spacing w:after="0"/>
              <w:ind w:firstLine="0"/>
              <w:jc w:val="right"/>
              <w:rPr>
                <w:rFonts w:ascii="Arial Narrow" w:hAnsi="Arial Narrow" w:cs="Calibri"/>
                <w:color w:val="000000"/>
                <w:sz w:val="18"/>
                <w:szCs w:val="18"/>
                <w:lang w:val="es-ES" w:eastAsia="es-ES"/>
              </w:rPr>
            </w:pPr>
            <w:r w:rsidRPr="002E2437">
              <w:rPr>
                <w:rFonts w:ascii="Arial Narrow" w:hAnsi="Arial Narrow" w:cs="Calibri"/>
                <w:color w:val="000000"/>
                <w:sz w:val="18"/>
                <w:szCs w:val="18"/>
                <w:lang w:val="es-ES" w:eastAsia="es-ES"/>
              </w:rPr>
              <w:t>10</w:t>
            </w:r>
          </w:p>
        </w:tc>
        <w:tc>
          <w:tcPr>
            <w:tcW w:w="1446" w:type="pct"/>
            <w:tcBorders>
              <w:top w:val="single" w:sz="4" w:space="0" w:color="000000"/>
              <w:left w:val="nil"/>
              <w:bottom w:val="single" w:sz="2" w:space="0" w:color="000000"/>
              <w:right w:val="nil"/>
            </w:tcBorders>
            <w:shd w:val="clear" w:color="auto" w:fill="auto"/>
            <w:noWrap/>
            <w:vAlign w:val="bottom"/>
            <w:hideMark/>
          </w:tcPr>
          <w:p w:rsidR="00EC4F97" w:rsidRPr="002E2437" w:rsidRDefault="00EC4F97" w:rsidP="00422AD9">
            <w:pPr>
              <w:spacing w:after="0"/>
              <w:ind w:firstLine="0"/>
              <w:jc w:val="right"/>
              <w:rPr>
                <w:rFonts w:ascii="Arial Narrow" w:hAnsi="Arial Narrow" w:cs="Calibri"/>
                <w:color w:val="000000"/>
                <w:sz w:val="18"/>
                <w:szCs w:val="18"/>
                <w:lang w:val="es-ES" w:eastAsia="es-ES"/>
              </w:rPr>
            </w:pPr>
            <w:r w:rsidRPr="002E2437">
              <w:rPr>
                <w:rFonts w:ascii="Arial Narrow" w:hAnsi="Arial Narrow" w:cs="Calibri"/>
                <w:color w:val="000000"/>
                <w:sz w:val="18"/>
                <w:szCs w:val="18"/>
                <w:lang w:val="es-ES" w:eastAsia="es-ES"/>
              </w:rPr>
              <w:t>3.723</w:t>
            </w:r>
          </w:p>
        </w:tc>
      </w:tr>
      <w:tr w:rsidR="00EC4F97" w:rsidRPr="002E2437" w:rsidTr="00422AD9">
        <w:trPr>
          <w:trHeight w:val="300"/>
          <w:jc w:val="center"/>
        </w:trPr>
        <w:tc>
          <w:tcPr>
            <w:tcW w:w="2697" w:type="pct"/>
            <w:tcBorders>
              <w:top w:val="single" w:sz="2" w:space="0" w:color="000000"/>
              <w:left w:val="nil"/>
              <w:bottom w:val="single" w:sz="2" w:space="0" w:color="000000"/>
              <w:right w:val="nil"/>
            </w:tcBorders>
            <w:shd w:val="clear" w:color="auto" w:fill="auto"/>
            <w:noWrap/>
            <w:vAlign w:val="bottom"/>
            <w:hideMark/>
          </w:tcPr>
          <w:p w:rsidR="00EC4F97" w:rsidRPr="002E2437" w:rsidRDefault="00EC4F97" w:rsidP="00422AD9">
            <w:pPr>
              <w:spacing w:after="0"/>
              <w:ind w:firstLine="0"/>
              <w:jc w:val="left"/>
              <w:rPr>
                <w:rFonts w:ascii="Arial Narrow" w:hAnsi="Arial Narrow" w:cs="Calibri"/>
                <w:color w:val="000000"/>
                <w:sz w:val="18"/>
                <w:szCs w:val="18"/>
                <w:lang w:val="es-ES" w:eastAsia="es-ES"/>
              </w:rPr>
            </w:pPr>
            <w:r w:rsidRPr="002E2437">
              <w:rPr>
                <w:rFonts w:ascii="Arial Narrow" w:hAnsi="Arial Narrow" w:cs="Calibri"/>
                <w:color w:val="000000"/>
                <w:sz w:val="18"/>
                <w:szCs w:val="18"/>
                <w:lang w:val="es-ES" w:eastAsia="es-ES"/>
              </w:rPr>
              <w:t>Obras</w:t>
            </w:r>
          </w:p>
        </w:tc>
        <w:tc>
          <w:tcPr>
            <w:tcW w:w="857" w:type="pct"/>
            <w:tcBorders>
              <w:top w:val="single" w:sz="2" w:space="0" w:color="000000"/>
              <w:left w:val="nil"/>
              <w:bottom w:val="single" w:sz="2" w:space="0" w:color="000000"/>
              <w:right w:val="nil"/>
            </w:tcBorders>
            <w:shd w:val="clear" w:color="auto" w:fill="auto"/>
            <w:noWrap/>
            <w:vAlign w:val="bottom"/>
            <w:hideMark/>
          </w:tcPr>
          <w:p w:rsidR="00EC4F97" w:rsidRPr="002E2437" w:rsidRDefault="00EC4F97" w:rsidP="00422AD9">
            <w:pPr>
              <w:spacing w:after="0"/>
              <w:ind w:firstLine="0"/>
              <w:jc w:val="right"/>
              <w:rPr>
                <w:rFonts w:ascii="Arial Narrow" w:hAnsi="Arial Narrow" w:cs="Calibri"/>
                <w:color w:val="000000"/>
                <w:sz w:val="18"/>
                <w:szCs w:val="18"/>
                <w:lang w:val="es-ES" w:eastAsia="es-ES"/>
              </w:rPr>
            </w:pPr>
            <w:r w:rsidRPr="002E2437">
              <w:rPr>
                <w:rFonts w:ascii="Arial Narrow" w:hAnsi="Arial Narrow" w:cs="Calibri"/>
                <w:color w:val="000000"/>
                <w:sz w:val="18"/>
                <w:szCs w:val="18"/>
                <w:lang w:val="es-ES" w:eastAsia="es-ES"/>
              </w:rPr>
              <w:t>52</w:t>
            </w:r>
          </w:p>
        </w:tc>
        <w:tc>
          <w:tcPr>
            <w:tcW w:w="1446" w:type="pct"/>
            <w:tcBorders>
              <w:top w:val="single" w:sz="2" w:space="0" w:color="000000"/>
              <w:left w:val="nil"/>
              <w:bottom w:val="single" w:sz="2" w:space="0" w:color="000000"/>
              <w:right w:val="nil"/>
            </w:tcBorders>
            <w:shd w:val="clear" w:color="auto" w:fill="auto"/>
            <w:noWrap/>
            <w:vAlign w:val="bottom"/>
            <w:hideMark/>
          </w:tcPr>
          <w:p w:rsidR="00EC4F97" w:rsidRPr="002E2437" w:rsidRDefault="00EC4F97" w:rsidP="00422AD9">
            <w:pPr>
              <w:spacing w:after="0"/>
              <w:ind w:firstLine="0"/>
              <w:jc w:val="right"/>
              <w:rPr>
                <w:rFonts w:ascii="Arial Narrow" w:hAnsi="Arial Narrow" w:cs="Calibri"/>
                <w:color w:val="000000"/>
                <w:sz w:val="18"/>
                <w:szCs w:val="18"/>
                <w:lang w:val="es-ES" w:eastAsia="es-ES"/>
              </w:rPr>
            </w:pPr>
            <w:r w:rsidRPr="002E2437">
              <w:rPr>
                <w:rFonts w:ascii="Arial Narrow" w:hAnsi="Arial Narrow" w:cs="Calibri"/>
                <w:color w:val="000000"/>
                <w:sz w:val="18"/>
                <w:szCs w:val="18"/>
                <w:lang w:val="es-ES" w:eastAsia="es-ES"/>
              </w:rPr>
              <w:t>26.562</w:t>
            </w:r>
          </w:p>
        </w:tc>
      </w:tr>
      <w:tr w:rsidR="00EC4F97" w:rsidRPr="002E2437" w:rsidTr="00422AD9">
        <w:trPr>
          <w:trHeight w:val="300"/>
          <w:jc w:val="center"/>
        </w:trPr>
        <w:tc>
          <w:tcPr>
            <w:tcW w:w="2697" w:type="pct"/>
            <w:tcBorders>
              <w:top w:val="single" w:sz="2" w:space="0" w:color="000000"/>
              <w:left w:val="nil"/>
              <w:bottom w:val="single" w:sz="4" w:space="0" w:color="auto"/>
              <w:right w:val="nil"/>
            </w:tcBorders>
            <w:shd w:val="clear" w:color="auto" w:fill="auto"/>
            <w:noWrap/>
            <w:vAlign w:val="bottom"/>
            <w:hideMark/>
          </w:tcPr>
          <w:p w:rsidR="00EC4F97" w:rsidRPr="002E2437" w:rsidRDefault="00EC4F97" w:rsidP="00422AD9">
            <w:pPr>
              <w:spacing w:after="0"/>
              <w:ind w:firstLine="0"/>
              <w:jc w:val="left"/>
              <w:rPr>
                <w:rFonts w:ascii="Arial Narrow" w:hAnsi="Arial Narrow" w:cs="Calibri"/>
                <w:color w:val="000000"/>
                <w:sz w:val="18"/>
                <w:szCs w:val="18"/>
                <w:lang w:val="es-ES" w:eastAsia="es-ES"/>
              </w:rPr>
            </w:pPr>
            <w:r w:rsidRPr="002E2437">
              <w:rPr>
                <w:rFonts w:ascii="Arial Narrow" w:hAnsi="Arial Narrow" w:cs="Calibri"/>
                <w:color w:val="000000"/>
                <w:sz w:val="18"/>
                <w:szCs w:val="18"/>
                <w:lang w:val="es-ES" w:eastAsia="es-ES"/>
              </w:rPr>
              <w:t>Suministro</w:t>
            </w:r>
          </w:p>
        </w:tc>
        <w:tc>
          <w:tcPr>
            <w:tcW w:w="857" w:type="pct"/>
            <w:tcBorders>
              <w:top w:val="single" w:sz="2" w:space="0" w:color="000000"/>
              <w:left w:val="nil"/>
              <w:bottom w:val="single" w:sz="4" w:space="0" w:color="auto"/>
              <w:right w:val="nil"/>
            </w:tcBorders>
            <w:shd w:val="clear" w:color="auto" w:fill="auto"/>
            <w:noWrap/>
            <w:vAlign w:val="bottom"/>
            <w:hideMark/>
          </w:tcPr>
          <w:p w:rsidR="00EC4F97" w:rsidRPr="002E2437" w:rsidRDefault="00EC4F97" w:rsidP="00422AD9">
            <w:pPr>
              <w:spacing w:after="0"/>
              <w:ind w:firstLine="0"/>
              <w:jc w:val="right"/>
              <w:rPr>
                <w:rFonts w:ascii="Arial Narrow" w:hAnsi="Arial Narrow" w:cs="Calibri"/>
                <w:color w:val="000000"/>
                <w:sz w:val="18"/>
                <w:szCs w:val="18"/>
                <w:lang w:val="es-ES" w:eastAsia="es-ES"/>
              </w:rPr>
            </w:pPr>
            <w:r w:rsidRPr="002E2437">
              <w:rPr>
                <w:rFonts w:ascii="Arial Narrow" w:hAnsi="Arial Narrow" w:cs="Calibri"/>
                <w:color w:val="000000"/>
                <w:sz w:val="18"/>
                <w:szCs w:val="18"/>
                <w:lang w:val="es-ES" w:eastAsia="es-ES"/>
              </w:rPr>
              <w:t>10</w:t>
            </w:r>
          </w:p>
        </w:tc>
        <w:tc>
          <w:tcPr>
            <w:tcW w:w="1446" w:type="pct"/>
            <w:tcBorders>
              <w:top w:val="single" w:sz="2" w:space="0" w:color="000000"/>
              <w:left w:val="nil"/>
              <w:bottom w:val="single" w:sz="4" w:space="0" w:color="auto"/>
              <w:right w:val="nil"/>
            </w:tcBorders>
            <w:shd w:val="clear" w:color="auto" w:fill="auto"/>
            <w:noWrap/>
            <w:vAlign w:val="bottom"/>
            <w:hideMark/>
          </w:tcPr>
          <w:p w:rsidR="00EC4F97" w:rsidRPr="002E2437" w:rsidRDefault="00EC4F97" w:rsidP="00422AD9">
            <w:pPr>
              <w:spacing w:after="0"/>
              <w:ind w:firstLine="0"/>
              <w:jc w:val="right"/>
              <w:rPr>
                <w:rFonts w:ascii="Arial Narrow" w:hAnsi="Arial Narrow" w:cs="Calibri"/>
                <w:color w:val="000000"/>
                <w:sz w:val="18"/>
                <w:szCs w:val="18"/>
                <w:lang w:val="es-ES" w:eastAsia="es-ES"/>
              </w:rPr>
            </w:pPr>
            <w:r w:rsidRPr="002E2437">
              <w:rPr>
                <w:rFonts w:ascii="Arial Narrow" w:hAnsi="Arial Narrow" w:cs="Calibri"/>
                <w:color w:val="000000"/>
                <w:sz w:val="18"/>
                <w:szCs w:val="18"/>
                <w:lang w:val="es-ES" w:eastAsia="es-ES"/>
              </w:rPr>
              <w:t>2.278</w:t>
            </w:r>
          </w:p>
        </w:tc>
      </w:tr>
      <w:tr w:rsidR="00EC4F97" w:rsidRPr="00FD7A17" w:rsidTr="00422AD9">
        <w:trPr>
          <w:trHeight w:val="300"/>
          <w:jc w:val="center"/>
        </w:trPr>
        <w:tc>
          <w:tcPr>
            <w:tcW w:w="2697" w:type="pct"/>
            <w:tcBorders>
              <w:top w:val="single" w:sz="4" w:space="0" w:color="auto"/>
              <w:left w:val="nil"/>
              <w:bottom w:val="single" w:sz="4" w:space="0" w:color="000000"/>
              <w:right w:val="nil"/>
            </w:tcBorders>
            <w:shd w:val="clear" w:color="auto" w:fill="FBD4B4" w:themeFill="accent6" w:themeFillTint="66"/>
            <w:noWrap/>
            <w:vAlign w:val="bottom"/>
            <w:hideMark/>
          </w:tcPr>
          <w:p w:rsidR="00EC4F97" w:rsidRPr="00FD7A17" w:rsidRDefault="00EC4F97" w:rsidP="00422AD9">
            <w:pPr>
              <w:spacing w:after="0"/>
              <w:ind w:firstLine="0"/>
              <w:jc w:val="left"/>
              <w:rPr>
                <w:rFonts w:ascii="Arial" w:hAnsi="Arial" w:cs="Arial"/>
                <w:bCs/>
                <w:color w:val="000000"/>
                <w:sz w:val="18"/>
                <w:szCs w:val="18"/>
                <w:lang w:val="es-ES" w:eastAsia="es-ES"/>
              </w:rPr>
            </w:pPr>
            <w:r w:rsidRPr="00FD7A17">
              <w:rPr>
                <w:rFonts w:ascii="Arial" w:hAnsi="Arial" w:cs="Arial"/>
                <w:bCs/>
                <w:color w:val="000000"/>
                <w:sz w:val="18"/>
                <w:szCs w:val="18"/>
                <w:lang w:val="es-ES" w:eastAsia="es-ES"/>
              </w:rPr>
              <w:t>Total general</w:t>
            </w:r>
          </w:p>
        </w:tc>
        <w:tc>
          <w:tcPr>
            <w:tcW w:w="857" w:type="pct"/>
            <w:tcBorders>
              <w:top w:val="single" w:sz="4" w:space="0" w:color="auto"/>
              <w:left w:val="nil"/>
              <w:bottom w:val="single" w:sz="4" w:space="0" w:color="000000"/>
              <w:right w:val="nil"/>
            </w:tcBorders>
            <w:shd w:val="clear" w:color="auto" w:fill="FBD4B4" w:themeFill="accent6" w:themeFillTint="66"/>
            <w:noWrap/>
            <w:vAlign w:val="bottom"/>
            <w:hideMark/>
          </w:tcPr>
          <w:p w:rsidR="00EC4F97" w:rsidRPr="00FD7A17" w:rsidRDefault="00EC4F97" w:rsidP="00422AD9">
            <w:pPr>
              <w:spacing w:after="0"/>
              <w:ind w:firstLine="0"/>
              <w:jc w:val="right"/>
              <w:rPr>
                <w:rFonts w:ascii="Arial" w:hAnsi="Arial" w:cs="Arial"/>
                <w:bCs/>
                <w:color w:val="000000"/>
                <w:sz w:val="18"/>
                <w:szCs w:val="18"/>
                <w:lang w:val="es-ES" w:eastAsia="es-ES"/>
              </w:rPr>
            </w:pPr>
            <w:r w:rsidRPr="00FD7A17">
              <w:rPr>
                <w:rFonts w:ascii="Arial" w:hAnsi="Arial" w:cs="Arial"/>
                <w:bCs/>
                <w:color w:val="000000"/>
                <w:sz w:val="18"/>
                <w:szCs w:val="18"/>
                <w:lang w:val="es-ES" w:eastAsia="es-ES"/>
              </w:rPr>
              <w:t>72</w:t>
            </w:r>
          </w:p>
        </w:tc>
        <w:tc>
          <w:tcPr>
            <w:tcW w:w="1446" w:type="pct"/>
            <w:tcBorders>
              <w:top w:val="single" w:sz="4" w:space="0" w:color="auto"/>
              <w:left w:val="nil"/>
              <w:bottom w:val="single" w:sz="4" w:space="0" w:color="000000"/>
            </w:tcBorders>
            <w:shd w:val="clear" w:color="auto" w:fill="FBD4B4" w:themeFill="accent6" w:themeFillTint="66"/>
            <w:noWrap/>
            <w:vAlign w:val="bottom"/>
            <w:hideMark/>
          </w:tcPr>
          <w:p w:rsidR="00EC4F97" w:rsidRPr="00FD7A17" w:rsidRDefault="00EC4F97" w:rsidP="00422AD9">
            <w:pPr>
              <w:spacing w:after="0"/>
              <w:ind w:firstLine="0"/>
              <w:jc w:val="right"/>
              <w:rPr>
                <w:rFonts w:ascii="Arial" w:hAnsi="Arial" w:cs="Arial"/>
                <w:bCs/>
                <w:color w:val="000000"/>
                <w:sz w:val="18"/>
                <w:szCs w:val="18"/>
                <w:lang w:val="es-ES" w:eastAsia="es-ES"/>
              </w:rPr>
            </w:pPr>
            <w:r w:rsidRPr="00FD7A17">
              <w:rPr>
                <w:rFonts w:ascii="Arial" w:hAnsi="Arial" w:cs="Arial"/>
                <w:bCs/>
                <w:color w:val="000000"/>
                <w:sz w:val="18"/>
                <w:szCs w:val="18"/>
                <w:lang w:val="es-ES" w:eastAsia="es-ES"/>
              </w:rPr>
              <w:t>32.563</w:t>
            </w:r>
          </w:p>
        </w:tc>
      </w:tr>
    </w:tbl>
    <w:p w:rsidR="00EC4F97" w:rsidRDefault="00EC4F97" w:rsidP="00EC4F97">
      <w:pPr>
        <w:pStyle w:val="texto"/>
        <w:spacing w:after="240"/>
      </w:pPr>
    </w:p>
    <w:p w:rsidR="00EC4F97" w:rsidRDefault="00EC4F97" w:rsidP="00EC4F97">
      <w:pPr>
        <w:pStyle w:val="texto"/>
        <w:spacing w:after="240"/>
      </w:pPr>
      <w:r>
        <w:t xml:space="preserve">Realizamos el mismo análisis anterior pero tomando los importes totales de adjudicación para los años de duración del contrato. Así, </w:t>
      </w:r>
      <w:r w:rsidRPr="000334D7">
        <w:t xml:space="preserve">de los 421 contratos, </w:t>
      </w:r>
      <w:r>
        <w:t>19 superan los 600.000 euros (14 obras, cuatro asistencia y uno suministro) sumando un total de 21,66 millones de euros. Cuatro contratos superan los 400.000 euros alcanzando un importe total de 1,76 millones (dos asistencia, uno suministro y uno concesión de servicios). Por últimos, 18 contratos superan los 150.000 euros y suman un total de 4,31 millones (diez suministros, siete asistencia y uno concesión de servicios).</w:t>
      </w:r>
    </w:p>
    <w:p w:rsidR="00EC4F97" w:rsidRDefault="00EC4F97" w:rsidP="00EC4F97">
      <w:pPr>
        <w:pStyle w:val="texto"/>
        <w:spacing w:after="240"/>
      </w:pPr>
      <w:r w:rsidRPr="000334D7">
        <w:t xml:space="preserve">El importe de adjudicación </w:t>
      </w:r>
      <w:r>
        <w:t xml:space="preserve">total </w:t>
      </w:r>
      <w:r w:rsidRPr="000334D7">
        <w:t>para estos contratos, que son más signific</w:t>
      </w:r>
      <w:r w:rsidRPr="000334D7">
        <w:t>a</w:t>
      </w:r>
      <w:r w:rsidRPr="000334D7">
        <w:t>tivos por su cuantía, fue:</w:t>
      </w:r>
    </w:p>
    <w:p w:rsidR="00EC4F97" w:rsidRPr="00004975" w:rsidRDefault="00EC4F97" w:rsidP="00EC4F97">
      <w:pPr>
        <w:pStyle w:val="texto"/>
        <w:spacing w:after="40"/>
      </w:pPr>
      <w:r>
        <w:rPr>
          <w:i/>
          <w:sz w:val="20"/>
        </w:rPr>
        <w:t xml:space="preserve">                                                                                                                        </w:t>
      </w:r>
      <w:r w:rsidRPr="00004975">
        <w:rPr>
          <w:sz w:val="20"/>
        </w:rPr>
        <w:t xml:space="preserve">  (en miles de euros)</w:t>
      </w:r>
    </w:p>
    <w:tbl>
      <w:tblPr>
        <w:tblW w:w="5000" w:type="pct"/>
        <w:jc w:val="center"/>
        <w:tblCellMar>
          <w:left w:w="70" w:type="dxa"/>
          <w:right w:w="70" w:type="dxa"/>
        </w:tblCellMar>
        <w:tblLook w:val="04A0" w:firstRow="1" w:lastRow="0" w:firstColumn="1" w:lastColumn="0" w:noHBand="0" w:noVBand="1"/>
      </w:tblPr>
      <w:tblGrid>
        <w:gridCol w:w="4817"/>
        <w:gridCol w:w="1530"/>
        <w:gridCol w:w="2582"/>
      </w:tblGrid>
      <w:tr w:rsidR="00EC4F97" w:rsidRPr="00004975" w:rsidTr="00422AD9">
        <w:trPr>
          <w:trHeight w:val="340"/>
          <w:jc w:val="center"/>
        </w:trPr>
        <w:tc>
          <w:tcPr>
            <w:tcW w:w="2697" w:type="pct"/>
            <w:tcBorders>
              <w:top w:val="single" w:sz="4" w:space="0" w:color="auto"/>
              <w:left w:val="nil"/>
              <w:bottom w:val="single" w:sz="4" w:space="0" w:color="auto"/>
              <w:right w:val="nil"/>
            </w:tcBorders>
            <w:shd w:val="clear" w:color="000000" w:fill="FBD4B4" w:themeFill="accent6" w:themeFillTint="66"/>
            <w:noWrap/>
            <w:vAlign w:val="center"/>
            <w:hideMark/>
          </w:tcPr>
          <w:p w:rsidR="00EC4F97" w:rsidRPr="00004975" w:rsidRDefault="00EC4F97" w:rsidP="00422AD9">
            <w:pPr>
              <w:spacing w:after="0"/>
              <w:ind w:firstLine="0"/>
              <w:jc w:val="left"/>
              <w:rPr>
                <w:rFonts w:ascii="Arial" w:hAnsi="Arial" w:cs="Arial"/>
                <w:bCs/>
                <w:color w:val="000000"/>
                <w:sz w:val="18"/>
                <w:szCs w:val="18"/>
                <w:lang w:val="es-ES" w:eastAsia="es-ES"/>
              </w:rPr>
            </w:pPr>
            <w:r w:rsidRPr="00004975">
              <w:rPr>
                <w:rFonts w:ascii="Arial" w:hAnsi="Arial" w:cs="Arial"/>
                <w:bCs/>
                <w:color w:val="000000"/>
                <w:sz w:val="18"/>
                <w:szCs w:val="18"/>
                <w:lang w:val="es-ES" w:eastAsia="es-ES"/>
              </w:rPr>
              <w:t>Tipo de contrato</w:t>
            </w:r>
          </w:p>
        </w:tc>
        <w:tc>
          <w:tcPr>
            <w:tcW w:w="857" w:type="pct"/>
            <w:tcBorders>
              <w:top w:val="single" w:sz="4" w:space="0" w:color="auto"/>
              <w:left w:val="nil"/>
              <w:bottom w:val="single" w:sz="4" w:space="0" w:color="auto"/>
              <w:right w:val="nil"/>
            </w:tcBorders>
            <w:shd w:val="clear" w:color="000000" w:fill="FBD4B4" w:themeFill="accent6" w:themeFillTint="66"/>
            <w:noWrap/>
            <w:vAlign w:val="center"/>
            <w:hideMark/>
          </w:tcPr>
          <w:p w:rsidR="00EC4F97" w:rsidRPr="00004975" w:rsidRDefault="00EC4F97" w:rsidP="00422AD9">
            <w:pPr>
              <w:spacing w:after="0"/>
              <w:ind w:firstLine="0"/>
              <w:jc w:val="right"/>
              <w:rPr>
                <w:rFonts w:ascii="Arial" w:hAnsi="Arial" w:cs="Arial"/>
                <w:bCs/>
                <w:color w:val="000000"/>
                <w:sz w:val="18"/>
                <w:szCs w:val="18"/>
                <w:lang w:val="es-ES" w:eastAsia="es-ES"/>
              </w:rPr>
            </w:pPr>
            <w:r w:rsidRPr="00004975">
              <w:rPr>
                <w:rFonts w:ascii="Arial" w:hAnsi="Arial" w:cs="Arial"/>
                <w:bCs/>
                <w:color w:val="000000"/>
                <w:sz w:val="18"/>
                <w:szCs w:val="18"/>
                <w:lang w:val="es-ES" w:eastAsia="es-ES"/>
              </w:rPr>
              <w:t>Número</w:t>
            </w:r>
          </w:p>
        </w:tc>
        <w:tc>
          <w:tcPr>
            <w:tcW w:w="1447" w:type="pct"/>
            <w:tcBorders>
              <w:top w:val="single" w:sz="4" w:space="0" w:color="auto"/>
              <w:left w:val="nil"/>
              <w:bottom w:val="single" w:sz="4" w:space="0" w:color="auto"/>
              <w:right w:val="nil"/>
            </w:tcBorders>
            <w:shd w:val="clear" w:color="000000" w:fill="FBD4B4" w:themeFill="accent6" w:themeFillTint="66"/>
            <w:vAlign w:val="center"/>
            <w:hideMark/>
          </w:tcPr>
          <w:p w:rsidR="00EC4F97" w:rsidRPr="00004975" w:rsidRDefault="00EC4F97" w:rsidP="00422AD9">
            <w:pPr>
              <w:spacing w:after="0"/>
              <w:ind w:firstLine="0"/>
              <w:jc w:val="right"/>
              <w:rPr>
                <w:rFonts w:ascii="Arial" w:hAnsi="Arial" w:cs="Arial"/>
                <w:bCs/>
                <w:color w:val="000000"/>
                <w:sz w:val="18"/>
                <w:szCs w:val="18"/>
                <w:lang w:val="es-ES" w:eastAsia="es-ES"/>
              </w:rPr>
            </w:pPr>
            <w:r w:rsidRPr="00004975">
              <w:rPr>
                <w:rFonts w:ascii="Arial" w:hAnsi="Arial" w:cs="Arial"/>
                <w:bCs/>
                <w:color w:val="000000"/>
                <w:sz w:val="18"/>
                <w:szCs w:val="18"/>
                <w:lang w:val="es-ES" w:eastAsia="es-ES"/>
              </w:rPr>
              <w:t>Importe adjudicación</w:t>
            </w:r>
          </w:p>
        </w:tc>
      </w:tr>
      <w:tr w:rsidR="00EC4F97" w:rsidRPr="00004975" w:rsidTr="00422AD9">
        <w:trPr>
          <w:trHeight w:val="300"/>
          <w:jc w:val="center"/>
        </w:trPr>
        <w:tc>
          <w:tcPr>
            <w:tcW w:w="2697" w:type="pct"/>
            <w:tcBorders>
              <w:top w:val="single" w:sz="4"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left"/>
              <w:rPr>
                <w:rFonts w:ascii="Arial Narrow" w:hAnsi="Arial Narrow" w:cs="Calibri"/>
                <w:color w:val="000000"/>
                <w:sz w:val="18"/>
                <w:szCs w:val="18"/>
                <w:lang w:val="es-ES" w:eastAsia="es-ES"/>
              </w:rPr>
            </w:pPr>
            <w:r w:rsidRPr="00004975">
              <w:rPr>
                <w:rFonts w:ascii="Arial Narrow" w:hAnsi="Arial Narrow" w:cs="Calibri"/>
                <w:color w:val="000000"/>
                <w:sz w:val="18"/>
                <w:szCs w:val="18"/>
                <w:lang w:val="es-ES" w:eastAsia="es-ES"/>
              </w:rPr>
              <w:t>Asistencia</w:t>
            </w:r>
          </w:p>
        </w:tc>
        <w:tc>
          <w:tcPr>
            <w:tcW w:w="857" w:type="pct"/>
            <w:tcBorders>
              <w:top w:val="single" w:sz="4"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right"/>
              <w:rPr>
                <w:rFonts w:ascii="Arial Narrow" w:hAnsi="Arial Narrow" w:cs="Calibri"/>
                <w:color w:val="000000"/>
                <w:sz w:val="18"/>
                <w:szCs w:val="18"/>
                <w:lang w:val="es-ES" w:eastAsia="es-ES"/>
              </w:rPr>
            </w:pPr>
            <w:r w:rsidRPr="00004975">
              <w:rPr>
                <w:rFonts w:ascii="Arial Narrow" w:hAnsi="Arial Narrow" w:cs="Calibri"/>
                <w:color w:val="000000"/>
                <w:sz w:val="18"/>
                <w:szCs w:val="18"/>
                <w:lang w:val="es-ES" w:eastAsia="es-ES"/>
              </w:rPr>
              <w:t>13</w:t>
            </w:r>
          </w:p>
        </w:tc>
        <w:tc>
          <w:tcPr>
            <w:tcW w:w="1447" w:type="pct"/>
            <w:tcBorders>
              <w:top w:val="single" w:sz="4"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right"/>
              <w:rPr>
                <w:rFonts w:ascii="Arial Narrow" w:hAnsi="Arial Narrow" w:cs="Calibri"/>
                <w:color w:val="000000"/>
                <w:sz w:val="18"/>
                <w:szCs w:val="18"/>
                <w:lang w:val="es-ES" w:eastAsia="es-ES"/>
              </w:rPr>
            </w:pPr>
            <w:r w:rsidRPr="00004975">
              <w:rPr>
                <w:rFonts w:ascii="Arial Narrow" w:hAnsi="Arial Narrow" w:cs="Calibri"/>
                <w:color w:val="000000"/>
                <w:sz w:val="18"/>
                <w:szCs w:val="18"/>
                <w:lang w:val="es-ES" w:eastAsia="es-ES"/>
              </w:rPr>
              <w:t>6.992</w:t>
            </w:r>
          </w:p>
        </w:tc>
      </w:tr>
      <w:tr w:rsidR="00EC4F97" w:rsidRPr="00004975" w:rsidTr="00422AD9">
        <w:trPr>
          <w:trHeight w:val="300"/>
          <w:jc w:val="center"/>
        </w:trPr>
        <w:tc>
          <w:tcPr>
            <w:tcW w:w="2697" w:type="pct"/>
            <w:tcBorders>
              <w:top w:val="single" w:sz="2"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left"/>
              <w:rPr>
                <w:rFonts w:ascii="Arial Narrow" w:hAnsi="Arial Narrow" w:cs="Calibri"/>
                <w:color w:val="000000"/>
                <w:sz w:val="18"/>
                <w:szCs w:val="18"/>
                <w:lang w:val="es-ES" w:eastAsia="es-ES"/>
              </w:rPr>
            </w:pPr>
            <w:r w:rsidRPr="00004975">
              <w:rPr>
                <w:rFonts w:ascii="Arial Narrow" w:hAnsi="Arial Narrow" w:cs="Calibri"/>
                <w:color w:val="000000"/>
                <w:sz w:val="18"/>
                <w:szCs w:val="18"/>
                <w:lang w:val="es-ES" w:eastAsia="es-ES"/>
              </w:rPr>
              <w:t>Obras</w:t>
            </w:r>
          </w:p>
        </w:tc>
        <w:tc>
          <w:tcPr>
            <w:tcW w:w="857" w:type="pct"/>
            <w:tcBorders>
              <w:top w:val="single" w:sz="2"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right"/>
              <w:rPr>
                <w:rFonts w:ascii="Arial Narrow" w:hAnsi="Arial Narrow" w:cs="Calibri"/>
                <w:color w:val="000000"/>
                <w:sz w:val="18"/>
                <w:szCs w:val="18"/>
                <w:lang w:val="es-ES" w:eastAsia="es-ES"/>
              </w:rPr>
            </w:pPr>
            <w:r w:rsidRPr="00004975">
              <w:rPr>
                <w:rFonts w:ascii="Arial Narrow" w:hAnsi="Arial Narrow" w:cs="Calibri"/>
                <w:color w:val="000000"/>
                <w:sz w:val="18"/>
                <w:szCs w:val="18"/>
                <w:lang w:val="es-ES" w:eastAsia="es-ES"/>
              </w:rPr>
              <w:t>14</w:t>
            </w:r>
          </w:p>
        </w:tc>
        <w:tc>
          <w:tcPr>
            <w:tcW w:w="1447" w:type="pct"/>
            <w:tcBorders>
              <w:top w:val="single" w:sz="2"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right"/>
              <w:rPr>
                <w:rFonts w:ascii="Arial Narrow" w:hAnsi="Arial Narrow" w:cs="Calibri"/>
                <w:color w:val="000000"/>
                <w:sz w:val="18"/>
                <w:szCs w:val="18"/>
                <w:lang w:val="es-ES" w:eastAsia="es-ES"/>
              </w:rPr>
            </w:pPr>
            <w:r w:rsidRPr="00004975">
              <w:rPr>
                <w:rFonts w:ascii="Arial Narrow" w:hAnsi="Arial Narrow" w:cs="Calibri"/>
                <w:color w:val="000000"/>
                <w:sz w:val="18"/>
                <w:szCs w:val="18"/>
                <w:lang w:val="es-ES" w:eastAsia="es-ES"/>
              </w:rPr>
              <w:t>16.161</w:t>
            </w:r>
          </w:p>
        </w:tc>
      </w:tr>
      <w:tr w:rsidR="00EC4F97" w:rsidRPr="00004975" w:rsidTr="00422AD9">
        <w:trPr>
          <w:trHeight w:val="300"/>
          <w:jc w:val="center"/>
        </w:trPr>
        <w:tc>
          <w:tcPr>
            <w:tcW w:w="2697" w:type="pct"/>
            <w:tcBorders>
              <w:top w:val="single" w:sz="2"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left"/>
              <w:rPr>
                <w:rFonts w:ascii="Arial Narrow" w:hAnsi="Arial Narrow" w:cs="Calibri"/>
                <w:color w:val="000000"/>
                <w:sz w:val="18"/>
                <w:szCs w:val="18"/>
                <w:lang w:val="es-ES" w:eastAsia="es-ES"/>
              </w:rPr>
            </w:pPr>
            <w:r w:rsidRPr="00004975">
              <w:rPr>
                <w:rFonts w:ascii="Arial Narrow" w:hAnsi="Arial Narrow" w:cs="Calibri"/>
                <w:color w:val="000000"/>
                <w:sz w:val="18"/>
                <w:szCs w:val="18"/>
                <w:lang w:val="es-ES" w:eastAsia="es-ES"/>
              </w:rPr>
              <w:t>Suministro</w:t>
            </w:r>
          </w:p>
        </w:tc>
        <w:tc>
          <w:tcPr>
            <w:tcW w:w="857" w:type="pct"/>
            <w:tcBorders>
              <w:top w:val="single" w:sz="2"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right"/>
              <w:rPr>
                <w:rFonts w:ascii="Arial Narrow" w:hAnsi="Arial Narrow" w:cs="Calibri"/>
                <w:color w:val="000000"/>
                <w:sz w:val="18"/>
                <w:szCs w:val="18"/>
                <w:lang w:val="es-ES" w:eastAsia="es-ES"/>
              </w:rPr>
            </w:pPr>
            <w:r w:rsidRPr="00004975">
              <w:rPr>
                <w:rFonts w:ascii="Arial Narrow" w:hAnsi="Arial Narrow" w:cs="Calibri"/>
                <w:color w:val="000000"/>
                <w:sz w:val="18"/>
                <w:szCs w:val="18"/>
                <w:lang w:val="es-ES" w:eastAsia="es-ES"/>
              </w:rPr>
              <w:t>12</w:t>
            </w:r>
          </w:p>
        </w:tc>
        <w:tc>
          <w:tcPr>
            <w:tcW w:w="1447" w:type="pct"/>
            <w:tcBorders>
              <w:top w:val="single" w:sz="2"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right"/>
              <w:rPr>
                <w:rFonts w:ascii="Arial Narrow" w:hAnsi="Arial Narrow" w:cs="Calibri"/>
                <w:color w:val="000000"/>
                <w:sz w:val="18"/>
                <w:szCs w:val="18"/>
                <w:lang w:val="es-ES" w:eastAsia="es-ES"/>
              </w:rPr>
            </w:pPr>
            <w:r w:rsidRPr="00004975">
              <w:rPr>
                <w:rFonts w:ascii="Arial Narrow" w:hAnsi="Arial Narrow" w:cs="Calibri"/>
                <w:color w:val="000000"/>
                <w:sz w:val="18"/>
                <w:szCs w:val="18"/>
                <w:lang w:val="es-ES" w:eastAsia="es-ES"/>
              </w:rPr>
              <w:t>3.841</w:t>
            </w:r>
          </w:p>
        </w:tc>
      </w:tr>
      <w:tr w:rsidR="00EC4F97" w:rsidRPr="00004975" w:rsidTr="00422AD9">
        <w:trPr>
          <w:trHeight w:val="300"/>
          <w:jc w:val="center"/>
        </w:trPr>
        <w:tc>
          <w:tcPr>
            <w:tcW w:w="2697" w:type="pct"/>
            <w:tcBorders>
              <w:top w:val="single" w:sz="2" w:space="0" w:color="auto"/>
              <w:left w:val="nil"/>
              <w:bottom w:val="single" w:sz="4" w:space="0" w:color="auto"/>
              <w:right w:val="nil"/>
            </w:tcBorders>
            <w:shd w:val="clear" w:color="auto" w:fill="auto"/>
            <w:noWrap/>
            <w:vAlign w:val="center"/>
          </w:tcPr>
          <w:p w:rsidR="00EC4F97" w:rsidRPr="00004975" w:rsidRDefault="00EC4F97" w:rsidP="00422AD9">
            <w:pPr>
              <w:spacing w:after="0"/>
              <w:ind w:firstLine="0"/>
              <w:jc w:val="left"/>
              <w:rPr>
                <w:rFonts w:ascii="Arial Narrow" w:hAnsi="Arial Narrow" w:cs="Calibri"/>
                <w:color w:val="000000"/>
                <w:sz w:val="18"/>
                <w:szCs w:val="18"/>
                <w:lang w:val="es-ES" w:eastAsia="es-ES"/>
              </w:rPr>
            </w:pPr>
            <w:r w:rsidRPr="00004975">
              <w:rPr>
                <w:rFonts w:ascii="Arial Narrow" w:hAnsi="Arial Narrow" w:cs="Calibri"/>
                <w:color w:val="000000"/>
                <w:sz w:val="18"/>
                <w:szCs w:val="18"/>
                <w:lang w:val="es-ES" w:eastAsia="es-ES"/>
              </w:rPr>
              <w:t>Concesión de servicios</w:t>
            </w:r>
          </w:p>
        </w:tc>
        <w:tc>
          <w:tcPr>
            <w:tcW w:w="857" w:type="pct"/>
            <w:tcBorders>
              <w:top w:val="single" w:sz="2" w:space="0" w:color="auto"/>
              <w:left w:val="nil"/>
              <w:bottom w:val="single" w:sz="4" w:space="0" w:color="auto"/>
              <w:right w:val="nil"/>
            </w:tcBorders>
            <w:shd w:val="clear" w:color="auto" w:fill="auto"/>
            <w:noWrap/>
            <w:vAlign w:val="center"/>
          </w:tcPr>
          <w:p w:rsidR="00EC4F97" w:rsidRPr="00004975" w:rsidRDefault="00EC4F97" w:rsidP="00422AD9">
            <w:pPr>
              <w:spacing w:after="0"/>
              <w:ind w:firstLine="0"/>
              <w:jc w:val="right"/>
              <w:rPr>
                <w:rFonts w:ascii="Arial Narrow" w:hAnsi="Arial Narrow" w:cs="Calibri"/>
                <w:color w:val="000000"/>
                <w:sz w:val="18"/>
                <w:szCs w:val="18"/>
                <w:lang w:val="es-ES" w:eastAsia="es-ES"/>
              </w:rPr>
            </w:pPr>
            <w:r w:rsidRPr="00004975">
              <w:rPr>
                <w:rFonts w:ascii="Arial Narrow" w:hAnsi="Arial Narrow" w:cs="Calibri"/>
                <w:color w:val="000000"/>
                <w:sz w:val="18"/>
                <w:szCs w:val="18"/>
                <w:lang w:val="es-ES" w:eastAsia="es-ES"/>
              </w:rPr>
              <w:t>2</w:t>
            </w:r>
          </w:p>
        </w:tc>
        <w:tc>
          <w:tcPr>
            <w:tcW w:w="1447" w:type="pct"/>
            <w:tcBorders>
              <w:top w:val="single" w:sz="2" w:space="0" w:color="auto"/>
              <w:left w:val="nil"/>
              <w:bottom w:val="single" w:sz="4" w:space="0" w:color="auto"/>
              <w:right w:val="nil"/>
            </w:tcBorders>
            <w:shd w:val="clear" w:color="auto" w:fill="auto"/>
            <w:noWrap/>
            <w:vAlign w:val="center"/>
          </w:tcPr>
          <w:p w:rsidR="00EC4F97" w:rsidRPr="00004975" w:rsidRDefault="00EC4F97" w:rsidP="00422AD9">
            <w:pPr>
              <w:spacing w:after="0"/>
              <w:ind w:firstLine="0"/>
              <w:jc w:val="right"/>
              <w:rPr>
                <w:rFonts w:ascii="Arial Narrow" w:hAnsi="Arial Narrow" w:cs="Calibri"/>
                <w:color w:val="000000"/>
                <w:sz w:val="18"/>
                <w:szCs w:val="18"/>
                <w:lang w:val="es-ES" w:eastAsia="es-ES"/>
              </w:rPr>
            </w:pPr>
            <w:r w:rsidRPr="00004975">
              <w:rPr>
                <w:rFonts w:ascii="Arial Narrow" w:hAnsi="Arial Narrow" w:cs="Calibri"/>
                <w:color w:val="000000"/>
                <w:sz w:val="18"/>
                <w:szCs w:val="18"/>
                <w:lang w:val="es-ES" w:eastAsia="es-ES"/>
              </w:rPr>
              <w:t>735</w:t>
            </w:r>
          </w:p>
        </w:tc>
      </w:tr>
      <w:tr w:rsidR="00EC4F97" w:rsidRPr="00004975" w:rsidTr="00422AD9">
        <w:trPr>
          <w:trHeight w:val="300"/>
          <w:jc w:val="center"/>
        </w:trPr>
        <w:tc>
          <w:tcPr>
            <w:tcW w:w="2697" w:type="pct"/>
            <w:tcBorders>
              <w:top w:val="single" w:sz="4" w:space="0" w:color="auto"/>
              <w:left w:val="nil"/>
              <w:bottom w:val="single" w:sz="4" w:space="0" w:color="auto"/>
              <w:right w:val="nil"/>
            </w:tcBorders>
            <w:shd w:val="clear" w:color="000000" w:fill="FBD4B4" w:themeFill="accent6" w:themeFillTint="66"/>
            <w:noWrap/>
            <w:vAlign w:val="center"/>
            <w:hideMark/>
          </w:tcPr>
          <w:p w:rsidR="00EC4F97" w:rsidRPr="00004975" w:rsidRDefault="00EC4F97" w:rsidP="00422AD9">
            <w:pPr>
              <w:spacing w:after="0"/>
              <w:ind w:firstLine="0"/>
              <w:jc w:val="left"/>
              <w:rPr>
                <w:rFonts w:ascii="Arial" w:hAnsi="Arial" w:cs="Arial"/>
                <w:bCs/>
                <w:color w:val="000000"/>
                <w:sz w:val="18"/>
                <w:szCs w:val="18"/>
                <w:lang w:val="es-ES" w:eastAsia="es-ES"/>
              </w:rPr>
            </w:pPr>
            <w:r w:rsidRPr="00004975">
              <w:rPr>
                <w:rFonts w:ascii="Arial" w:hAnsi="Arial" w:cs="Arial"/>
                <w:bCs/>
                <w:color w:val="000000"/>
                <w:sz w:val="18"/>
                <w:szCs w:val="18"/>
                <w:lang w:val="es-ES" w:eastAsia="es-ES"/>
              </w:rPr>
              <w:t>Total general</w:t>
            </w:r>
          </w:p>
        </w:tc>
        <w:tc>
          <w:tcPr>
            <w:tcW w:w="857" w:type="pct"/>
            <w:tcBorders>
              <w:top w:val="single" w:sz="4" w:space="0" w:color="auto"/>
              <w:left w:val="nil"/>
              <w:bottom w:val="single" w:sz="4" w:space="0" w:color="auto"/>
              <w:right w:val="nil"/>
            </w:tcBorders>
            <w:shd w:val="clear" w:color="000000" w:fill="FBD4B4" w:themeFill="accent6" w:themeFillTint="66"/>
            <w:noWrap/>
            <w:vAlign w:val="center"/>
            <w:hideMark/>
          </w:tcPr>
          <w:p w:rsidR="00EC4F97" w:rsidRPr="00004975" w:rsidRDefault="00EC4F97" w:rsidP="00422AD9">
            <w:pPr>
              <w:spacing w:after="0"/>
              <w:ind w:firstLine="0"/>
              <w:jc w:val="right"/>
              <w:rPr>
                <w:rFonts w:ascii="Arial" w:hAnsi="Arial" w:cs="Arial"/>
                <w:bCs/>
                <w:color w:val="000000"/>
                <w:sz w:val="18"/>
                <w:szCs w:val="18"/>
                <w:lang w:val="es-ES" w:eastAsia="es-ES"/>
              </w:rPr>
            </w:pPr>
            <w:r w:rsidRPr="00004975">
              <w:rPr>
                <w:rFonts w:ascii="Arial" w:hAnsi="Arial" w:cs="Arial"/>
                <w:bCs/>
                <w:color w:val="000000"/>
                <w:sz w:val="18"/>
                <w:szCs w:val="18"/>
                <w:lang w:val="es-ES" w:eastAsia="es-ES"/>
              </w:rPr>
              <w:t>41</w:t>
            </w:r>
          </w:p>
        </w:tc>
        <w:tc>
          <w:tcPr>
            <w:tcW w:w="1447" w:type="pct"/>
            <w:tcBorders>
              <w:top w:val="single" w:sz="4" w:space="0" w:color="auto"/>
              <w:left w:val="nil"/>
              <w:bottom w:val="single" w:sz="4" w:space="0" w:color="auto"/>
              <w:right w:val="nil"/>
            </w:tcBorders>
            <w:shd w:val="clear" w:color="000000" w:fill="FBD4B4" w:themeFill="accent6" w:themeFillTint="66"/>
            <w:noWrap/>
            <w:vAlign w:val="center"/>
            <w:hideMark/>
          </w:tcPr>
          <w:p w:rsidR="00EC4F97" w:rsidRPr="00004975" w:rsidRDefault="00EC4F97" w:rsidP="00422AD9">
            <w:pPr>
              <w:spacing w:after="0"/>
              <w:ind w:firstLine="0"/>
              <w:jc w:val="right"/>
              <w:rPr>
                <w:rFonts w:ascii="Arial" w:hAnsi="Arial" w:cs="Arial"/>
                <w:bCs/>
                <w:color w:val="000000"/>
                <w:sz w:val="18"/>
                <w:szCs w:val="18"/>
                <w:lang w:val="es-ES" w:eastAsia="es-ES"/>
              </w:rPr>
            </w:pPr>
            <w:r w:rsidRPr="00004975">
              <w:rPr>
                <w:rFonts w:ascii="Arial" w:hAnsi="Arial" w:cs="Arial"/>
                <w:bCs/>
                <w:color w:val="000000"/>
                <w:sz w:val="18"/>
                <w:szCs w:val="18"/>
                <w:lang w:val="es-ES" w:eastAsia="es-ES"/>
              </w:rPr>
              <w:t>27.729</w:t>
            </w:r>
          </w:p>
        </w:tc>
      </w:tr>
    </w:tbl>
    <w:p w:rsidR="005A1124" w:rsidRDefault="005A1124" w:rsidP="00EC4F97">
      <w:pPr>
        <w:pStyle w:val="atitulo1"/>
        <w:sectPr w:rsidR="005A1124" w:rsidSect="006C24EA">
          <w:headerReference w:type="even" r:id="rId14"/>
          <w:footerReference w:type="default" r:id="rId15"/>
          <w:type w:val="oddPage"/>
          <w:pgSz w:w="11907" w:h="16840" w:code="9"/>
          <w:pgMar w:top="2109" w:right="1559" w:bottom="1644" w:left="1559" w:header="369" w:footer="136" w:gutter="0"/>
          <w:pgNumType w:start="3"/>
          <w:cols w:space="720"/>
          <w:docGrid w:linePitch="360"/>
        </w:sectPr>
      </w:pPr>
      <w:bookmarkStart w:id="68" w:name="_Toc24100148"/>
      <w:bookmarkStart w:id="69" w:name="_Toc465686692"/>
      <w:bookmarkStart w:id="70" w:name="_Toc529773888"/>
    </w:p>
    <w:p w:rsidR="00EC4F97" w:rsidRPr="00CF078D" w:rsidRDefault="00EC4F97" w:rsidP="00CF078D">
      <w:pPr>
        <w:pStyle w:val="atitulo1"/>
        <w:spacing w:before="480"/>
      </w:pPr>
      <w:bookmarkStart w:id="71" w:name="_Toc24451746"/>
      <w:r w:rsidRPr="00CF078D">
        <w:t>VII. Análisis</w:t>
      </w:r>
      <w:r w:rsidR="0022600B" w:rsidRPr="00CF078D">
        <w:t xml:space="preserve"> </w:t>
      </w:r>
      <w:r w:rsidRPr="00CF078D">
        <w:t xml:space="preserve"> situación</w:t>
      </w:r>
      <w:r w:rsidR="0022600B" w:rsidRPr="00CF078D">
        <w:t xml:space="preserve"> </w:t>
      </w:r>
      <w:r w:rsidRPr="00CF078D">
        <w:t xml:space="preserve"> económico-financiera </w:t>
      </w:r>
      <w:r w:rsidR="0022600B" w:rsidRPr="00CF078D">
        <w:t xml:space="preserve"> </w:t>
      </w:r>
      <w:r w:rsidRPr="00CF078D">
        <w:t xml:space="preserve">ayuntamientos </w:t>
      </w:r>
      <w:r w:rsidR="0022600B" w:rsidRPr="00CF078D">
        <w:t xml:space="preserve"> </w:t>
      </w:r>
      <w:r w:rsidRPr="00CF078D">
        <w:t xml:space="preserve">con </w:t>
      </w:r>
      <w:r w:rsidR="0022600B" w:rsidRPr="00CF078D">
        <w:t xml:space="preserve"> </w:t>
      </w:r>
      <w:r w:rsidRPr="00CF078D">
        <w:t xml:space="preserve">población </w:t>
      </w:r>
      <w:r w:rsidR="0022600B" w:rsidRPr="00CF078D">
        <w:t xml:space="preserve"> </w:t>
      </w:r>
      <w:r w:rsidRPr="00CF078D">
        <w:t xml:space="preserve">superior </w:t>
      </w:r>
      <w:r w:rsidR="0022600B" w:rsidRPr="00CF078D">
        <w:t xml:space="preserve"> </w:t>
      </w:r>
      <w:r w:rsidRPr="00CF078D">
        <w:t xml:space="preserve">a </w:t>
      </w:r>
      <w:r w:rsidR="0022600B" w:rsidRPr="00CF078D">
        <w:t xml:space="preserve"> </w:t>
      </w:r>
      <w:r w:rsidRPr="00CF078D">
        <w:t xml:space="preserve">9.000 </w:t>
      </w:r>
      <w:r w:rsidR="0022600B" w:rsidRPr="00CF078D">
        <w:t xml:space="preserve"> </w:t>
      </w:r>
      <w:r w:rsidRPr="00CF078D">
        <w:t>habitantes</w:t>
      </w:r>
      <w:bookmarkEnd w:id="68"/>
      <w:bookmarkEnd w:id="71"/>
    </w:p>
    <w:p w:rsidR="00EC4F97" w:rsidRPr="00133E8C" w:rsidRDefault="00EC4F97" w:rsidP="00EC4F97">
      <w:pPr>
        <w:pStyle w:val="texto"/>
      </w:pPr>
      <w:r>
        <w:t>En este apartado recogemos el análisis que hemos</w:t>
      </w:r>
      <w:r w:rsidRPr="00133E8C">
        <w:t xml:space="preserve"> llevado a cabo sobre la situación económico-financiera de los </w:t>
      </w:r>
      <w:r>
        <w:t>ayuntamientos con población superior a 9.000 habitantes</w:t>
      </w:r>
      <w:r w:rsidRPr="00133E8C">
        <w:t xml:space="preserve"> en 201</w:t>
      </w:r>
      <w:r>
        <w:t>7</w:t>
      </w:r>
      <w:r w:rsidRPr="00133E8C">
        <w:t xml:space="preserve"> considerando la información remitida a la Dirección General de Administración Local </w:t>
      </w:r>
      <w:r>
        <w:t xml:space="preserve">y Despoblación </w:t>
      </w:r>
      <w:r w:rsidRPr="00133E8C">
        <w:t>sin que hayamos auditado las cifras aquí indicadas</w:t>
      </w:r>
      <w:r>
        <w:t>, salvo en el caso de Pamplona y Barañáin</w:t>
      </w:r>
      <w:r w:rsidRPr="00133E8C">
        <w:t xml:space="preserve">. </w:t>
      </w:r>
    </w:p>
    <w:p w:rsidR="00EC4F97" w:rsidRDefault="00EC4F97" w:rsidP="00EC4F97">
      <w:pPr>
        <w:pStyle w:val="texto"/>
        <w:spacing w:after="240"/>
      </w:pPr>
      <w:r>
        <w:t>A continuación mostramos los valores de algunos indicadores en 2017 para los ayuntamientos analizados:</w:t>
      </w:r>
    </w:p>
    <w:tbl>
      <w:tblPr>
        <w:tblW w:w="14628" w:type="dxa"/>
        <w:tblInd w:w="-497" w:type="dxa"/>
        <w:tblBorders>
          <w:top w:val="single" w:sz="2" w:space="0" w:color="auto"/>
          <w:bottom w:val="single" w:sz="8" w:space="0" w:color="auto"/>
          <w:insideH w:val="single" w:sz="2" w:space="0" w:color="auto"/>
        </w:tblBorders>
        <w:tblCellMar>
          <w:left w:w="70" w:type="dxa"/>
          <w:right w:w="70" w:type="dxa"/>
        </w:tblCellMar>
        <w:tblLook w:val="00A0" w:firstRow="1" w:lastRow="0" w:firstColumn="1" w:lastColumn="0" w:noHBand="0" w:noVBand="0"/>
      </w:tblPr>
      <w:tblGrid>
        <w:gridCol w:w="2492"/>
        <w:gridCol w:w="1022"/>
        <w:gridCol w:w="981"/>
        <w:gridCol w:w="1032"/>
        <w:gridCol w:w="965"/>
        <w:gridCol w:w="960"/>
        <w:gridCol w:w="960"/>
        <w:gridCol w:w="1050"/>
        <w:gridCol w:w="1196"/>
        <w:gridCol w:w="999"/>
        <w:gridCol w:w="991"/>
        <w:gridCol w:w="989"/>
        <w:gridCol w:w="991"/>
      </w:tblGrid>
      <w:tr w:rsidR="00EC4F97" w:rsidRPr="00CA6933" w:rsidTr="00422AD9">
        <w:trPr>
          <w:trHeight w:val="230"/>
        </w:trPr>
        <w:tc>
          <w:tcPr>
            <w:tcW w:w="2500"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 </w:t>
            </w:r>
          </w:p>
        </w:tc>
        <w:tc>
          <w:tcPr>
            <w:tcW w:w="1023"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Ansoáin</w:t>
            </w:r>
          </w:p>
        </w:tc>
        <w:tc>
          <w:tcPr>
            <w:tcW w:w="961"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Aranguren</w:t>
            </w:r>
          </w:p>
        </w:tc>
        <w:tc>
          <w:tcPr>
            <w:tcW w:w="1033"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Barañáin</w:t>
            </w:r>
          </w:p>
        </w:tc>
        <w:tc>
          <w:tcPr>
            <w:tcW w:w="966"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Berriozar</w:t>
            </w:r>
          </w:p>
        </w:tc>
        <w:tc>
          <w:tcPr>
            <w:tcW w:w="961"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Burlada</w:t>
            </w:r>
          </w:p>
        </w:tc>
        <w:tc>
          <w:tcPr>
            <w:tcW w:w="961"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Egüés</w:t>
            </w:r>
          </w:p>
        </w:tc>
        <w:tc>
          <w:tcPr>
            <w:tcW w:w="1051"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Estella</w:t>
            </w:r>
          </w:p>
        </w:tc>
        <w:tc>
          <w:tcPr>
            <w:tcW w:w="1198"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Pamplona</w:t>
            </w:r>
          </w:p>
        </w:tc>
        <w:tc>
          <w:tcPr>
            <w:tcW w:w="1000"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Tafalla</w:t>
            </w:r>
          </w:p>
        </w:tc>
        <w:tc>
          <w:tcPr>
            <w:tcW w:w="992"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Tudela</w:t>
            </w:r>
          </w:p>
        </w:tc>
        <w:tc>
          <w:tcPr>
            <w:tcW w:w="990"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Villava</w:t>
            </w:r>
          </w:p>
        </w:tc>
        <w:tc>
          <w:tcPr>
            <w:tcW w:w="992"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 xml:space="preserve">Zizur </w:t>
            </w:r>
          </w:p>
          <w:p w:rsidR="00EC4F97" w:rsidRPr="00CA6933" w:rsidRDefault="00EC4F97" w:rsidP="00422AD9">
            <w:pPr>
              <w:spacing w:after="0"/>
              <w:ind w:firstLine="0"/>
              <w:jc w:val="center"/>
              <w:rPr>
                <w:rFonts w:ascii="Arial" w:hAnsi="Arial" w:cs="Arial"/>
                <w:color w:val="000000"/>
                <w:sz w:val="18"/>
                <w:szCs w:val="18"/>
                <w:lang w:val="es-ES" w:eastAsia="es-ES"/>
              </w:rPr>
            </w:pPr>
            <w:r>
              <w:rPr>
                <w:rFonts w:ascii="Arial" w:hAnsi="Arial" w:cs="Arial"/>
                <w:color w:val="000000"/>
                <w:sz w:val="18"/>
                <w:szCs w:val="18"/>
                <w:lang w:val="es-ES" w:eastAsia="es-ES"/>
              </w:rPr>
              <w:t>M</w:t>
            </w:r>
            <w:r w:rsidRPr="00CA6933">
              <w:rPr>
                <w:rFonts w:ascii="Arial" w:hAnsi="Arial" w:cs="Arial"/>
                <w:color w:val="000000"/>
                <w:sz w:val="18"/>
                <w:szCs w:val="18"/>
                <w:lang w:val="es-ES" w:eastAsia="es-ES"/>
              </w:rPr>
              <w:t>ayor</w:t>
            </w:r>
          </w:p>
        </w:tc>
      </w:tr>
      <w:tr w:rsidR="00EC4F97" w:rsidRPr="00F83EA0" w:rsidTr="00422AD9">
        <w:trPr>
          <w:trHeight w:val="300"/>
        </w:trPr>
        <w:tc>
          <w:tcPr>
            <w:tcW w:w="2500"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23"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33"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6"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5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198"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00"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92"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90"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92"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r>
      <w:tr w:rsidR="00EC4F97" w:rsidRPr="00F83EA0" w:rsidTr="00422AD9">
        <w:trPr>
          <w:trHeight w:val="229"/>
        </w:trPr>
        <w:tc>
          <w:tcPr>
            <w:tcW w:w="2500"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23"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33"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6"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5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198"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00"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92"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90"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92"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r>
      <w:tr w:rsidR="00EC4F97" w:rsidRPr="00CA6933" w:rsidTr="00422AD9">
        <w:trPr>
          <w:trHeight w:val="390"/>
        </w:trPr>
        <w:tc>
          <w:tcPr>
            <w:tcW w:w="2500" w:type="dxa"/>
            <w:tcBorders>
              <w:top w:val="single" w:sz="4"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Total derechos reconocidos</w:t>
            </w:r>
          </w:p>
        </w:tc>
        <w:tc>
          <w:tcPr>
            <w:tcW w:w="1023"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8.392.008</w:t>
            </w:r>
          </w:p>
        </w:tc>
        <w:tc>
          <w:tcPr>
            <w:tcW w:w="961"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10.664.524</w:t>
            </w:r>
          </w:p>
        </w:tc>
        <w:tc>
          <w:tcPr>
            <w:tcW w:w="1033"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15.191.938</w:t>
            </w:r>
          </w:p>
        </w:tc>
        <w:tc>
          <w:tcPr>
            <w:tcW w:w="966"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6.168.250</w:t>
            </w:r>
          </w:p>
        </w:tc>
        <w:tc>
          <w:tcPr>
            <w:tcW w:w="961"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18.655.565</w:t>
            </w:r>
          </w:p>
        </w:tc>
        <w:tc>
          <w:tcPr>
            <w:tcW w:w="961"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14.917.343</w:t>
            </w:r>
          </w:p>
        </w:tc>
        <w:tc>
          <w:tcPr>
            <w:tcW w:w="1051"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12.150.122</w:t>
            </w:r>
          </w:p>
        </w:tc>
        <w:tc>
          <w:tcPr>
            <w:tcW w:w="1198"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198.960.850</w:t>
            </w:r>
          </w:p>
        </w:tc>
        <w:tc>
          <w:tcPr>
            <w:tcW w:w="1000"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10.261.442</w:t>
            </w:r>
          </w:p>
        </w:tc>
        <w:tc>
          <w:tcPr>
            <w:tcW w:w="992"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34.909.002</w:t>
            </w:r>
          </w:p>
        </w:tc>
        <w:tc>
          <w:tcPr>
            <w:tcW w:w="990"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9.499.798</w:t>
            </w:r>
          </w:p>
        </w:tc>
        <w:tc>
          <w:tcPr>
            <w:tcW w:w="992"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10.275.786</w:t>
            </w:r>
          </w:p>
        </w:tc>
      </w:tr>
      <w:tr w:rsidR="00EC4F97" w:rsidRPr="00CA6933" w:rsidTr="00422AD9">
        <w:trPr>
          <w:trHeight w:val="390"/>
        </w:trPr>
        <w:tc>
          <w:tcPr>
            <w:tcW w:w="2500" w:type="dxa"/>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Total obligaciones reconocidas</w:t>
            </w:r>
          </w:p>
        </w:tc>
        <w:tc>
          <w:tcPr>
            <w:tcW w:w="1023"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8.066.463</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10.389.544</w:t>
            </w:r>
          </w:p>
        </w:tc>
        <w:tc>
          <w:tcPr>
            <w:tcW w:w="1033"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14.664.154</w:t>
            </w:r>
          </w:p>
        </w:tc>
        <w:tc>
          <w:tcPr>
            <w:tcW w:w="966"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5.988.737</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13.285.268</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12.002.986</w:t>
            </w:r>
          </w:p>
        </w:tc>
        <w:tc>
          <w:tcPr>
            <w:tcW w:w="105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10.767.669</w:t>
            </w:r>
          </w:p>
        </w:tc>
        <w:tc>
          <w:tcPr>
            <w:tcW w:w="1198"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199.620.015</w:t>
            </w:r>
          </w:p>
        </w:tc>
        <w:tc>
          <w:tcPr>
            <w:tcW w:w="1000"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9.759.458</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32.124.527</w:t>
            </w:r>
          </w:p>
        </w:tc>
        <w:tc>
          <w:tcPr>
            <w:tcW w:w="990"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9.131.779</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10.562.557</w:t>
            </w:r>
          </w:p>
        </w:tc>
      </w:tr>
      <w:tr w:rsidR="00EC4F97" w:rsidRPr="00CA6933" w:rsidTr="00422AD9">
        <w:trPr>
          <w:trHeight w:val="390"/>
        </w:trPr>
        <w:tc>
          <w:tcPr>
            <w:tcW w:w="2500" w:type="dxa"/>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 xml:space="preserve">Ingresos corrientes </w:t>
            </w:r>
          </w:p>
        </w:tc>
        <w:tc>
          <w:tcPr>
            <w:tcW w:w="1023"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8.334.760</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9.814.125</w:t>
            </w:r>
          </w:p>
        </w:tc>
        <w:tc>
          <w:tcPr>
            <w:tcW w:w="1033"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15.181.163</w:t>
            </w:r>
          </w:p>
        </w:tc>
        <w:tc>
          <w:tcPr>
            <w:tcW w:w="966"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6.141.732</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12.748.272</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12.564.421</w:t>
            </w:r>
          </w:p>
        </w:tc>
        <w:tc>
          <w:tcPr>
            <w:tcW w:w="105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11.256.391</w:t>
            </w:r>
          </w:p>
        </w:tc>
        <w:tc>
          <w:tcPr>
            <w:tcW w:w="1198"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191.069.324</w:t>
            </w:r>
          </w:p>
        </w:tc>
        <w:tc>
          <w:tcPr>
            <w:tcW w:w="1000"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9.704.347</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34.062.905</w:t>
            </w:r>
          </w:p>
        </w:tc>
        <w:tc>
          <w:tcPr>
            <w:tcW w:w="990"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8.781.014</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10.215.783</w:t>
            </w:r>
          </w:p>
        </w:tc>
      </w:tr>
      <w:tr w:rsidR="00EC4F97" w:rsidRPr="00CA6933" w:rsidTr="00422AD9">
        <w:trPr>
          <w:trHeight w:val="390"/>
        </w:trPr>
        <w:tc>
          <w:tcPr>
            <w:tcW w:w="2500" w:type="dxa"/>
            <w:vAlign w:val="center"/>
          </w:tcPr>
          <w:p w:rsidR="00EC4F97" w:rsidRPr="00CA6933" w:rsidRDefault="00EC4F97" w:rsidP="00422AD9">
            <w:pPr>
              <w:spacing w:after="0"/>
              <w:ind w:firstLine="0"/>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Gastos de funcionamiento</w:t>
            </w:r>
          </w:p>
        </w:tc>
        <w:tc>
          <w:tcPr>
            <w:tcW w:w="1023"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7.341.057</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8.176.678</w:t>
            </w:r>
          </w:p>
        </w:tc>
        <w:tc>
          <w:tcPr>
            <w:tcW w:w="1033"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13.696.394</w:t>
            </w:r>
          </w:p>
        </w:tc>
        <w:tc>
          <w:tcPr>
            <w:tcW w:w="966"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5.613.041</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11.903.731</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10.157.446</w:t>
            </w:r>
          </w:p>
        </w:tc>
        <w:tc>
          <w:tcPr>
            <w:tcW w:w="105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9.452.702</w:t>
            </w:r>
          </w:p>
        </w:tc>
        <w:tc>
          <w:tcPr>
            <w:tcW w:w="1198"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168.545.487</w:t>
            </w:r>
          </w:p>
        </w:tc>
        <w:tc>
          <w:tcPr>
            <w:tcW w:w="1000"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8.820.621</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28.449.701</w:t>
            </w:r>
          </w:p>
        </w:tc>
        <w:tc>
          <w:tcPr>
            <w:tcW w:w="990"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7.366.139</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9.710.402</w:t>
            </w:r>
          </w:p>
        </w:tc>
      </w:tr>
      <w:tr w:rsidR="00EC4F97" w:rsidRPr="00CA6933" w:rsidTr="00422AD9">
        <w:trPr>
          <w:trHeight w:val="390"/>
        </w:trPr>
        <w:tc>
          <w:tcPr>
            <w:tcW w:w="2500" w:type="dxa"/>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Ingresos de capital</w:t>
            </w:r>
          </w:p>
        </w:tc>
        <w:tc>
          <w:tcPr>
            <w:tcW w:w="1023"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57.221</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850.399</w:t>
            </w:r>
          </w:p>
        </w:tc>
        <w:tc>
          <w:tcPr>
            <w:tcW w:w="1033"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10.775</w:t>
            </w:r>
          </w:p>
        </w:tc>
        <w:tc>
          <w:tcPr>
            <w:tcW w:w="966"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24.718</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5.894.234</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627.412</w:t>
            </w:r>
          </w:p>
        </w:tc>
        <w:tc>
          <w:tcPr>
            <w:tcW w:w="1051"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893.731</w:t>
            </w:r>
          </w:p>
        </w:tc>
        <w:tc>
          <w:tcPr>
            <w:tcW w:w="1198"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7.723.012</w:t>
            </w:r>
          </w:p>
        </w:tc>
        <w:tc>
          <w:tcPr>
            <w:tcW w:w="1000"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284.095</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846.097</w:t>
            </w:r>
          </w:p>
        </w:tc>
        <w:tc>
          <w:tcPr>
            <w:tcW w:w="990"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718.783</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48.612</w:t>
            </w:r>
          </w:p>
        </w:tc>
      </w:tr>
      <w:tr w:rsidR="00EC4F97" w:rsidRPr="00CA6933" w:rsidTr="00422AD9">
        <w:trPr>
          <w:trHeight w:val="390"/>
        </w:trPr>
        <w:tc>
          <w:tcPr>
            <w:tcW w:w="2500" w:type="dxa"/>
            <w:tcBorders>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Gastos de capital</w:t>
            </w:r>
          </w:p>
        </w:tc>
        <w:tc>
          <w:tcPr>
            <w:tcW w:w="1023"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608.130</w:t>
            </w:r>
          </w:p>
        </w:tc>
        <w:tc>
          <w:tcPr>
            <w:tcW w:w="96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2.212.866</w:t>
            </w:r>
          </w:p>
        </w:tc>
        <w:tc>
          <w:tcPr>
            <w:tcW w:w="1033"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685.010</w:t>
            </w:r>
          </w:p>
        </w:tc>
        <w:tc>
          <w:tcPr>
            <w:tcW w:w="966"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375.229</w:t>
            </w:r>
          </w:p>
        </w:tc>
        <w:tc>
          <w:tcPr>
            <w:tcW w:w="96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1.327.679</w:t>
            </w:r>
          </w:p>
        </w:tc>
        <w:tc>
          <w:tcPr>
            <w:tcW w:w="96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1.844.509</w:t>
            </w:r>
          </w:p>
        </w:tc>
        <w:tc>
          <w:tcPr>
            <w:tcW w:w="105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1.248.509</w:t>
            </w:r>
          </w:p>
        </w:tc>
        <w:tc>
          <w:tcPr>
            <w:tcW w:w="1198"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16.266.257</w:t>
            </w:r>
          </w:p>
        </w:tc>
        <w:tc>
          <w:tcPr>
            <w:tcW w:w="1000"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437.428</w:t>
            </w:r>
          </w:p>
        </w:tc>
        <w:tc>
          <w:tcPr>
            <w:tcW w:w="992"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878.682</w:t>
            </w:r>
          </w:p>
        </w:tc>
        <w:tc>
          <w:tcPr>
            <w:tcW w:w="990"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1.367.620</w:t>
            </w:r>
          </w:p>
        </w:tc>
        <w:tc>
          <w:tcPr>
            <w:tcW w:w="992"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840.338</w:t>
            </w:r>
          </w:p>
        </w:tc>
      </w:tr>
      <w:tr w:rsidR="00EC4F97" w:rsidRPr="00CA6933" w:rsidTr="00422AD9">
        <w:trPr>
          <w:trHeight w:val="390"/>
        </w:trPr>
        <w:tc>
          <w:tcPr>
            <w:tcW w:w="2500" w:type="dxa"/>
            <w:tcBorders>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Saldo no financiero</w:t>
            </w:r>
          </w:p>
        </w:tc>
        <w:tc>
          <w:tcPr>
            <w:tcW w:w="1023"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442.793</w:t>
            </w:r>
          </w:p>
        </w:tc>
        <w:tc>
          <w:tcPr>
            <w:tcW w:w="96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274.980</w:t>
            </w:r>
          </w:p>
        </w:tc>
        <w:tc>
          <w:tcPr>
            <w:tcW w:w="1033"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810.534</w:t>
            </w:r>
          </w:p>
        </w:tc>
        <w:tc>
          <w:tcPr>
            <w:tcW w:w="966"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178.180</w:t>
            </w:r>
          </w:p>
        </w:tc>
        <w:tc>
          <w:tcPr>
            <w:tcW w:w="96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5.411.096</w:t>
            </w:r>
          </w:p>
        </w:tc>
        <w:tc>
          <w:tcPr>
            <w:tcW w:w="96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1.189.878</w:t>
            </w:r>
          </w:p>
        </w:tc>
        <w:tc>
          <w:tcPr>
            <w:tcW w:w="105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1.448.911</w:t>
            </w:r>
          </w:p>
        </w:tc>
        <w:tc>
          <w:tcPr>
            <w:tcW w:w="1198"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12.918.331</w:t>
            </w:r>
          </w:p>
        </w:tc>
        <w:tc>
          <w:tcPr>
            <w:tcW w:w="1000"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730.393</w:t>
            </w:r>
          </w:p>
        </w:tc>
        <w:tc>
          <w:tcPr>
            <w:tcW w:w="992"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5.580.620</w:t>
            </w:r>
          </w:p>
        </w:tc>
        <w:tc>
          <w:tcPr>
            <w:tcW w:w="990"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766.039</w:t>
            </w:r>
          </w:p>
        </w:tc>
        <w:tc>
          <w:tcPr>
            <w:tcW w:w="992"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-286.345</w:t>
            </w:r>
          </w:p>
        </w:tc>
      </w:tr>
      <w:tr w:rsidR="00EC4F97" w:rsidRPr="00CA6933" w:rsidTr="00422AD9">
        <w:trPr>
          <w:trHeight w:val="390"/>
        </w:trPr>
        <w:tc>
          <w:tcPr>
            <w:tcW w:w="2500" w:type="dxa"/>
            <w:tcBorders>
              <w:top w:val="single" w:sz="2" w:space="0" w:color="auto"/>
              <w:bottom w:val="single" w:sz="4"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Resultado presupuestario ajustado</w:t>
            </w:r>
          </w:p>
        </w:tc>
        <w:tc>
          <w:tcPr>
            <w:tcW w:w="1023"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820.376</w:t>
            </w:r>
          </w:p>
        </w:tc>
        <w:tc>
          <w:tcPr>
            <w:tcW w:w="961"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698.064</w:t>
            </w:r>
          </w:p>
        </w:tc>
        <w:tc>
          <w:tcPr>
            <w:tcW w:w="1033"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829.154</w:t>
            </w:r>
          </w:p>
        </w:tc>
        <w:tc>
          <w:tcPr>
            <w:tcW w:w="966"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319.954</w:t>
            </w:r>
          </w:p>
        </w:tc>
        <w:tc>
          <w:tcPr>
            <w:tcW w:w="961"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808.052</w:t>
            </w:r>
          </w:p>
        </w:tc>
        <w:tc>
          <w:tcPr>
            <w:tcW w:w="961"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1.908.405</w:t>
            </w:r>
          </w:p>
        </w:tc>
        <w:tc>
          <w:tcPr>
            <w:tcW w:w="1051"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2.030.258</w:t>
            </w:r>
          </w:p>
        </w:tc>
        <w:tc>
          <w:tcPr>
            <w:tcW w:w="1198"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8.646.760</w:t>
            </w:r>
          </w:p>
        </w:tc>
        <w:tc>
          <w:tcPr>
            <w:tcW w:w="1000"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603.957</w:t>
            </w:r>
          </w:p>
        </w:tc>
        <w:tc>
          <w:tcPr>
            <w:tcW w:w="992"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2.156.583</w:t>
            </w:r>
          </w:p>
        </w:tc>
        <w:tc>
          <w:tcPr>
            <w:tcW w:w="990"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616.270</w:t>
            </w:r>
          </w:p>
        </w:tc>
        <w:tc>
          <w:tcPr>
            <w:tcW w:w="992"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545.395</w:t>
            </w:r>
          </w:p>
        </w:tc>
      </w:tr>
    </w:tbl>
    <w:p w:rsidR="00EC4F97" w:rsidRDefault="00EC4F97" w:rsidP="00EC4F97">
      <w:pPr>
        <w:pStyle w:val="texto"/>
        <w:ind w:left="-567"/>
      </w:pPr>
    </w:p>
    <w:p w:rsidR="00EC4F97" w:rsidRDefault="00EC4F97" w:rsidP="00EC4F97">
      <w:pPr>
        <w:pStyle w:val="texto"/>
        <w:ind w:left="-567"/>
      </w:pPr>
    </w:p>
    <w:p w:rsidR="00EC4F97" w:rsidRDefault="00EC4F97" w:rsidP="00EC4F97">
      <w:pPr>
        <w:pStyle w:val="texto"/>
        <w:ind w:left="-567"/>
      </w:pPr>
    </w:p>
    <w:p w:rsidR="005A1124" w:rsidRDefault="005A1124">
      <w:pPr>
        <w:spacing w:after="0"/>
        <w:ind w:firstLine="0"/>
        <w:jc w:val="left"/>
        <w:rPr>
          <w:spacing w:val="6"/>
          <w:sz w:val="26"/>
          <w:szCs w:val="24"/>
        </w:rPr>
      </w:pPr>
      <w:r>
        <w:br w:type="page"/>
      </w:r>
    </w:p>
    <w:p w:rsidR="00EC4F97" w:rsidRDefault="00EC4F97" w:rsidP="00EC4F97">
      <w:pPr>
        <w:pStyle w:val="texto"/>
        <w:ind w:left="-567"/>
      </w:pPr>
    </w:p>
    <w:tbl>
      <w:tblPr>
        <w:tblW w:w="13804" w:type="dxa"/>
        <w:tblInd w:w="55" w:type="dxa"/>
        <w:tblCellMar>
          <w:left w:w="70" w:type="dxa"/>
          <w:right w:w="70" w:type="dxa"/>
        </w:tblCellMar>
        <w:tblLook w:val="00A0" w:firstRow="1" w:lastRow="0" w:firstColumn="1" w:lastColumn="0" w:noHBand="0" w:noVBand="0"/>
      </w:tblPr>
      <w:tblGrid>
        <w:gridCol w:w="2480"/>
        <w:gridCol w:w="894"/>
        <w:gridCol w:w="981"/>
        <w:gridCol w:w="935"/>
        <w:gridCol w:w="871"/>
        <w:gridCol w:w="968"/>
        <w:gridCol w:w="986"/>
        <w:gridCol w:w="868"/>
        <w:gridCol w:w="1109"/>
        <w:gridCol w:w="987"/>
        <w:gridCol w:w="989"/>
        <w:gridCol w:w="868"/>
        <w:gridCol w:w="868"/>
      </w:tblGrid>
      <w:tr w:rsidR="00EC4F97" w:rsidRPr="00CA6933" w:rsidTr="00422AD9">
        <w:trPr>
          <w:trHeight w:val="300"/>
        </w:trPr>
        <w:tc>
          <w:tcPr>
            <w:tcW w:w="2520"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 </w:t>
            </w:r>
          </w:p>
        </w:tc>
        <w:tc>
          <w:tcPr>
            <w:tcW w:w="897"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Ansoáin</w:t>
            </w:r>
          </w:p>
        </w:tc>
        <w:tc>
          <w:tcPr>
            <w:tcW w:w="906"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Aranguren</w:t>
            </w:r>
          </w:p>
        </w:tc>
        <w:tc>
          <w:tcPr>
            <w:tcW w:w="937"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Barañáin</w:t>
            </w:r>
          </w:p>
        </w:tc>
        <w:tc>
          <w:tcPr>
            <w:tcW w:w="870"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Berriozar</w:t>
            </w:r>
          </w:p>
        </w:tc>
        <w:tc>
          <w:tcPr>
            <w:tcW w:w="973"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Burlada</w:t>
            </w:r>
          </w:p>
        </w:tc>
        <w:tc>
          <w:tcPr>
            <w:tcW w:w="992"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Egüés</w:t>
            </w:r>
          </w:p>
        </w:tc>
        <w:tc>
          <w:tcPr>
            <w:tcW w:w="870"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Estella</w:t>
            </w:r>
          </w:p>
        </w:tc>
        <w:tc>
          <w:tcPr>
            <w:tcW w:w="1114"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Pamplona</w:t>
            </w:r>
          </w:p>
        </w:tc>
        <w:tc>
          <w:tcPr>
            <w:tcW w:w="993"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Tafalla</w:t>
            </w:r>
          </w:p>
        </w:tc>
        <w:tc>
          <w:tcPr>
            <w:tcW w:w="992"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Tudela</w:t>
            </w:r>
          </w:p>
        </w:tc>
        <w:tc>
          <w:tcPr>
            <w:tcW w:w="870"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Villava</w:t>
            </w:r>
          </w:p>
        </w:tc>
        <w:tc>
          <w:tcPr>
            <w:tcW w:w="870"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lang w:val="es-ES" w:eastAsia="es-ES"/>
              </w:rPr>
            </w:pPr>
            <w:r w:rsidRPr="00CA6933">
              <w:rPr>
                <w:rFonts w:ascii="Arial" w:hAnsi="Arial" w:cs="Arial"/>
                <w:color w:val="000000"/>
                <w:sz w:val="18"/>
                <w:szCs w:val="18"/>
                <w:lang w:val="es-ES" w:eastAsia="es-ES"/>
              </w:rPr>
              <w:t>Zizur  Mayor</w:t>
            </w:r>
          </w:p>
        </w:tc>
      </w:tr>
      <w:tr w:rsidR="00EC4F97" w:rsidRPr="007D7E8A" w:rsidTr="00422AD9">
        <w:trPr>
          <w:trHeight w:val="300"/>
        </w:trPr>
        <w:tc>
          <w:tcPr>
            <w:tcW w:w="252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97"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06"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37"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73"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92"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1114"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93"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92"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r>
      <w:tr w:rsidR="00EC4F97" w:rsidRPr="007D7E8A" w:rsidTr="00422AD9">
        <w:trPr>
          <w:trHeight w:val="315"/>
        </w:trPr>
        <w:tc>
          <w:tcPr>
            <w:tcW w:w="252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97"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06"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37"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73"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92"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1114"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93"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92"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Ahorro bruto</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993.702</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1.637.447</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1.484.769</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528.691</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844.541</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2.406.974</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1.803.689</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22.523.838</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883.726</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5.613.204</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1.414.876</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505.381</w:t>
            </w: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Carga financiera</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113.975</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 xml:space="preserve"> -   </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282.750</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466</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45.776</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1.031</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66.458</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14.628.256</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501.409</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2.796.144</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398.020</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 xml:space="preserve"> -   </w:t>
            </w: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Ahorro neto</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879.727</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1.637.447</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1.202.019</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528.225</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798.765</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2.405.943</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1.737.231</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7.895.582</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382.317</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2.817.060</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1.016.855</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505.381</w:t>
            </w: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Indice de carga financiera</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1,37</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0</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1,86</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0,01</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0,36</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0,01</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0,59</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7,66</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5,17</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8,21</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4,53</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0</w:t>
            </w:r>
          </w:p>
        </w:tc>
      </w:tr>
      <w:tr w:rsidR="00EC4F97" w:rsidRPr="00CA6933" w:rsidTr="00422AD9">
        <w:trPr>
          <w:trHeight w:val="55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Porcentaje de ahorro bruto sobre ingresos corrientes</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11,92</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16,68</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9,77</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8,61</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6,62</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19,16</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16,02</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11,79</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9,11</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16,48</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16,11</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4,95</w:t>
            </w: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Deuda viva</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759.988</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0</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793.750</w:t>
            </w:r>
          </w:p>
        </w:tc>
        <w:tc>
          <w:tcPr>
            <w:tcW w:w="870" w:type="dxa"/>
            <w:tcBorders>
              <w:top w:val="single" w:sz="2" w:space="0" w:color="auto"/>
              <w:bottom w:val="single" w:sz="2" w:space="0" w:color="auto"/>
            </w:tcBorders>
            <w:vAlign w:val="center"/>
          </w:tcPr>
          <w:p w:rsidR="00EC4F97" w:rsidRPr="00CA6933" w:rsidRDefault="00EC4F97" w:rsidP="00C56A3A">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 xml:space="preserve">0 </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6.625</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1.725.510</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5.097.010</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72.354.390</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3.974.880</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20.316.201</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2.688.347</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w:t>
            </w: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 xml:space="preserve">Nivel de endeudamiento </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9,12</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0</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5,22</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7,83</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0,05</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13,73</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45,28</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37,77</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40,96</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59,64</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30,62</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0</w:t>
            </w:r>
          </w:p>
        </w:tc>
      </w:tr>
      <w:tr w:rsidR="00EC4F97" w:rsidRPr="00CA6933" w:rsidTr="00422AD9">
        <w:trPr>
          <w:trHeight w:val="52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Remanente tesorería para gastos generales</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2.628.525</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625.815</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7.845.672</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2.039.312</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-3.345.883</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4.385.988</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5.783.515</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15.110.639</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472.765</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3.068.958</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1.159.403</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2.813.965</w:t>
            </w: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 xml:space="preserve">Autonomía fiscal </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60,37</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66,96</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36,71</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50,14</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32,08</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51,25</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48,15</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45,34</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47,98</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53,45</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45,56</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56,45</w:t>
            </w: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 xml:space="preserve">Índice deudores dudoso cobro </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69,93</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63,72</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59,78</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72,14</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62,46</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72,55</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91,82</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41,31</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52,99</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59,6</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65,45</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lang w:val="es-ES" w:eastAsia="es-ES"/>
              </w:rPr>
            </w:pPr>
            <w:r w:rsidRPr="00CA6933">
              <w:rPr>
                <w:rFonts w:ascii="Arial Narrow" w:hAnsi="Arial Narrow" w:cs="Calibri"/>
                <w:color w:val="000000"/>
                <w:sz w:val="18"/>
                <w:szCs w:val="18"/>
                <w:lang w:val="es-ES" w:eastAsia="es-ES"/>
              </w:rPr>
              <w:t>67,15</w:t>
            </w:r>
          </w:p>
        </w:tc>
      </w:tr>
    </w:tbl>
    <w:p w:rsidR="00EC4F97" w:rsidRPr="007D7E8A" w:rsidRDefault="00EC4F97" w:rsidP="00EC4F97">
      <w:pPr>
        <w:spacing w:after="0"/>
        <w:ind w:firstLine="0"/>
        <w:jc w:val="left"/>
        <w:rPr>
          <w:rFonts w:ascii="Calibri" w:hAnsi="Calibri" w:cs="Calibri"/>
          <w:color w:val="000000"/>
          <w:sz w:val="18"/>
          <w:szCs w:val="18"/>
          <w:lang w:val="es-ES" w:eastAsia="es-ES"/>
        </w:rPr>
      </w:pPr>
    </w:p>
    <w:p w:rsidR="005A1124" w:rsidRDefault="005A1124" w:rsidP="00EC4F97">
      <w:pPr>
        <w:pStyle w:val="texto"/>
        <w:sectPr w:rsidR="005A1124" w:rsidSect="005A1124">
          <w:footerReference w:type="default" r:id="rId16"/>
          <w:pgSz w:w="16840" w:h="11907" w:orient="landscape" w:code="9"/>
          <w:pgMar w:top="1559" w:right="2109" w:bottom="1559" w:left="1644" w:header="369" w:footer="136" w:gutter="0"/>
          <w:cols w:space="720"/>
          <w:docGrid w:linePitch="360"/>
        </w:sectPr>
      </w:pPr>
    </w:p>
    <w:p w:rsidR="00EC4F97" w:rsidRPr="00382752" w:rsidRDefault="005A1124" w:rsidP="00EC4F97">
      <w:pPr>
        <w:pStyle w:val="texto"/>
      </w:pPr>
      <w:r>
        <w:t xml:space="preserve">Tras </w:t>
      </w:r>
      <w:r w:rsidR="00EC4F97" w:rsidRPr="00382752">
        <w:t>analizar los datos del cuadro anterior destacamos los siguientes aspe</w:t>
      </w:r>
      <w:r w:rsidR="00EC4F97" w:rsidRPr="00382752">
        <w:t>c</w:t>
      </w:r>
      <w:r w:rsidR="00EC4F97" w:rsidRPr="00382752">
        <w:t>tos:</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E7F8A">
        <w:rPr>
          <w:rFonts w:cs="Arial"/>
        </w:rPr>
        <w:t>En todos los ayuntamientos, los ingresos corrientes son suficientes para hacer frente a los gastos de funcionamiento presentando ahorros brutos con v</w:t>
      </w:r>
      <w:r w:rsidRPr="004E7F8A">
        <w:rPr>
          <w:rFonts w:cs="Arial"/>
        </w:rPr>
        <w:t>a</w:t>
      </w:r>
      <w:r w:rsidRPr="004E7F8A">
        <w:rPr>
          <w:rFonts w:cs="Arial"/>
        </w:rPr>
        <w:t>lores positivos; esta suficiencia se mantiene incluso descontando la carga f</w:t>
      </w:r>
      <w:r w:rsidRPr="004E7F8A">
        <w:rPr>
          <w:rFonts w:cs="Arial"/>
        </w:rPr>
        <w:t>i</w:t>
      </w:r>
      <w:r w:rsidRPr="004E7F8A">
        <w:rPr>
          <w:rFonts w:cs="Arial"/>
        </w:rPr>
        <w:t xml:space="preserve">nanciera, con ahorros netos </w:t>
      </w:r>
      <w:r>
        <w:rPr>
          <w:rFonts w:cs="Arial"/>
        </w:rPr>
        <w:t>también positivos</w:t>
      </w:r>
      <w:r w:rsidRPr="004E7F8A">
        <w:rPr>
          <w:rFonts w:cs="Arial"/>
        </w:rPr>
        <w:t>.</w:t>
      </w:r>
      <w:r>
        <w:rPr>
          <w:rFonts w:cs="Arial"/>
        </w:rPr>
        <w:t xml:space="preserve"> </w:t>
      </w:r>
    </w:p>
    <w:p w:rsidR="00EC4F97" w:rsidRPr="00701725"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701725">
        <w:rPr>
          <w:rFonts w:cs="Arial"/>
        </w:rPr>
        <w:t>El saldo no financiero es positivo en todos los ayuntamientos excepto en el de Zizur Mayor.</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E7F8A">
        <w:rPr>
          <w:rFonts w:cs="Arial"/>
        </w:rPr>
        <w:t xml:space="preserve">El resultado presupuestario ajustado </w:t>
      </w:r>
      <w:r>
        <w:rPr>
          <w:rFonts w:cs="Arial"/>
        </w:rPr>
        <w:t>también es positivo en todos los ayu</w:t>
      </w:r>
      <w:r>
        <w:rPr>
          <w:rFonts w:cs="Arial"/>
        </w:rPr>
        <w:t>n</w:t>
      </w:r>
      <w:r>
        <w:rPr>
          <w:rFonts w:cs="Arial"/>
        </w:rPr>
        <w:t>tamientos.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F7916">
        <w:rPr>
          <w:rFonts w:cs="Arial"/>
        </w:rPr>
        <w:t>Los Ayuntamientos del Valle de Aranguren, Berriozar y Zizur Mayor no tienen deuda y el de Burlada tiene una deuda no significativa que vence en 2018</w:t>
      </w:r>
      <w:r>
        <w:rPr>
          <w:rFonts w:cs="Arial"/>
        </w:rPr>
        <w:t>.</w:t>
      </w:r>
      <w:r w:rsidRPr="000F7916">
        <w:rPr>
          <w:rFonts w:cs="Arial"/>
        </w:rPr>
        <w:t xml:space="preserve"> </w:t>
      </w:r>
      <w:r>
        <w:rPr>
          <w:rFonts w:cs="Arial"/>
        </w:rPr>
        <w:t>El nivel de endeudamiento, medido como deuda viva entre ingresos c</w:t>
      </w:r>
      <w:r>
        <w:rPr>
          <w:rFonts w:cs="Arial"/>
        </w:rPr>
        <w:t>o</w:t>
      </w:r>
      <w:r>
        <w:rPr>
          <w:rFonts w:cs="Arial"/>
        </w:rPr>
        <w:t>rrientes, es muy dispar; así, Barañáin presenta un índice del cinco por ciento mientras que Tudela tiene un nivel de endeudamiento de un 60 por ciento. En cualquier caso, todos están lejos del límite del 110 por ciento fijado por la regla de sostenibilidad de la deuda pública.</w:t>
      </w:r>
    </w:p>
    <w:p w:rsidR="00EC4F97" w:rsidRPr="000F7916"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F7916">
        <w:rPr>
          <w:rFonts w:cs="Arial"/>
        </w:rPr>
        <w:t>El remanente de tesorería para gastos generales es en todos los casos pos</w:t>
      </w:r>
      <w:r w:rsidRPr="000F7916">
        <w:rPr>
          <w:rFonts w:cs="Arial"/>
        </w:rPr>
        <w:t>i</w:t>
      </w:r>
      <w:r w:rsidRPr="000F7916">
        <w:rPr>
          <w:rFonts w:cs="Arial"/>
        </w:rPr>
        <w:t>tivo, a excepción del Ayuntamiento de Burlada que presenta un valor negativo de 3,35 millones de euros, si bien la magnitud ha mejorado respecto al año 2016.</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 xml:space="preserve">El índice de autonomía fiscal oscila entre un 32 por ciento en el caso de Burlada y el 67 por ciento en el caso de Aranguren. </w:t>
      </w:r>
    </w:p>
    <w:p w:rsidR="00EC4F97" w:rsidRPr="004E7F8A" w:rsidRDefault="00EC4F97" w:rsidP="00EC4F97">
      <w:pPr>
        <w:pStyle w:val="texto"/>
      </w:pPr>
      <w:r w:rsidRPr="004E7F8A">
        <w:t>En definitiva, en general, la situación económico-financier</w:t>
      </w:r>
      <w:r>
        <w:t>a de estos ayu</w:t>
      </w:r>
      <w:r>
        <w:t>n</w:t>
      </w:r>
      <w:r>
        <w:t>tamientos en 2017</w:t>
      </w:r>
      <w:r w:rsidRPr="004E7F8A">
        <w:t xml:space="preserve"> era saneada, los ingresos fueron suficientes para hacer frente a los gastos corrientes, y se contaba con recursos suficientes para acometer ga</w:t>
      </w:r>
      <w:r w:rsidRPr="004E7F8A">
        <w:t>s</w:t>
      </w:r>
      <w:r w:rsidRPr="004E7F8A">
        <w:t xml:space="preserve">tos en ejercicios posteriores al presentar los respectivos remanentes de tesorería para gastos generales, en mayor o menor medida, valores positivos; destacamos además que la deuda o bien no existe, o presenta valores </w:t>
      </w:r>
      <w:r>
        <w:t>muy inferiores al lím</w:t>
      </w:r>
      <w:r>
        <w:t>i</w:t>
      </w:r>
      <w:r>
        <w:t>te establecido por la normativa.</w:t>
      </w:r>
    </w:p>
    <w:p w:rsidR="00EC4F97" w:rsidRDefault="00EC4F97" w:rsidP="00EC4F97">
      <w:pPr>
        <w:spacing w:after="0"/>
        <w:ind w:firstLine="0"/>
        <w:jc w:val="left"/>
        <w:rPr>
          <w:rFonts w:ascii="Arial" w:hAnsi="Arial"/>
          <w:b/>
          <w:color w:val="000000"/>
          <w:kern w:val="28"/>
          <w:sz w:val="25"/>
          <w:szCs w:val="26"/>
        </w:rPr>
      </w:pPr>
      <w:r>
        <w:br w:type="page"/>
      </w:r>
    </w:p>
    <w:p w:rsidR="00EC4F97" w:rsidRPr="007E3BFE" w:rsidRDefault="00EC4F97" w:rsidP="00EC4F97">
      <w:pPr>
        <w:pStyle w:val="atitulo1"/>
      </w:pPr>
      <w:bookmarkStart w:id="72" w:name="_Toc24100149"/>
      <w:bookmarkStart w:id="73" w:name="_Toc24451747"/>
      <w:r>
        <w:t>VIII</w:t>
      </w:r>
      <w:r w:rsidRPr="007E3BFE">
        <w:t>. Conclusiones y recomendaciones</w:t>
      </w:r>
      <w:bookmarkEnd w:id="72"/>
      <w:bookmarkEnd w:id="73"/>
    </w:p>
    <w:p w:rsidR="00EC4F97" w:rsidRPr="004E7F8A" w:rsidRDefault="00EC4F97" w:rsidP="00EC4F97">
      <w:pPr>
        <w:pStyle w:val="texto"/>
        <w:spacing w:before="120" w:after="120"/>
      </w:pPr>
      <w:r w:rsidRPr="004E7F8A">
        <w:t>Las principales conclusiones sobre la organización, fiscalización y situación financiera del sector público local en el año 201</w:t>
      </w:r>
      <w:r>
        <w:t xml:space="preserve">7 </w:t>
      </w:r>
      <w:r w:rsidRPr="004E7F8A">
        <w:t>son las siguientes:</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20" w:after="120"/>
        <w:ind w:left="0" w:firstLine="289"/>
        <w:rPr>
          <w:rFonts w:cs="Arial"/>
        </w:rPr>
      </w:pPr>
      <w:r w:rsidRPr="004E7F8A">
        <w:rPr>
          <w:rFonts w:cs="Arial"/>
        </w:rPr>
        <w:t>El sector público local está conformado por 70</w:t>
      </w:r>
      <w:r>
        <w:rPr>
          <w:rFonts w:cs="Arial"/>
        </w:rPr>
        <w:t>3</w:t>
      </w:r>
      <w:r w:rsidRPr="004E7F8A">
        <w:rPr>
          <w:rFonts w:cs="Arial"/>
        </w:rPr>
        <w:t xml:space="preserve"> entes locales: 272 munic</w:t>
      </w:r>
      <w:r w:rsidRPr="004E7F8A">
        <w:rPr>
          <w:rFonts w:cs="Arial"/>
        </w:rPr>
        <w:t>i</w:t>
      </w:r>
      <w:r w:rsidRPr="004E7F8A">
        <w:rPr>
          <w:rFonts w:cs="Arial"/>
        </w:rPr>
        <w:t>pios, 346 concejos, 6</w:t>
      </w:r>
      <w:r>
        <w:rPr>
          <w:rFonts w:cs="Arial"/>
        </w:rPr>
        <w:t>2</w:t>
      </w:r>
      <w:r w:rsidRPr="004E7F8A">
        <w:rPr>
          <w:rFonts w:cs="Arial"/>
        </w:rPr>
        <w:t xml:space="preserve"> mancomunidades y </w:t>
      </w:r>
      <w:r>
        <w:rPr>
          <w:rFonts w:cs="Arial"/>
        </w:rPr>
        <w:t>23</w:t>
      </w:r>
      <w:r w:rsidRPr="004E7F8A">
        <w:rPr>
          <w:rFonts w:cs="Arial"/>
        </w:rPr>
        <w:t xml:space="preserve"> agrupaciones. Estos entes locales han constituido 12</w:t>
      </w:r>
      <w:r>
        <w:rPr>
          <w:rFonts w:cs="Arial"/>
        </w:rPr>
        <w:t>2</w:t>
      </w:r>
      <w:r w:rsidRPr="004E7F8A">
        <w:rPr>
          <w:rFonts w:cs="Arial"/>
        </w:rPr>
        <w:t xml:space="preserve"> entes dependientes para la prestación de servicios y forman parte de 1</w:t>
      </w:r>
      <w:r>
        <w:rPr>
          <w:rFonts w:cs="Arial"/>
        </w:rPr>
        <w:t>7</w:t>
      </w:r>
      <w:r w:rsidRPr="004E7F8A">
        <w:rPr>
          <w:rFonts w:cs="Arial"/>
        </w:rPr>
        <w:t xml:space="preserve"> consorcios.</w:t>
      </w:r>
    </w:p>
    <w:bookmarkEnd w:id="69"/>
    <w:bookmarkEnd w:id="70"/>
    <w:p w:rsidR="00EC4F97" w:rsidRDefault="00EC4F97" w:rsidP="00EC4F97">
      <w:pPr>
        <w:pStyle w:val="texto"/>
        <w:spacing w:before="120" w:after="120"/>
        <w:rPr>
          <w:szCs w:val="26"/>
          <w:lang w:val="es-ES" w:eastAsia="es-ES"/>
        </w:rPr>
      </w:pPr>
      <w:r w:rsidRPr="007E3BFE">
        <w:rPr>
          <w:w w:val="103"/>
        </w:rPr>
        <w:t xml:space="preserve">Persiste el problema </w:t>
      </w:r>
      <w:r>
        <w:rPr>
          <w:w w:val="103"/>
        </w:rPr>
        <w:t>indicado reiterativamente por esta Cámara sobre la falta de racionalización de la actual planta municipal de Navarra junto con la reducida dimensión poblacional de sus municipios, cuestiones que afectan a la dotación de recursos y a la existencia de una estructura administrativa ad</w:t>
      </w:r>
      <w:r>
        <w:rPr>
          <w:w w:val="103"/>
        </w:rPr>
        <w:t>e</w:t>
      </w:r>
      <w:r>
        <w:rPr>
          <w:w w:val="103"/>
        </w:rPr>
        <w:t>cuada y suficiente para la gestión de sus competencias, dificultando la pre</w:t>
      </w:r>
      <w:r>
        <w:rPr>
          <w:w w:val="103"/>
        </w:rPr>
        <w:t>s</w:t>
      </w:r>
      <w:r>
        <w:rPr>
          <w:w w:val="103"/>
        </w:rPr>
        <w:t>tación de unos servicios públicos eficientes y de calidad</w:t>
      </w:r>
      <w:r>
        <w:rPr>
          <w:szCs w:val="26"/>
          <w:lang w:val="es-ES" w:eastAsia="es-ES"/>
        </w:rPr>
        <w:t>.</w:t>
      </w:r>
    </w:p>
    <w:p w:rsidR="00EC4F97" w:rsidRDefault="00EC4F97" w:rsidP="00EC4F97">
      <w:pPr>
        <w:pStyle w:val="texto"/>
        <w:spacing w:before="120" w:after="120"/>
      </w:pPr>
      <w:r>
        <w:t>Al respecto, actualmente, ya está aprobada la Ley de Reforma de la Adm</w:t>
      </w:r>
      <w:r>
        <w:t>i</w:t>
      </w:r>
      <w:r>
        <w:t xml:space="preserve">nistración Local de Navarra pero requiere de la elaboración y aprobación de modificaciones normativas para ir concretando de forma definitiva la reforma planteada. </w:t>
      </w:r>
    </w:p>
    <w:p w:rsidR="00EC4F97" w:rsidRPr="00F25EBD" w:rsidRDefault="00EC4F97" w:rsidP="00F25EB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20" w:after="120"/>
        <w:ind w:left="0" w:firstLine="289"/>
        <w:rPr>
          <w:rFonts w:cs="Arial"/>
        </w:rPr>
      </w:pPr>
      <w:r>
        <w:rPr>
          <w:rFonts w:cs="Arial"/>
        </w:rPr>
        <w:t>E</w:t>
      </w:r>
      <w:r w:rsidRPr="00B53167">
        <w:rPr>
          <w:rFonts w:cs="Arial"/>
        </w:rPr>
        <w:t xml:space="preserve">l porcentaje de rendición </w:t>
      </w:r>
      <w:r>
        <w:rPr>
          <w:rFonts w:cs="Arial"/>
        </w:rPr>
        <w:t>de cuentas en el plazo establecido en la norm</w:t>
      </w:r>
      <w:r>
        <w:rPr>
          <w:rFonts w:cs="Arial"/>
        </w:rPr>
        <w:t>a</w:t>
      </w:r>
      <w:r>
        <w:rPr>
          <w:rFonts w:cs="Arial"/>
        </w:rPr>
        <w:t>tiva se sitúa en el 66 por ciento en el caso de los municipios y en el 62 por ciento en el caso de los concejos, habiendo mejorado respecto al año anterior en siete y nueve puntos porcentuales respectivamente.</w:t>
      </w:r>
      <w:r w:rsidR="00F25EBD">
        <w:rPr>
          <w:rFonts w:cs="Arial"/>
        </w:rPr>
        <w:t xml:space="preserve"> A fecha 30 de septie</w:t>
      </w:r>
      <w:r w:rsidR="00F25EBD">
        <w:rPr>
          <w:rFonts w:cs="Arial"/>
        </w:rPr>
        <w:t>m</w:t>
      </w:r>
      <w:r w:rsidR="00F25EBD">
        <w:rPr>
          <w:rFonts w:cs="Arial"/>
        </w:rPr>
        <w:t>bre de 2019 el porcentaje de rendición de cuentas se situaba en el 95 por ciento para los municipios y en el 93 por ciento para los concejos.</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20" w:after="120"/>
        <w:ind w:left="0" w:firstLine="289"/>
        <w:rPr>
          <w:rFonts w:cs="Arial"/>
        </w:rPr>
      </w:pPr>
      <w:r w:rsidRPr="004E7F8A">
        <w:rPr>
          <w:rFonts w:cs="Arial"/>
        </w:rPr>
        <w:t>En el año 201</w:t>
      </w:r>
      <w:r>
        <w:rPr>
          <w:rFonts w:cs="Arial"/>
        </w:rPr>
        <w:t>7</w:t>
      </w:r>
      <w:r w:rsidRPr="004E7F8A">
        <w:rPr>
          <w:rFonts w:cs="Arial"/>
        </w:rPr>
        <w:t xml:space="preserve"> se fiscalizaron</w:t>
      </w:r>
      <w:r>
        <w:rPr>
          <w:rFonts w:cs="Arial"/>
        </w:rPr>
        <w:t xml:space="preserve"> los ayuntamientos </w:t>
      </w:r>
      <w:r w:rsidRPr="004E7F8A">
        <w:rPr>
          <w:rFonts w:cs="Arial"/>
        </w:rPr>
        <w:t>de Pamplona</w:t>
      </w:r>
      <w:r>
        <w:rPr>
          <w:rFonts w:cs="Arial"/>
        </w:rPr>
        <w:t>, Barañáin y Fitero.</w:t>
      </w:r>
      <w:r w:rsidRPr="004E7F8A">
        <w:rPr>
          <w:rFonts w:cs="Arial"/>
        </w:rPr>
        <w:t xml:space="preserve"> </w:t>
      </w:r>
    </w:p>
    <w:p w:rsidR="00EC4F97" w:rsidRDefault="00EC4F97" w:rsidP="00EC4F97">
      <w:pPr>
        <w:pStyle w:val="texto"/>
        <w:spacing w:before="120" w:after="120"/>
        <w:rPr>
          <w:w w:val="103"/>
        </w:rPr>
      </w:pPr>
      <w:r w:rsidRPr="004A2E03">
        <w:t xml:space="preserve">Las principales deficiencias detectadas en las fiscalizaciones se refieren </w:t>
      </w:r>
      <w:r w:rsidRPr="007E3BFE">
        <w:rPr>
          <w:w w:val="103"/>
        </w:rPr>
        <w:t>a</w:t>
      </w:r>
      <w:r>
        <w:rPr>
          <w:w w:val="103"/>
        </w:rPr>
        <w:t xml:space="preserve">l abono de gastos </w:t>
      </w:r>
      <w:r w:rsidRPr="00C20092">
        <w:t xml:space="preserve">sin </w:t>
      </w:r>
      <w:r>
        <w:t xml:space="preserve">la </w:t>
      </w:r>
      <w:r w:rsidRPr="00C20092">
        <w:t>tramitación del correspondiente expediente de contrat</w:t>
      </w:r>
      <w:r w:rsidRPr="00C20092">
        <w:t>a</w:t>
      </w:r>
      <w:r w:rsidRPr="00C20092">
        <w:t>ción</w:t>
      </w:r>
      <w:r>
        <w:t xml:space="preserve"> o cuya vigencia del contrato finalizó pr</w:t>
      </w:r>
      <w:r w:rsidRPr="00354E30">
        <w:t>eviament</w:t>
      </w:r>
      <w:r>
        <w:t>e, a la falta de aprobación de ofertas públicas de empleo y convocatoria de las vacantes permitidas y a la falta o escasez de procedimientos de control interno por parte del ayuntamiento sobre las actividades desarrolladas por sus organismos y entes dependientes.</w:t>
      </w:r>
    </w:p>
    <w:p w:rsidR="00EC4F97" w:rsidRDefault="00EC4F97" w:rsidP="00EC4F97">
      <w:pPr>
        <w:pStyle w:val="texto"/>
        <w:spacing w:before="120" w:after="120"/>
        <w:rPr>
          <w:szCs w:val="26"/>
        </w:rPr>
      </w:pPr>
      <w:r w:rsidRPr="00222EC4">
        <w:rPr>
          <w:szCs w:val="26"/>
        </w:rPr>
        <w:t>Asimismo</w:t>
      </w:r>
      <w:r>
        <w:rPr>
          <w:szCs w:val="26"/>
        </w:rPr>
        <w:t>,</w:t>
      </w:r>
      <w:r w:rsidRPr="00222EC4">
        <w:rPr>
          <w:szCs w:val="26"/>
        </w:rPr>
        <w:t xml:space="preserve"> se realizaron </w:t>
      </w:r>
      <w:r>
        <w:rPr>
          <w:szCs w:val="26"/>
        </w:rPr>
        <w:t>siete</w:t>
      </w:r>
      <w:r w:rsidRPr="00222EC4">
        <w:rPr>
          <w:szCs w:val="26"/>
        </w:rPr>
        <w:t xml:space="preserve"> informes que afectaban a la actividad de 201</w:t>
      </w:r>
      <w:r>
        <w:rPr>
          <w:szCs w:val="26"/>
        </w:rPr>
        <w:t>7</w:t>
      </w:r>
      <w:r w:rsidRPr="00222EC4">
        <w:rPr>
          <w:szCs w:val="26"/>
        </w:rPr>
        <w:t xml:space="preserve"> de e</w:t>
      </w:r>
      <w:r>
        <w:rPr>
          <w:szCs w:val="26"/>
        </w:rPr>
        <w:t xml:space="preserve">ntidades del sector local, detallados en el epígrafe IV de este informe. </w:t>
      </w:r>
    </w:p>
    <w:p w:rsidR="00EC4F97" w:rsidRPr="004E7F8A" w:rsidRDefault="00EC4F97" w:rsidP="00EC4F97">
      <w:pPr>
        <w:pStyle w:val="texto"/>
        <w:spacing w:before="120" w:after="120"/>
        <w:rPr>
          <w:rFonts w:cs="Arial"/>
        </w:rPr>
      </w:pPr>
      <w:r w:rsidRPr="004E7F8A">
        <w:rPr>
          <w:rFonts w:cs="Arial"/>
        </w:rPr>
        <w:t>En cuanto a la situación financiera consolidada, en 201</w:t>
      </w:r>
      <w:r>
        <w:rPr>
          <w:rFonts w:cs="Arial"/>
        </w:rPr>
        <w:t>7</w:t>
      </w:r>
      <w:r w:rsidRPr="004E7F8A">
        <w:rPr>
          <w:rFonts w:cs="Arial"/>
        </w:rPr>
        <w:t xml:space="preserve"> los ingresos </w:t>
      </w:r>
      <w:r>
        <w:rPr>
          <w:rFonts w:cs="Arial"/>
        </w:rPr>
        <w:t>asce</w:t>
      </w:r>
      <w:r>
        <w:rPr>
          <w:rFonts w:cs="Arial"/>
        </w:rPr>
        <w:t>n</w:t>
      </w:r>
      <w:r>
        <w:rPr>
          <w:rFonts w:cs="Arial"/>
        </w:rPr>
        <w:t xml:space="preserve">dieron a 778,12 millones de euros aumentando </w:t>
      </w:r>
      <w:r w:rsidRPr="004E7F8A">
        <w:rPr>
          <w:rFonts w:cs="Arial"/>
        </w:rPr>
        <w:t xml:space="preserve">un </w:t>
      </w:r>
      <w:r>
        <w:rPr>
          <w:rFonts w:cs="Arial"/>
        </w:rPr>
        <w:t>dos</w:t>
      </w:r>
      <w:r w:rsidRPr="004E7F8A">
        <w:rPr>
          <w:rFonts w:cs="Arial"/>
        </w:rPr>
        <w:t xml:space="preserve"> por ciento respecto a 201</w:t>
      </w:r>
      <w:r>
        <w:rPr>
          <w:rFonts w:cs="Arial"/>
        </w:rPr>
        <w:t xml:space="preserve">6; </w:t>
      </w:r>
      <w:r w:rsidRPr="004E7F8A">
        <w:rPr>
          <w:rFonts w:cs="Arial"/>
        </w:rPr>
        <w:t xml:space="preserve">los gastos </w:t>
      </w:r>
      <w:r>
        <w:rPr>
          <w:rFonts w:cs="Arial"/>
        </w:rPr>
        <w:t xml:space="preserve">ascendieron a 752,03 millones de euros aumentando </w:t>
      </w:r>
      <w:r w:rsidRPr="004E7F8A">
        <w:rPr>
          <w:rFonts w:cs="Arial"/>
        </w:rPr>
        <w:t xml:space="preserve">un </w:t>
      </w:r>
      <w:r>
        <w:rPr>
          <w:rFonts w:cs="Arial"/>
        </w:rPr>
        <w:t>cinco</w:t>
      </w:r>
      <w:r w:rsidRPr="004E7F8A">
        <w:rPr>
          <w:rFonts w:cs="Arial"/>
        </w:rPr>
        <w:t xml:space="preserve"> por ciento.</w:t>
      </w:r>
      <w:r>
        <w:rPr>
          <w:rFonts w:cs="Arial"/>
        </w:rPr>
        <w:t xml:space="preserve"> La evolución respecto a 2013 presenta el mismo signo si bien los ingresos aumentaron un cinco y los gastos un cuatro por ciento.</w:t>
      </w:r>
    </w:p>
    <w:p w:rsidR="00EC4F97" w:rsidRPr="00F54CF1" w:rsidRDefault="00EC4F97" w:rsidP="00EC4F97">
      <w:pPr>
        <w:pStyle w:val="texto"/>
        <w:spacing w:before="120" w:after="120"/>
      </w:pPr>
      <w:r w:rsidRPr="00F54CF1">
        <w:t>En cuanto a la composición de los gastos e ingresos más relevantes del pr</w:t>
      </w:r>
      <w:r w:rsidRPr="00F54CF1">
        <w:t>e</w:t>
      </w:r>
      <w:r w:rsidRPr="00F54CF1">
        <w:t>supuesto, los gastos de funcionamiento</w:t>
      </w:r>
      <w:r>
        <w:t xml:space="preserve"> alcanzaron los 605,09</w:t>
      </w:r>
      <w:r w:rsidRPr="00F54CF1">
        <w:t xml:space="preserve"> millones de e</w:t>
      </w:r>
      <w:r w:rsidRPr="00F54CF1">
        <w:t>u</w:t>
      </w:r>
      <w:r w:rsidRPr="00F54CF1">
        <w:t>ros</w:t>
      </w:r>
      <w:r>
        <w:t>,</w:t>
      </w:r>
      <w:r w:rsidRPr="00F54CF1">
        <w:t xml:space="preserve"> aumentando un </w:t>
      </w:r>
      <w:r>
        <w:t>cuatro por ciento respecto a 2013</w:t>
      </w:r>
      <w:r w:rsidRPr="00F54CF1">
        <w:t xml:space="preserve"> y un uno por ciento sobre los de 201</w:t>
      </w:r>
      <w:r>
        <w:t>6</w:t>
      </w:r>
      <w:r w:rsidRPr="00F54CF1">
        <w:t xml:space="preserve">. Por otro lado, los ingresos tributarios alcanzaron los </w:t>
      </w:r>
      <w:r>
        <w:t>365,4 mill</w:t>
      </w:r>
      <w:r>
        <w:t>o</w:t>
      </w:r>
      <w:r>
        <w:t>nes de euros, habiéndose producido este último año un cambio de tendencia respecto a los cuatro anteriores en los que dichos ingresos aumentaban cada año y sin embargo en 2017 han disminuido en un dos por ciento. Este mismo comportamiento se ha dado en el resultado presupuestario no financiero que ha disminuido por primera vez desde 2013 en un 20 por ciento respecto al 2016.</w:t>
      </w:r>
    </w:p>
    <w:p w:rsidR="00EC4F97" w:rsidRPr="00F54CF1" w:rsidRDefault="00EC4F97" w:rsidP="00EC4F97">
      <w:pPr>
        <w:pStyle w:val="texto"/>
        <w:spacing w:before="120" w:after="120"/>
      </w:pPr>
      <w:r w:rsidRPr="00F54CF1">
        <w:t xml:space="preserve">El sector público local obtuvo un resultado no financiero de </w:t>
      </w:r>
      <w:r>
        <w:t>62,35</w:t>
      </w:r>
      <w:r w:rsidRPr="00F54CF1">
        <w:t xml:space="preserve"> millones de euros, un ahorro neto de </w:t>
      </w:r>
      <w:r>
        <w:t>63,95</w:t>
      </w:r>
      <w:r w:rsidRPr="00F54CF1">
        <w:t xml:space="preserve"> millones y un remanente de tesorería para gastos generales de </w:t>
      </w:r>
      <w:r>
        <w:t>238,45</w:t>
      </w:r>
      <w:r w:rsidRPr="00F54CF1">
        <w:t xml:space="preserve"> millones.</w:t>
      </w:r>
    </w:p>
    <w:p w:rsidR="00EC4F97" w:rsidRPr="00F54CF1" w:rsidRDefault="00EC4F97" w:rsidP="00EC4F97">
      <w:pPr>
        <w:pStyle w:val="texto"/>
        <w:spacing w:before="120" w:after="120"/>
      </w:pPr>
      <w:r w:rsidRPr="00F54CF1">
        <w:t>La deu</w:t>
      </w:r>
      <w:r>
        <w:t>da viva en 2016 ascendía a 228,70</w:t>
      </w:r>
      <w:r w:rsidRPr="00F54CF1">
        <w:t xml:space="preserve"> millones de euros</w:t>
      </w:r>
      <w:r>
        <w:t>, habiéndose r</w:t>
      </w:r>
      <w:r>
        <w:t>e</w:t>
      </w:r>
      <w:r>
        <w:t>ducido un 40 por ciento respecto a 2013 y un 18 por ciento respecto al 2016;</w:t>
      </w:r>
      <w:r w:rsidRPr="00F54CF1">
        <w:t xml:space="preserve"> los entes locales presentaban un porcentaje de capacidad de endeudamiento del </w:t>
      </w:r>
      <w:r>
        <w:t xml:space="preserve">nueve </w:t>
      </w:r>
      <w:r w:rsidRPr="00F54CF1">
        <w:t>por ciento.</w:t>
      </w:r>
    </w:p>
    <w:p w:rsidR="00EC4F97" w:rsidRPr="00F54CF1" w:rsidRDefault="00EC4F97" w:rsidP="00EC4F97">
      <w:pPr>
        <w:pStyle w:val="texto"/>
        <w:spacing w:before="120" w:after="120"/>
      </w:pPr>
      <w:r w:rsidRPr="00F54CF1">
        <w:t xml:space="preserve">Además, obtuvo una capacidad de financiación de </w:t>
      </w:r>
      <w:r>
        <w:t>59,06</w:t>
      </w:r>
      <w:r w:rsidRPr="00F54CF1">
        <w:t xml:space="preserve"> millones de euros y la deuda viva se situaba en el 3</w:t>
      </w:r>
      <w:r>
        <w:t>2</w:t>
      </w:r>
      <w:r w:rsidRPr="00F54CF1">
        <w:t xml:space="preserve"> por ciento de los ingresos corrientes, </w:t>
      </w:r>
      <w:r>
        <w:t xml:space="preserve">muy </w:t>
      </w:r>
      <w:r w:rsidRPr="00F54CF1">
        <w:t>por debajo del límite del 110 por ciento establecido legalmente.</w:t>
      </w:r>
    </w:p>
    <w:p w:rsidR="00EC4F97" w:rsidRPr="00F54CF1" w:rsidRDefault="00EC4F97" w:rsidP="00EC4F97">
      <w:pPr>
        <w:pStyle w:val="texto"/>
        <w:spacing w:before="120" w:after="120"/>
      </w:pPr>
      <w:r w:rsidRPr="00F54CF1">
        <w:t>En definitiva, la situación económica del sector público local es saneada, t</w:t>
      </w:r>
      <w:r w:rsidRPr="00F54CF1">
        <w:t>o</w:t>
      </w:r>
      <w:r w:rsidRPr="00F54CF1">
        <w:t>dos los indicadores económico-financieros muestran una evolución favorable, si bien la realización de gastos no financieros y la capacidad de endeudamiento están limitados por el cumplimiento de los objetivos de estabilidad y sostenib</w:t>
      </w:r>
      <w:r w:rsidRPr="00F54CF1">
        <w:t>i</w:t>
      </w:r>
      <w:r w:rsidRPr="00F54CF1">
        <w:t>lidad financiera, objetivos que el sector público local en su conjunto cumplió en el ejercicio 201</w:t>
      </w:r>
      <w:r>
        <w:t>7</w:t>
      </w:r>
      <w:r w:rsidRPr="00F54CF1">
        <w:t>.</w:t>
      </w:r>
    </w:p>
    <w:p w:rsidR="00EC4F97" w:rsidRPr="000F21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20" w:after="120"/>
        <w:ind w:left="0" w:firstLine="289"/>
        <w:rPr>
          <w:rFonts w:cs="Arial"/>
        </w:rPr>
      </w:pPr>
      <w:r w:rsidRPr="000F2197">
        <w:rPr>
          <w:rFonts w:cs="Arial"/>
        </w:rPr>
        <w:t>Las entidades locales y sus entes dependientes adjudicaron en 2017 un t</w:t>
      </w:r>
      <w:r w:rsidRPr="000F2197">
        <w:rPr>
          <w:rFonts w:cs="Arial"/>
        </w:rPr>
        <w:t>o</w:t>
      </w:r>
      <w:r w:rsidRPr="000F2197">
        <w:rPr>
          <w:rFonts w:cs="Arial"/>
        </w:rPr>
        <w:t>tal de 421 contratos por un importe de 48,54 millones de euros; el 42 por ciento de ellos se corresponde con contratos de asistencia (21 por ciento del total del importe citado), el 35 por ciento son de obras (66 por ciento del importe total), el 20 por ciento fueron destinados a suministros (11 por ciento del montante total) y el restante cuatro por ciento son concesiones de servicios (uno por cie</w:t>
      </w:r>
      <w:r w:rsidRPr="000F2197">
        <w:rPr>
          <w:rFonts w:cs="Arial"/>
        </w:rPr>
        <w:t>n</w:t>
      </w:r>
      <w:r w:rsidRPr="000F2197">
        <w:rPr>
          <w:rFonts w:cs="Arial"/>
        </w:rPr>
        <w:t xml:space="preserve">to del importe total). </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rPr>
      </w:pPr>
      <w:r w:rsidRPr="004E7F8A">
        <w:rPr>
          <w:rFonts w:cs="Arial"/>
        </w:rPr>
        <w:t>Del análisis de la situación económico-financiera de los ayuntamientos con población sup</w:t>
      </w:r>
      <w:r>
        <w:rPr>
          <w:rFonts w:cs="Arial"/>
        </w:rPr>
        <w:t>erior a 9.000 habitantes en 2017</w:t>
      </w:r>
      <w:r w:rsidRPr="004E7F8A">
        <w:rPr>
          <w:rFonts w:cs="Arial"/>
        </w:rPr>
        <w:t>, podemos concluir que, en gen</w:t>
      </w:r>
      <w:r w:rsidRPr="004E7F8A">
        <w:rPr>
          <w:rFonts w:cs="Arial"/>
        </w:rPr>
        <w:t>e</w:t>
      </w:r>
      <w:r w:rsidRPr="004E7F8A">
        <w:rPr>
          <w:rFonts w:cs="Arial"/>
        </w:rPr>
        <w:t>ral, era saneada, y tanto el ahorro bruto como el neto y el remanente de tesor</w:t>
      </w:r>
      <w:r w:rsidRPr="004E7F8A">
        <w:rPr>
          <w:rFonts w:cs="Arial"/>
        </w:rPr>
        <w:t>e</w:t>
      </w:r>
      <w:r w:rsidRPr="004E7F8A">
        <w:rPr>
          <w:rFonts w:cs="Arial"/>
        </w:rPr>
        <w:t>ría para gastos generales presentaba valores positivos. Además, la deuda viva a 31 de diciembre de 201</w:t>
      </w:r>
      <w:r>
        <w:rPr>
          <w:rFonts w:cs="Arial"/>
        </w:rPr>
        <w:t>7</w:t>
      </w:r>
      <w:r w:rsidRPr="004E7F8A">
        <w:rPr>
          <w:rFonts w:cs="Arial"/>
        </w:rPr>
        <w:t xml:space="preserve"> o bien era inexistente o alcanzaba valores razonables.</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rPr>
      </w:pPr>
      <w:r w:rsidRPr="004E7F8A">
        <w:rPr>
          <w:rFonts w:cs="Arial"/>
        </w:rPr>
        <w:t>La regulación de l</w:t>
      </w:r>
      <w:r>
        <w:rPr>
          <w:rFonts w:cs="Arial"/>
        </w:rPr>
        <w:t xml:space="preserve">as haciendas locales precisa </w:t>
      </w:r>
      <w:r w:rsidRPr="004E7F8A">
        <w:rPr>
          <w:rFonts w:cs="Arial"/>
        </w:rPr>
        <w:t>una profunda revisión de su régimen presupuestario-contable, sistema de control interno y modelo de fina</w:t>
      </w:r>
      <w:r w:rsidRPr="004E7F8A">
        <w:rPr>
          <w:rFonts w:cs="Arial"/>
        </w:rPr>
        <w:t>n</w:t>
      </w:r>
      <w:r w:rsidRPr="004E7F8A">
        <w:rPr>
          <w:rFonts w:cs="Arial"/>
        </w:rPr>
        <w:t>ciación</w:t>
      </w:r>
      <w:r>
        <w:rPr>
          <w:rFonts w:cs="Arial"/>
        </w:rPr>
        <w:t>.</w:t>
      </w:r>
      <w:r w:rsidRPr="004E7F8A">
        <w:rPr>
          <w:rFonts w:cs="Arial"/>
        </w:rPr>
        <w:t xml:space="preserve"> </w:t>
      </w:r>
    </w:p>
    <w:p w:rsidR="00EC4F97" w:rsidRDefault="00EC4F97" w:rsidP="00EC4F97">
      <w:pPr>
        <w:pStyle w:val="texto"/>
        <w:spacing w:before="100" w:after="100"/>
      </w:pPr>
      <w:r>
        <w:tab/>
        <w:t>Asimismo, l</w:t>
      </w:r>
      <w:r w:rsidRPr="007E3BFE">
        <w:t xml:space="preserve">a contabilidad local en Navarra está regulada sobre la base del Plan General de Contabilidad Pública adaptado a la </w:t>
      </w:r>
      <w:r>
        <w:t>a</w:t>
      </w:r>
      <w:r w:rsidRPr="007E3BFE">
        <w:t>dministración local apr</w:t>
      </w:r>
      <w:r w:rsidRPr="007E3BFE">
        <w:t>o</w:t>
      </w:r>
      <w:r w:rsidRPr="007E3BFE">
        <w:t>bado por Orden Ministerial de 17 de julio de 1990</w:t>
      </w:r>
      <w:r>
        <w:t>.</w:t>
      </w:r>
    </w:p>
    <w:p w:rsidR="00EC4F97" w:rsidRDefault="00EC4F97" w:rsidP="00EC4F97">
      <w:pPr>
        <w:pStyle w:val="texto"/>
        <w:spacing w:before="80" w:after="80"/>
        <w:rPr>
          <w:szCs w:val="26"/>
          <w:lang w:val="es-ES" w:eastAsia="es-ES"/>
        </w:rPr>
      </w:pPr>
      <w:r>
        <w:rPr>
          <w:w w:val="103"/>
        </w:rPr>
        <w:t>La última actualización relacionada con esta materia se produjo en 2015 con la aprobación de la nueva estructura</w:t>
      </w:r>
      <w:r>
        <w:rPr>
          <w:szCs w:val="26"/>
          <w:lang w:val="es-ES" w:eastAsia="es-ES"/>
        </w:rPr>
        <w:t xml:space="preserve"> presupuestaria de las entidades loc</w:t>
      </w:r>
      <w:r>
        <w:rPr>
          <w:szCs w:val="26"/>
          <w:lang w:val="es-ES" w:eastAsia="es-ES"/>
        </w:rPr>
        <w:t>a</w:t>
      </w:r>
      <w:r>
        <w:rPr>
          <w:szCs w:val="26"/>
          <w:lang w:val="es-ES" w:eastAsia="es-ES"/>
        </w:rPr>
        <w:t>les. Esta nueva estructura se adapta a la aplicada por las entidades locales de régimen común.</w:t>
      </w:r>
    </w:p>
    <w:p w:rsidR="00EC4F97" w:rsidRDefault="00EC4F97" w:rsidP="00EC4F97">
      <w:pPr>
        <w:pStyle w:val="texto"/>
        <w:spacing w:before="80" w:after="80"/>
      </w:pPr>
      <w:r w:rsidRPr="007E3BFE">
        <w:t>No se han dictado normas sobre consolidación de los estados contables de la entidad local y sus entes dependientes</w:t>
      </w:r>
      <w:r>
        <w:t xml:space="preserve">. </w:t>
      </w:r>
    </w:p>
    <w:p w:rsidR="00EC4F97" w:rsidRPr="007E3BFE" w:rsidRDefault="00EC4F97" w:rsidP="00EC4F97">
      <w:pPr>
        <w:pStyle w:val="texto"/>
        <w:spacing w:before="80" w:after="80"/>
        <w:rPr>
          <w:w w:val="103"/>
        </w:rPr>
      </w:pPr>
      <w:r w:rsidRPr="007E3BFE">
        <w:rPr>
          <w:w w:val="103"/>
        </w:rPr>
        <w:t>Las recomendaciones de esta Cámara a la Administración de la Comun</w:t>
      </w:r>
      <w:r w:rsidRPr="007E3BFE">
        <w:rPr>
          <w:w w:val="103"/>
        </w:rPr>
        <w:t>i</w:t>
      </w:r>
      <w:r w:rsidRPr="007E3BFE">
        <w:rPr>
          <w:w w:val="103"/>
        </w:rPr>
        <w:t>dad Foral y al Parlamento son las siguientes: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rFonts w:cs="Arial"/>
          <w:i/>
        </w:rPr>
        <w:t xml:space="preserve">Continuar con </w:t>
      </w:r>
      <w:r w:rsidRPr="004039B2">
        <w:rPr>
          <w:rFonts w:cs="Arial"/>
          <w:i/>
        </w:rPr>
        <w:t xml:space="preserve">el proceso iniciado mediante la aprobación de la Ley Foral 4/2019, de 4 de febrero, de Reforma de la Administración Local de Navarra y adoptar las medidas legislativas y administrativas precisas para completar la </w:t>
      </w:r>
      <w:r>
        <w:rPr>
          <w:rFonts w:cs="Arial"/>
          <w:i/>
        </w:rPr>
        <w:t>reestructuración de la administración local de Navarra que esta Ley Foral contempla, con la finalidad de lograr una gestión pública eficiente y eficaz.</w:t>
      </w:r>
    </w:p>
    <w:p w:rsidR="00EC4F97" w:rsidRPr="000A024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0A024E">
        <w:rPr>
          <w:rFonts w:cs="Arial"/>
          <w:i/>
        </w:rPr>
        <w:t xml:space="preserve"> Acometer urgentemente la reforma de la contabilidad local adaptándola al vigente Plan General de Contabilidad Pública de 2010.</w:t>
      </w:r>
    </w:p>
    <w:p w:rsidR="00EC4F97" w:rsidRPr="005F591B"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spacing w:val="4"/>
        </w:rPr>
      </w:pPr>
      <w:r w:rsidRPr="005F591B">
        <w:rPr>
          <w:rFonts w:cs="Arial"/>
          <w:i/>
          <w:spacing w:val="4"/>
        </w:rPr>
        <w:t>Elaborar normas reguladoras sobre la metodología para la consolidación de los estados contables de los entes locales y sus entes dependientes, con el fin de proporcionar una visión integral de la actividad realizada por todo el sector público local.</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4E7F8A">
        <w:rPr>
          <w:rFonts w:cs="Arial"/>
          <w:i/>
        </w:rPr>
        <w:t>Completar la metodología para la obtención de los costes de los servicios locales así como los correspondientes indicadores de gestión.</w:t>
      </w:r>
    </w:p>
    <w:p w:rsidR="00EC4F97" w:rsidRPr="004E7F8A" w:rsidRDefault="00F25EBD"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4E7F8A">
        <w:rPr>
          <w:rFonts w:cs="Arial"/>
          <w:i/>
        </w:rPr>
        <w:t>A</w:t>
      </w:r>
      <w:r>
        <w:rPr>
          <w:rFonts w:cs="Arial"/>
          <w:i/>
        </w:rPr>
        <w:t xml:space="preserve">ctualizar el marco de las haciendas locales con el fin de </w:t>
      </w:r>
      <w:r w:rsidRPr="004E7F8A">
        <w:rPr>
          <w:rFonts w:cs="Arial"/>
          <w:i/>
        </w:rPr>
        <w:t>que contemple la aplicación de las actuales exigencias y demandas de la normativa</w:t>
      </w:r>
      <w:r w:rsidR="00EC4F97" w:rsidRPr="004E7F8A">
        <w:rPr>
          <w:rFonts w:cs="Arial"/>
          <w:i/>
        </w:rPr>
        <w:t>.</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943C6B">
        <w:rPr>
          <w:rFonts w:cs="Arial"/>
          <w:i/>
        </w:rPr>
        <w:t>Elaborar la normativa sobre el régimen jurídico del control interno en las entidades locales, con el fin de, entre otros objetivos, lograr un control econ</w:t>
      </w:r>
      <w:r w:rsidRPr="00943C6B">
        <w:rPr>
          <w:rFonts w:cs="Arial"/>
          <w:i/>
        </w:rPr>
        <w:t>ó</w:t>
      </w:r>
      <w:r w:rsidRPr="00943C6B">
        <w:rPr>
          <w:rFonts w:cs="Arial"/>
          <w:i/>
        </w:rPr>
        <w:t>mico-presupuestario más riguroso y reforzar el papel de la función intervent</w:t>
      </w:r>
      <w:r w:rsidRPr="00943C6B">
        <w:rPr>
          <w:rFonts w:cs="Arial"/>
          <w:i/>
        </w:rPr>
        <w:t>o</w:t>
      </w:r>
      <w:r w:rsidRPr="00943C6B">
        <w:rPr>
          <w:rFonts w:cs="Arial"/>
          <w:i/>
        </w:rPr>
        <w:t>ra en las Entidades</w:t>
      </w:r>
      <w:r>
        <w:rPr>
          <w:rFonts w:cs="Arial"/>
          <w:i/>
        </w:rPr>
        <w:t xml:space="preserve"> Locales</w:t>
      </w:r>
      <w:r>
        <w:rPr>
          <w:rFonts w:ascii="Lucida Sans Unicode" w:hAnsi="Lucida Sans Unicode" w:cs="Lucida Sans Unicode"/>
          <w:color w:val="222222"/>
          <w:sz w:val="20"/>
          <w:szCs w:val="20"/>
          <w:shd w:val="clear" w:color="auto" w:fill="FFFFFF"/>
        </w:rPr>
        <w:t>.</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4E7F8A">
        <w:rPr>
          <w:rFonts w:cs="Arial"/>
          <w:i/>
        </w:rPr>
        <w:t>Establecer la normativa y procedimientos para el ejercicio de la tutela f</w:t>
      </w:r>
      <w:r w:rsidRPr="004E7F8A">
        <w:rPr>
          <w:rFonts w:cs="Arial"/>
          <w:i/>
        </w:rPr>
        <w:t>i</w:t>
      </w:r>
      <w:r w:rsidRPr="004E7F8A">
        <w:rPr>
          <w:rFonts w:cs="Arial"/>
          <w:i/>
        </w:rPr>
        <w:t>nanciera que la Administración Foral debe ejercer en relación con la aplic</w:t>
      </w:r>
      <w:r w:rsidRPr="004E7F8A">
        <w:rPr>
          <w:rFonts w:cs="Arial"/>
          <w:i/>
        </w:rPr>
        <w:t>a</w:t>
      </w:r>
      <w:r w:rsidRPr="004E7F8A">
        <w:rPr>
          <w:rFonts w:cs="Arial"/>
          <w:i/>
        </w:rPr>
        <w:t>ción a las entidades locales de la Comunidad Foral de la Ley Orgánica 2/2012, de 27 de abril, de Estabilidad Presupuestaria y Sostenibilidad Financiera.</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943C6B">
        <w:rPr>
          <w:rFonts w:cs="Arial"/>
          <w:i/>
        </w:rPr>
        <w:t>Completar la información referida a la rendición y contenido de cuentas de las entidades locales en la página web del departamento competente en m</w:t>
      </w:r>
      <w:r w:rsidRPr="00943C6B">
        <w:rPr>
          <w:rFonts w:cs="Arial"/>
          <w:i/>
        </w:rPr>
        <w:t>a</w:t>
      </w:r>
      <w:r w:rsidRPr="00943C6B">
        <w:rPr>
          <w:rFonts w:cs="Arial"/>
          <w:i/>
        </w:rPr>
        <w:t>teria de Administración</w:t>
      </w:r>
      <w:r w:rsidRPr="004E7F8A">
        <w:rPr>
          <w:rFonts w:cs="Arial"/>
          <w:i/>
        </w:rPr>
        <w:t xml:space="preserve"> Local en aras al cumplimiento de la Ley de Transp</w:t>
      </w:r>
      <w:r w:rsidRPr="004E7F8A">
        <w:rPr>
          <w:rFonts w:cs="Arial"/>
          <w:i/>
        </w:rPr>
        <w:t>a</w:t>
      </w:r>
      <w:r w:rsidRPr="004E7F8A">
        <w:rPr>
          <w:rFonts w:cs="Arial"/>
          <w:i/>
        </w:rPr>
        <w:t>rencia.</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4E7F8A">
        <w:rPr>
          <w:rFonts w:cs="Arial"/>
          <w:i/>
        </w:rPr>
        <w:t>Finalizar la actualización del registro de entidades locales con la info</w:t>
      </w:r>
      <w:r w:rsidRPr="004E7F8A">
        <w:rPr>
          <w:rFonts w:cs="Arial"/>
          <w:i/>
        </w:rPr>
        <w:t>r</w:t>
      </w:r>
      <w:r w:rsidRPr="004E7F8A">
        <w:rPr>
          <w:rFonts w:cs="Arial"/>
          <w:i/>
        </w:rPr>
        <w:t>mación referida a las sociedades públicas y fundaciones locales</w:t>
      </w:r>
      <w:r>
        <w:rPr>
          <w:rFonts w:cs="Arial"/>
          <w:i/>
        </w:rPr>
        <w:t xml:space="preserve"> y constatar la corrección de la información ya existente</w:t>
      </w:r>
      <w:r w:rsidRPr="004E7F8A">
        <w:rPr>
          <w:rFonts w:cs="Arial"/>
          <w:i/>
        </w:rPr>
        <w:t>.</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4E7F8A">
        <w:rPr>
          <w:rFonts w:cs="Arial"/>
          <w:i/>
        </w:rPr>
        <w:t xml:space="preserve">Completar el informe sobre </w:t>
      </w:r>
      <w:r>
        <w:rPr>
          <w:rFonts w:cs="Arial"/>
          <w:i/>
        </w:rPr>
        <w:t xml:space="preserve">la </w:t>
      </w:r>
      <w:r w:rsidRPr="004E7F8A">
        <w:rPr>
          <w:rFonts w:cs="Arial"/>
          <w:i/>
        </w:rPr>
        <w:t>situación financiera del sector público local elaborado por el Gobierno de Navarra con información relativa a sociedades públicas, f</w:t>
      </w:r>
      <w:r>
        <w:rPr>
          <w:rFonts w:cs="Arial"/>
          <w:i/>
        </w:rPr>
        <w:t xml:space="preserve">undaciones y </w:t>
      </w:r>
      <w:r w:rsidRPr="00943C6B">
        <w:rPr>
          <w:rFonts w:cs="Arial"/>
          <w:i/>
        </w:rPr>
        <w:t>consorcios públicos</w:t>
      </w:r>
      <w:r>
        <w:rPr>
          <w:rFonts w:cs="Arial"/>
          <w:i/>
        </w:rPr>
        <w:t>.</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4E7F8A">
        <w:rPr>
          <w:rFonts w:cs="Arial"/>
          <w:i/>
        </w:rPr>
        <w:t>Reforzar los mecanismos para garantizar el cumplimiento de la obligación legal de rendición de cuentas de las entidades locales en el plazo establecido en la normativa.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4E7F8A">
        <w:rPr>
          <w:rFonts w:cs="Arial"/>
          <w:i/>
        </w:rPr>
        <w:t>Elaborar un modelo de plantilla orgánica de personal que contemple, de forma clara y concreta, los requisitos e información que debe contener tal d</w:t>
      </w:r>
      <w:r w:rsidRPr="004E7F8A">
        <w:rPr>
          <w:rFonts w:cs="Arial"/>
          <w:i/>
        </w:rPr>
        <w:t>o</w:t>
      </w:r>
      <w:r w:rsidRPr="004E7F8A">
        <w:rPr>
          <w:rFonts w:cs="Arial"/>
          <w:i/>
        </w:rPr>
        <w:t>cumento y que permita, a su vez, cumplir a las entidades locales con las disti</w:t>
      </w:r>
      <w:r w:rsidRPr="004E7F8A">
        <w:rPr>
          <w:rFonts w:cs="Arial"/>
          <w:i/>
        </w:rPr>
        <w:t>n</w:t>
      </w:r>
      <w:r w:rsidRPr="004E7F8A">
        <w:rPr>
          <w:rFonts w:cs="Arial"/>
          <w:i/>
        </w:rPr>
        <w:t>tas exigencias de información.</w:t>
      </w:r>
    </w:p>
    <w:p w:rsidR="00EC4F97" w:rsidRPr="004E7F8A" w:rsidRDefault="00EC4F97" w:rsidP="006D2778">
      <w:pPr>
        <w:pStyle w:val="texto"/>
        <w:spacing w:before="120" w:after="120"/>
      </w:pPr>
      <w:r w:rsidRPr="004E7F8A">
        <w:t>Recomendaciones a las entidades locales:</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4E7F8A">
        <w:rPr>
          <w:rFonts w:cs="Arial"/>
          <w:i/>
        </w:rPr>
        <w:t>En el actual contexto normativo, reducir, mediante las oportunas convoc</w:t>
      </w:r>
      <w:r w:rsidRPr="004E7F8A">
        <w:rPr>
          <w:rFonts w:cs="Arial"/>
          <w:i/>
        </w:rPr>
        <w:t>a</w:t>
      </w:r>
      <w:r w:rsidRPr="004E7F8A">
        <w:rPr>
          <w:rFonts w:cs="Arial"/>
          <w:i/>
        </w:rPr>
        <w:t>torias, el alto grado de temporalidad que se observa en el personal de las ent</w:t>
      </w:r>
      <w:r w:rsidRPr="004E7F8A">
        <w:rPr>
          <w:rFonts w:cs="Arial"/>
          <w:i/>
        </w:rPr>
        <w:t>i</w:t>
      </w:r>
      <w:r w:rsidRPr="004E7F8A">
        <w:rPr>
          <w:rFonts w:cs="Arial"/>
          <w:i/>
        </w:rPr>
        <w:t>dades locales.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4E7F8A">
        <w:rPr>
          <w:rFonts w:cs="Arial"/>
          <w:i/>
        </w:rPr>
        <w:t>Completar el proceso de implantación del inventario valorado y actualiz</w:t>
      </w:r>
      <w:r w:rsidRPr="004E7F8A">
        <w:rPr>
          <w:rFonts w:cs="Arial"/>
          <w:i/>
        </w:rPr>
        <w:t>a</w:t>
      </w:r>
      <w:r w:rsidRPr="004E7F8A">
        <w:rPr>
          <w:rFonts w:cs="Arial"/>
          <w:i/>
        </w:rPr>
        <w:t>do, de los bienes y derechos municipales, y su conexión con las cuentas de i</w:t>
      </w:r>
      <w:r w:rsidRPr="004E7F8A">
        <w:rPr>
          <w:rFonts w:cs="Arial"/>
          <w:i/>
        </w:rPr>
        <w:t>n</w:t>
      </w:r>
      <w:r w:rsidRPr="004E7F8A">
        <w:rPr>
          <w:rFonts w:cs="Arial"/>
          <w:i/>
        </w:rPr>
        <w:t xml:space="preserve">movilizado. </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4E7F8A">
        <w:rPr>
          <w:rFonts w:cs="Arial"/>
          <w:i/>
        </w:rPr>
        <w:t>Crear el registro e inventario del patrimonio municipal del suelo y el r</w:t>
      </w:r>
      <w:r w:rsidRPr="004E7F8A">
        <w:rPr>
          <w:rFonts w:cs="Arial"/>
          <w:i/>
        </w:rPr>
        <w:t>e</w:t>
      </w:r>
      <w:r w:rsidRPr="004E7F8A">
        <w:rPr>
          <w:rFonts w:cs="Arial"/>
          <w:i/>
        </w:rPr>
        <w:t>gistro de convenios urbanísticos.</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4E7F8A">
        <w:rPr>
          <w:rFonts w:cs="Arial"/>
          <w:i/>
        </w:rPr>
        <w:t>Ejercer el control interno municipal, con la extensión establecida en la l</w:t>
      </w:r>
      <w:r w:rsidRPr="004E7F8A">
        <w:rPr>
          <w:rFonts w:cs="Arial"/>
          <w:i/>
        </w:rPr>
        <w:t>e</w:t>
      </w:r>
      <w:r w:rsidRPr="004E7F8A">
        <w:rPr>
          <w:rFonts w:cs="Arial"/>
          <w:i/>
        </w:rPr>
        <w:t>gislación aplicable, respecto al control de la gestión económica de los entes dependientes, en su triple acepción de función interventora, función de control financiero y control de eficacia.</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4E7F8A">
        <w:rPr>
          <w:rFonts w:cs="Arial"/>
          <w:i/>
        </w:rPr>
        <w:t>Diseñar, dentro de la potestad de autoorganización de los entes locales, la estructura organizativa más racional para la gestión de los servicios públicos locales con eficacia, economía y eficiencia.</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4E7F8A">
        <w:rPr>
          <w:rFonts w:cs="Arial"/>
          <w:i/>
        </w:rPr>
        <w:t>Continuar con la implantación de la metodología de costes de los servicios públicos y definir indicadores de gestión útiles para la toma de decisiones.</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4E7F8A">
        <w:rPr>
          <w:rFonts w:cs="Arial"/>
          <w:i/>
        </w:rPr>
        <w:t>Aprobar el presupuesto y la cuenta general en los plazos establecidos.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sidRPr="004E7F8A">
        <w:rPr>
          <w:rFonts w:cs="Arial"/>
          <w:i/>
        </w:rPr>
        <w:t>Actualizar en plazo las ponencias de valoración.</w:t>
      </w:r>
    </w:p>
    <w:p w:rsidR="00EC4F97" w:rsidRPr="009E1946" w:rsidRDefault="00EC4F97" w:rsidP="006D2778">
      <w:pPr>
        <w:pStyle w:val="texto"/>
        <w:spacing w:before="240" w:after="240"/>
      </w:pPr>
      <w:r w:rsidRPr="009E1946">
        <w:t xml:space="preserve">Informe que se emite a propuesta de la auditora </w:t>
      </w:r>
      <w:r>
        <w:t>Edurne Martinikorena Matxain</w:t>
      </w:r>
      <w:r w:rsidRPr="009E1946">
        <w:t>, responsable de la realización de este trabajo, una vez cumplimentados los trámites previstos por la normativa vigente.</w:t>
      </w:r>
    </w:p>
    <w:p w:rsidR="00EC4F97" w:rsidRPr="009E1946" w:rsidRDefault="00EC4F97" w:rsidP="006D2778">
      <w:pPr>
        <w:pStyle w:val="texto"/>
        <w:spacing w:after="0"/>
        <w:jc w:val="center"/>
      </w:pPr>
      <w:r w:rsidRPr="009E1946">
        <w:t xml:space="preserve">Pamplona, </w:t>
      </w:r>
      <w:r w:rsidR="006D2778">
        <w:t>13</w:t>
      </w:r>
      <w:r>
        <w:t xml:space="preserve"> de noviembre</w:t>
      </w:r>
      <w:r w:rsidRPr="009E1946">
        <w:t xml:space="preserve"> de 201</w:t>
      </w:r>
      <w:r>
        <w:t>9</w:t>
      </w:r>
    </w:p>
    <w:p w:rsidR="00EC4F97" w:rsidRDefault="00EC4F97" w:rsidP="00EC4F97">
      <w:pPr>
        <w:pStyle w:val="texto"/>
        <w:jc w:val="center"/>
      </w:pPr>
      <w:r w:rsidRPr="009E1946">
        <w:t>La presidenta, Asunción Olaechea Estanga</w:t>
      </w:r>
    </w:p>
    <w:p w:rsidR="00EC4F97" w:rsidRDefault="00EC4F97" w:rsidP="00EC4F97">
      <w:pPr>
        <w:pStyle w:val="texto"/>
        <w:tabs>
          <w:tab w:val="clear" w:pos="2835"/>
          <w:tab w:val="clear" w:pos="3969"/>
          <w:tab w:val="clear" w:pos="5103"/>
          <w:tab w:val="clear" w:pos="6237"/>
          <w:tab w:val="clear" w:pos="7371"/>
          <w:tab w:val="left" w:pos="480"/>
          <w:tab w:val="num" w:pos="720"/>
          <w:tab w:val="num" w:pos="1320"/>
          <w:tab w:val="num" w:pos="1948"/>
        </w:tabs>
        <w:spacing w:before="80" w:after="80"/>
        <w:rPr>
          <w:rFonts w:cs="Arial"/>
          <w:i/>
        </w:rPr>
      </w:pPr>
    </w:p>
    <w:p w:rsidR="00EC4F97" w:rsidRDefault="00EC4F97" w:rsidP="00EC4F97">
      <w:pPr>
        <w:pStyle w:val="texto"/>
        <w:spacing w:after="0"/>
        <w:jc w:val="center"/>
      </w:pPr>
    </w:p>
    <w:p w:rsidR="00EC4F97" w:rsidRDefault="00EC4F97" w:rsidP="00EC4F97">
      <w:pPr>
        <w:spacing w:before="360" w:after="180"/>
        <w:ind w:firstLine="0"/>
        <w:jc w:val="left"/>
        <w:rPr>
          <w:b/>
          <w:bCs/>
          <w:sz w:val="24"/>
          <w:szCs w:val="24"/>
          <w:lang w:val="es-ES" w:eastAsia="es-ES"/>
        </w:rPr>
      </w:pPr>
    </w:p>
    <w:p w:rsidR="00EC4F97" w:rsidRDefault="00EC4F97" w:rsidP="00EC4F97">
      <w:pPr>
        <w:pStyle w:val="atitulo1"/>
        <w:ind w:left="851"/>
        <w:rPr>
          <w:sz w:val="32"/>
          <w:szCs w:val="32"/>
        </w:rPr>
      </w:pPr>
      <w:bookmarkStart w:id="74" w:name="_Toc529773890"/>
      <w:bookmarkStart w:id="75" w:name="_Toc24100150"/>
      <w:bookmarkStart w:id="76" w:name="_Toc24451748"/>
      <w:r>
        <w:rPr>
          <w:sz w:val="32"/>
          <w:szCs w:val="32"/>
        </w:rPr>
        <w:t>Anexo 1. N</w:t>
      </w:r>
      <w:r w:rsidRPr="00CD4E82">
        <w:rPr>
          <w:sz w:val="32"/>
          <w:szCs w:val="32"/>
        </w:rPr>
        <w:t>ormativa aplicable a las entidades loc</w:t>
      </w:r>
      <w:r w:rsidRPr="00CD4E82">
        <w:rPr>
          <w:sz w:val="32"/>
          <w:szCs w:val="32"/>
        </w:rPr>
        <w:t>a</w:t>
      </w:r>
      <w:r w:rsidRPr="00CD4E82">
        <w:rPr>
          <w:sz w:val="32"/>
          <w:szCs w:val="32"/>
        </w:rPr>
        <w:t xml:space="preserve">les durante el ejercicio </w:t>
      </w:r>
      <w:bookmarkEnd w:id="74"/>
      <w:r>
        <w:rPr>
          <w:sz w:val="32"/>
          <w:szCs w:val="32"/>
        </w:rPr>
        <w:t>2017</w:t>
      </w:r>
      <w:bookmarkEnd w:id="75"/>
      <w:bookmarkEnd w:id="76"/>
    </w:p>
    <w:p w:rsidR="00EC4F97" w:rsidRDefault="00EC4F97" w:rsidP="00EC4F97">
      <w:pPr>
        <w:spacing w:after="0"/>
        <w:ind w:firstLine="0"/>
        <w:jc w:val="left"/>
        <w:rPr>
          <w:rFonts w:ascii="Arial" w:hAnsi="Arial"/>
          <w:b/>
          <w:color w:val="000000"/>
          <w:kern w:val="28"/>
          <w:sz w:val="32"/>
          <w:szCs w:val="32"/>
        </w:rPr>
      </w:pPr>
      <w:r>
        <w:rPr>
          <w:sz w:val="32"/>
          <w:szCs w:val="32"/>
        </w:rPr>
        <w:br w:type="page"/>
      </w:r>
    </w:p>
    <w:p w:rsidR="00EC4F97" w:rsidRPr="00CD4E82" w:rsidRDefault="00EC4F97" w:rsidP="00EC4F97">
      <w:pPr>
        <w:pStyle w:val="atitulo1"/>
        <w:ind w:left="851"/>
        <w:rPr>
          <w:sz w:val="32"/>
          <w:szCs w:val="32"/>
        </w:rPr>
      </w:pPr>
    </w:p>
    <w:p w:rsidR="00EC4F97" w:rsidRPr="0090093E" w:rsidRDefault="00EC4F97" w:rsidP="00EC4F97">
      <w:pPr>
        <w:pStyle w:val="texto"/>
        <w:rPr>
          <w:b/>
          <w:szCs w:val="26"/>
        </w:rPr>
      </w:pPr>
      <w:r w:rsidRPr="0090093E">
        <w:rPr>
          <w:b/>
          <w:szCs w:val="26"/>
        </w:rPr>
        <w:t xml:space="preserve">a) Administración y régimen local </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 xml:space="preserve">Ley 7/1985, de 2 de abril, Reguladora de las Bases del Régimen Local. </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 xml:space="preserve">Ley Foral 6/1990, de 2 de julio, de la Administración Local de Navarra. </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 xml:space="preserve">Ley 19/2013, de 9 de diciembre, de transparencia, acceso a la información pública y buen gobierno. </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 xml:space="preserve">Ley 39/2015, de 1 de octubre, del Procedimiento Administrativo Común de las Administraciones Públicas. </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 xml:space="preserve">Ley 40/2015, de 1 de octubre, de Régimen Jurídico del Sector Público. </w:t>
      </w:r>
    </w:p>
    <w:p w:rsidR="00EC4F97" w:rsidRPr="007C22B5"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7C22B5">
        <w:rPr>
          <w:szCs w:val="26"/>
        </w:rPr>
        <w:t>Ley Foral 24/2016, de 28 de diciembre, de Presupuestos Generales de N</w:t>
      </w:r>
      <w:r w:rsidRPr="007C22B5">
        <w:rPr>
          <w:szCs w:val="26"/>
        </w:rPr>
        <w:t>a</w:t>
      </w:r>
      <w:r w:rsidRPr="007C22B5">
        <w:rPr>
          <w:szCs w:val="26"/>
        </w:rPr>
        <w:t xml:space="preserve">varra para el año 2017. </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 xml:space="preserve">Ley </w:t>
      </w:r>
      <w:r>
        <w:rPr>
          <w:szCs w:val="26"/>
        </w:rPr>
        <w:t xml:space="preserve">3/2017, de 27 de junio, </w:t>
      </w:r>
      <w:r w:rsidRPr="0090093E">
        <w:rPr>
          <w:szCs w:val="26"/>
        </w:rPr>
        <w:t>de Presupuestos Generales del Estado para el año 201</w:t>
      </w:r>
      <w:r>
        <w:rPr>
          <w:szCs w:val="26"/>
        </w:rPr>
        <w:t>7</w:t>
      </w:r>
      <w:r w:rsidRPr="0090093E">
        <w:rPr>
          <w:szCs w:val="26"/>
        </w:rPr>
        <w:t xml:space="preserve">. </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Pr>
          <w:szCs w:val="26"/>
        </w:rPr>
        <w:t>Ley Foral 13/2017, de 16 de noviembre, de conciertos sociales en los á</w:t>
      </w:r>
      <w:r>
        <w:rPr>
          <w:szCs w:val="26"/>
        </w:rPr>
        <w:t>m</w:t>
      </w:r>
      <w:r>
        <w:rPr>
          <w:szCs w:val="26"/>
        </w:rPr>
        <w:t>bitos de Salud y Servicios Sociales.</w:t>
      </w:r>
    </w:p>
    <w:p w:rsidR="00EC4F97" w:rsidRPr="0090093E" w:rsidRDefault="00EC4F97" w:rsidP="00EC4F97">
      <w:pPr>
        <w:pStyle w:val="texto"/>
        <w:spacing w:before="240"/>
        <w:rPr>
          <w:b/>
          <w:szCs w:val="26"/>
        </w:rPr>
      </w:pPr>
      <w:r w:rsidRPr="0090093E">
        <w:rPr>
          <w:b/>
          <w:szCs w:val="26"/>
        </w:rPr>
        <w:t xml:space="preserve">b) Régimen económico, presupuestario y contable </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 xml:space="preserve">Ley Foral 2/1995, de 10 de marzo, de Haciendas Locales de Navarra. </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Ley Foral 7/1996, de 28 de mayo, de tarifas e instrucción del Impuesto s</w:t>
      </w:r>
      <w:r w:rsidRPr="0090093E">
        <w:rPr>
          <w:szCs w:val="26"/>
        </w:rPr>
        <w:t>o</w:t>
      </w:r>
      <w:r w:rsidRPr="0090093E">
        <w:rPr>
          <w:szCs w:val="26"/>
        </w:rPr>
        <w:t xml:space="preserve">bre Actividades Económicas (IAE) </w:t>
      </w:r>
    </w:p>
    <w:p w:rsidR="00EC4F97" w:rsidRPr="00825E09" w:rsidRDefault="00EC4F97" w:rsidP="00EC4F97">
      <w:pPr>
        <w:pStyle w:val="texto"/>
        <w:numPr>
          <w:ilvl w:val="0"/>
          <w:numId w:val="2"/>
        </w:numPr>
        <w:tabs>
          <w:tab w:val="clear" w:pos="1948"/>
          <w:tab w:val="clear" w:pos="2835"/>
          <w:tab w:val="num" w:pos="644"/>
          <w:tab w:val="center" w:pos="709"/>
        </w:tabs>
        <w:ind w:left="114"/>
        <w:rPr>
          <w:szCs w:val="26"/>
        </w:rPr>
      </w:pPr>
      <w:r w:rsidRPr="00825E09">
        <w:rPr>
          <w:szCs w:val="26"/>
        </w:rPr>
        <w:t>Decreto Foral 270/1998</w:t>
      </w:r>
      <w:r>
        <w:rPr>
          <w:szCs w:val="26"/>
        </w:rPr>
        <w:t>,</w:t>
      </w:r>
      <w:r w:rsidRPr="00825E09">
        <w:rPr>
          <w:szCs w:val="26"/>
        </w:rPr>
        <w:t xml:space="preserve"> de 21 de septiembre, Decreto Foral 234/2015 de 23 de septiembre </w:t>
      </w:r>
      <w:r>
        <w:rPr>
          <w:szCs w:val="26"/>
        </w:rPr>
        <w:t>,</w:t>
      </w:r>
      <w:r w:rsidRPr="00825E09">
        <w:rPr>
          <w:szCs w:val="26"/>
        </w:rPr>
        <w:t>Decreto Foral 272/1998</w:t>
      </w:r>
      <w:r>
        <w:rPr>
          <w:szCs w:val="26"/>
        </w:rPr>
        <w:t xml:space="preserve"> y Decreto Foral 273/1998,</w:t>
      </w:r>
      <w:r w:rsidRPr="00825E09">
        <w:rPr>
          <w:szCs w:val="26"/>
        </w:rPr>
        <w:t xml:space="preserve"> de 21 de septiembre, de presupuesto y gasto público, de estructura presupuestaria, de aprobación de la Instrucción General de Contabilidad </w:t>
      </w:r>
      <w:r>
        <w:rPr>
          <w:szCs w:val="26"/>
        </w:rPr>
        <w:t>General y de Contabil</w:t>
      </w:r>
      <w:r>
        <w:rPr>
          <w:szCs w:val="26"/>
        </w:rPr>
        <w:t>i</w:t>
      </w:r>
      <w:r>
        <w:rPr>
          <w:szCs w:val="26"/>
        </w:rPr>
        <w:t xml:space="preserve">dad Simplificada </w:t>
      </w:r>
      <w:r w:rsidRPr="00825E09">
        <w:rPr>
          <w:szCs w:val="26"/>
        </w:rPr>
        <w:t>para la Administración Local de Navarra, respectivamente.</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Plan General de Contabilidad Pública adaptado a la Administración Local, aprobado por Orden Ministerial, de 17 de julio de 1990, del Ministerio de Ec</w:t>
      </w:r>
      <w:r w:rsidRPr="0090093E">
        <w:rPr>
          <w:szCs w:val="26"/>
        </w:rPr>
        <w:t>o</w:t>
      </w:r>
      <w:r w:rsidRPr="0090093E">
        <w:rPr>
          <w:szCs w:val="26"/>
        </w:rPr>
        <w:t xml:space="preserve">nomía y Hacienda. (Regla 425 DF 272/1998 Instrucción general contabilidad). </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Ley Foral 12/2006, de 21 de noviembre, del Registro de la Riqueza Terr</w:t>
      </w:r>
      <w:r w:rsidRPr="0090093E">
        <w:rPr>
          <w:szCs w:val="26"/>
        </w:rPr>
        <w:t>i</w:t>
      </w:r>
      <w:r w:rsidRPr="0090093E">
        <w:rPr>
          <w:szCs w:val="26"/>
        </w:rPr>
        <w:t xml:space="preserve">torial y de los Catastros de Navarra. </w:t>
      </w:r>
    </w:p>
    <w:p w:rsidR="00EC4F97" w:rsidRPr="007C22B5"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7C22B5">
        <w:rPr>
          <w:szCs w:val="26"/>
        </w:rPr>
        <w:t xml:space="preserve">Ley Foral 3/2016, de 1 de marzo, de medidas de ordenación e impulso del vigente Plan de Inversiones Locales. </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7C22B5">
        <w:rPr>
          <w:szCs w:val="26"/>
        </w:rPr>
        <w:t xml:space="preserve">Ley Foral 18/2016, de 13 de diciembre, reguladora del Plan de Inversiones Locales 2017-2019. </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Pr>
          <w:szCs w:val="26"/>
        </w:rPr>
        <w:t>Ley Foral 21/2016, de 21 de diciembre, por la que se establece la cuantía y reparto del Fondo de Participación de las Haciendas Locales en los Tributos de Navarra por Transferencias Corrientes para el ejercicio presupuestario de 2017.</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Pr>
          <w:szCs w:val="26"/>
        </w:rPr>
        <w:t xml:space="preserve">Orden Foral 84/2017, de la Consejera de </w:t>
      </w:r>
      <w:r w:rsidRPr="00480A6F">
        <w:rPr>
          <w:szCs w:val="26"/>
        </w:rPr>
        <w:t>Desarrollo Rural, Medio Ambie</w:t>
      </w:r>
      <w:r w:rsidRPr="00480A6F">
        <w:rPr>
          <w:szCs w:val="26"/>
        </w:rPr>
        <w:t>n</w:t>
      </w:r>
      <w:r w:rsidRPr="00480A6F">
        <w:rPr>
          <w:szCs w:val="26"/>
        </w:rPr>
        <w:t>te y Administración Local, por la que se regula la forma de aplicación de la cláusula</w:t>
      </w:r>
      <w:r>
        <w:rPr>
          <w:szCs w:val="26"/>
        </w:rPr>
        <w:t xml:space="preserve"> </w:t>
      </w:r>
      <w:r w:rsidRPr="00480A6F">
        <w:rPr>
          <w:szCs w:val="26"/>
        </w:rPr>
        <w:t>social prevista en el artículo 20 de la Ley Foral 18/2016, de 13 de d</w:t>
      </w:r>
      <w:r w:rsidRPr="00480A6F">
        <w:rPr>
          <w:szCs w:val="26"/>
        </w:rPr>
        <w:t>i</w:t>
      </w:r>
      <w:r w:rsidRPr="00480A6F">
        <w:rPr>
          <w:szCs w:val="26"/>
        </w:rPr>
        <w:t>ciembre, reguladora del Plan de Inversiones Locales 2017-2019</w:t>
      </w:r>
      <w:r>
        <w:rPr>
          <w:szCs w:val="26"/>
        </w:rPr>
        <w:t>.</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Pr>
          <w:szCs w:val="26"/>
        </w:rPr>
        <w:t>Ley Foral 16/2017, de 27 de diciembre, de modificación de diversos i</w:t>
      </w:r>
      <w:r>
        <w:rPr>
          <w:szCs w:val="26"/>
        </w:rPr>
        <w:t>m</w:t>
      </w:r>
      <w:r>
        <w:rPr>
          <w:szCs w:val="26"/>
        </w:rPr>
        <w:t>puestos otras medidas tributarias.</w:t>
      </w:r>
    </w:p>
    <w:p w:rsidR="00EC4F97" w:rsidRPr="007C22B5"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7C22B5">
        <w:rPr>
          <w:szCs w:val="26"/>
        </w:rPr>
        <w:t>Ley Foral 24/2016, de 28 de diciembre, de Presupuestos Generales de N</w:t>
      </w:r>
      <w:r w:rsidRPr="007C22B5">
        <w:rPr>
          <w:szCs w:val="26"/>
        </w:rPr>
        <w:t>a</w:t>
      </w:r>
      <w:r w:rsidRPr="007C22B5">
        <w:rPr>
          <w:szCs w:val="26"/>
        </w:rPr>
        <w:t>varra para el año 2017.</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 xml:space="preserve">Ley </w:t>
      </w:r>
      <w:r>
        <w:rPr>
          <w:szCs w:val="26"/>
        </w:rPr>
        <w:t xml:space="preserve">3/2017, de 27 de junio, </w:t>
      </w:r>
      <w:r w:rsidRPr="0090093E">
        <w:rPr>
          <w:szCs w:val="26"/>
        </w:rPr>
        <w:t>de Presupuestos Generales del Estado para el año 201</w:t>
      </w:r>
      <w:r>
        <w:rPr>
          <w:szCs w:val="26"/>
        </w:rPr>
        <w:t>7.</w:t>
      </w:r>
    </w:p>
    <w:p w:rsidR="00EC4F97" w:rsidRPr="0090093E" w:rsidRDefault="00EC4F97" w:rsidP="00EC4F97">
      <w:pPr>
        <w:pStyle w:val="texto"/>
        <w:spacing w:before="240"/>
        <w:rPr>
          <w:b/>
          <w:szCs w:val="26"/>
        </w:rPr>
      </w:pPr>
      <w:r>
        <w:rPr>
          <w:b/>
          <w:szCs w:val="26"/>
        </w:rPr>
        <w:t>c</w:t>
      </w:r>
      <w:r w:rsidRPr="0090093E">
        <w:rPr>
          <w:b/>
          <w:szCs w:val="26"/>
        </w:rPr>
        <w:t xml:space="preserve">) Estabilidad presupuestaria y sostenibilidad financiera </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 xml:space="preserve"> Ley Orgánica 2/2012, de 27 de abril, de Estabilidad Presupuestaria y So</w:t>
      </w:r>
      <w:r w:rsidRPr="0090093E">
        <w:rPr>
          <w:szCs w:val="26"/>
        </w:rPr>
        <w:t>s</w:t>
      </w:r>
      <w:r w:rsidRPr="0090093E">
        <w:rPr>
          <w:szCs w:val="26"/>
        </w:rPr>
        <w:t>tenibilidad Financiera, modificada por Ley Orgánica 4/2012, de 28 de septie</w:t>
      </w:r>
      <w:r w:rsidRPr="0090093E">
        <w:rPr>
          <w:szCs w:val="26"/>
        </w:rPr>
        <w:t>m</w:t>
      </w:r>
      <w:r w:rsidRPr="0090093E">
        <w:rPr>
          <w:szCs w:val="26"/>
        </w:rPr>
        <w:t>bre.</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Ley Orgánica 6/2015, de 12 de junio, de modificación de la Ley Orgánica 8/1980, de 22 de septiembre, de financiación de las Comunidades Autónomas y de la Ley Orgánica 2/2012, de 27 de abril, de Estabilidad Presupuestaria y So</w:t>
      </w:r>
      <w:r w:rsidRPr="0090093E">
        <w:rPr>
          <w:szCs w:val="26"/>
        </w:rPr>
        <w:t>s</w:t>
      </w:r>
      <w:r w:rsidRPr="0090093E">
        <w:rPr>
          <w:szCs w:val="26"/>
        </w:rPr>
        <w:t>tenibilidad Financiera.</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Ley Orgánica 9/2013, de 20 de diciembre, de control de la deuda comercial en el sector público.</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Ley Foral 27/2012, de 28 de diciembre, por la que se adoptan en la Com</w:t>
      </w:r>
      <w:r w:rsidRPr="0090093E">
        <w:rPr>
          <w:szCs w:val="26"/>
        </w:rPr>
        <w:t>u</w:t>
      </w:r>
      <w:r w:rsidRPr="0090093E">
        <w:rPr>
          <w:szCs w:val="26"/>
        </w:rPr>
        <w:t>nidad Foral de Navarra medidas para garantizar la estabilidad presupuestaria y de fomento de la competitividad.</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Ley 25/2013, de 27 de diciembre, de impulso de la factura electrónica y creación del registro contable de facturas en el Sector Público.</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Ley 27/2013, de 27 de diciembre, de racionalización y sostenibilidad de la Administración Loc</w:t>
      </w:r>
      <w:r>
        <w:rPr>
          <w:szCs w:val="26"/>
        </w:rPr>
        <w:t>al.</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Real Decreto-ley 8/2013, de 28 de junio, de medidas urgentes contra la morosidad de las administraciones públicas y de apoyo a entidades locales con problemas financieros.</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 xml:space="preserve"> Real Decreto-ley 17/2014, de 26 de diciembre, de medidas de sostenibil</w:t>
      </w:r>
      <w:r w:rsidRPr="0090093E">
        <w:rPr>
          <w:szCs w:val="26"/>
        </w:rPr>
        <w:t>i</w:t>
      </w:r>
      <w:r w:rsidRPr="0090093E">
        <w:rPr>
          <w:szCs w:val="26"/>
        </w:rPr>
        <w:t>dad financiera de las comunidades autónomas y entidades locales y otras de c</w:t>
      </w:r>
      <w:r w:rsidRPr="0090093E">
        <w:rPr>
          <w:szCs w:val="26"/>
        </w:rPr>
        <w:t>a</w:t>
      </w:r>
      <w:r>
        <w:rPr>
          <w:szCs w:val="26"/>
        </w:rPr>
        <w:t>rácter económico.</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Orden HAP/2105/2012, de 1 de octubre, por la que se desarrollan las obl</w:t>
      </w:r>
      <w:r w:rsidRPr="0090093E">
        <w:rPr>
          <w:szCs w:val="26"/>
        </w:rPr>
        <w:t>i</w:t>
      </w:r>
      <w:r w:rsidRPr="0090093E">
        <w:rPr>
          <w:szCs w:val="26"/>
        </w:rPr>
        <w:t>gaciones de suministro de información previstas en la Ley Orgánica 2/2012, de 27 de abril, de Estabilidad Presupuestaria y Sostenibilidad Financiera.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7C22B5">
        <w:rPr>
          <w:szCs w:val="26"/>
        </w:rPr>
        <w:t>Resolución de 16 de septiembre de 2016, de la Secretaría General del T</w:t>
      </w:r>
      <w:r w:rsidRPr="007C22B5">
        <w:rPr>
          <w:szCs w:val="26"/>
        </w:rPr>
        <w:t>e</w:t>
      </w:r>
      <w:r w:rsidRPr="007C22B5">
        <w:rPr>
          <w:szCs w:val="26"/>
        </w:rPr>
        <w:t>soro y Política Financiera, por la que se define el principio de prudencia fina</w:t>
      </w:r>
      <w:r w:rsidRPr="007C22B5">
        <w:rPr>
          <w:szCs w:val="26"/>
        </w:rPr>
        <w:t>n</w:t>
      </w:r>
      <w:r w:rsidRPr="007C22B5">
        <w:rPr>
          <w:szCs w:val="26"/>
        </w:rPr>
        <w:t>ciera aplicable a las operaciones de endeudamiento y derivados de las comun</w:t>
      </w:r>
      <w:r w:rsidRPr="007C22B5">
        <w:rPr>
          <w:szCs w:val="26"/>
        </w:rPr>
        <w:t>i</w:t>
      </w:r>
      <w:r w:rsidRPr="007C22B5">
        <w:rPr>
          <w:szCs w:val="26"/>
        </w:rPr>
        <w:t>dades autónomas y entidades locales.</w:t>
      </w:r>
    </w:p>
    <w:p w:rsidR="00EC4F97" w:rsidRPr="008B251C"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87283F">
        <w:rPr>
          <w:szCs w:val="26"/>
        </w:rPr>
        <w:t>Resolución de 4 de julio de 2017, de la Secretaría General del Tesoro y P</w:t>
      </w:r>
      <w:r w:rsidRPr="0087283F">
        <w:rPr>
          <w:szCs w:val="26"/>
        </w:rPr>
        <w:t>o</w:t>
      </w:r>
      <w:r w:rsidRPr="0087283F">
        <w:rPr>
          <w:szCs w:val="26"/>
        </w:rPr>
        <w:t>lítica Financiera, por la que se define el principio de prudencia financiera apl</w:t>
      </w:r>
      <w:r w:rsidRPr="0087283F">
        <w:rPr>
          <w:szCs w:val="26"/>
        </w:rPr>
        <w:t>i</w:t>
      </w:r>
      <w:r w:rsidRPr="0087283F">
        <w:rPr>
          <w:szCs w:val="26"/>
        </w:rPr>
        <w:t>cable a las operaciones de endeudamiento y derivados de las comunidades a</w:t>
      </w:r>
      <w:r w:rsidRPr="0087283F">
        <w:rPr>
          <w:szCs w:val="26"/>
        </w:rPr>
        <w:t>u</w:t>
      </w:r>
      <w:r w:rsidRPr="0087283F">
        <w:rPr>
          <w:szCs w:val="26"/>
        </w:rPr>
        <w:t>tónomas y entidades locales.</w:t>
      </w:r>
    </w:p>
    <w:p w:rsidR="00EC4F97" w:rsidRPr="008B251C" w:rsidRDefault="00EC4F97" w:rsidP="00EC4F97">
      <w:pPr>
        <w:pStyle w:val="texto"/>
        <w:tabs>
          <w:tab w:val="clear" w:pos="2835"/>
          <w:tab w:val="clear" w:pos="3969"/>
          <w:tab w:val="clear" w:pos="5103"/>
          <w:tab w:val="clear" w:pos="6237"/>
          <w:tab w:val="clear" w:pos="7371"/>
          <w:tab w:val="left" w:pos="480"/>
          <w:tab w:val="num" w:pos="720"/>
        </w:tabs>
        <w:ind w:left="290" w:firstLine="0"/>
        <w:rPr>
          <w:b/>
          <w:szCs w:val="26"/>
        </w:rPr>
      </w:pPr>
      <w:r w:rsidRPr="008B251C">
        <w:rPr>
          <w:b/>
          <w:szCs w:val="26"/>
        </w:rPr>
        <w:t>d) Contratación administrativa</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8B251C">
        <w:rPr>
          <w:szCs w:val="26"/>
        </w:rPr>
        <w:t>Ley Foral 6/2006, de 9 de junio, de contratos públicos, con las</w:t>
      </w:r>
      <w:r w:rsidRPr="0090093E">
        <w:rPr>
          <w:szCs w:val="26"/>
        </w:rPr>
        <w:t xml:space="preserve"> peculiarid</w:t>
      </w:r>
      <w:r w:rsidRPr="0090093E">
        <w:rPr>
          <w:szCs w:val="26"/>
        </w:rPr>
        <w:t>a</w:t>
      </w:r>
      <w:r w:rsidRPr="0090093E">
        <w:rPr>
          <w:szCs w:val="26"/>
        </w:rPr>
        <w:t>des determinadas en la Ley Foral 1/2007, de 14 de febrero.</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Ley Foral 1/2015, de 22 de enero, por la que se modifica la Ley Foral 6/2006, de 9 de junio, de Contratos Públicos, para la introducción de cláusulas sociales en los pliegos de cláusulas administrativas.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7C22B5">
        <w:rPr>
          <w:szCs w:val="26"/>
        </w:rPr>
        <w:t>Decreto Foral 3/2016, de 27 de enero, por el que se actualizan los umbrales comunitarios de la Ley Foral 6/2006, de 9 de junio, de Contratos Públicos.</w:t>
      </w:r>
    </w:p>
    <w:p w:rsidR="00EC4F97" w:rsidRPr="0090093E" w:rsidRDefault="00EC4F97" w:rsidP="00EC4F97">
      <w:pPr>
        <w:pStyle w:val="texto"/>
        <w:spacing w:before="240"/>
        <w:rPr>
          <w:b/>
          <w:szCs w:val="26"/>
        </w:rPr>
      </w:pPr>
      <w:r w:rsidRPr="0090093E">
        <w:rPr>
          <w:b/>
          <w:szCs w:val="26"/>
        </w:rPr>
        <w:t>e) Personal</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Decreto Foral Legislativo 251/1993 de 30 de agosto por el que se aprueba el Texto refundido del Estatuto de Personal al servicio de las Administraciones Públicas de Navarra, así como sus disposiciones de desarrollo.</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F86E05">
        <w:rPr>
          <w:szCs w:val="26"/>
        </w:rPr>
        <w:t>Decreto Foral 158/1984, de 4 de julio, por el que se aprueba el Reglamento Provisional de Retribuciones del Personal al servicio de las Administraciones Públicas de Navarra</w:t>
      </w:r>
      <w:r>
        <w:rPr>
          <w:szCs w:val="26"/>
        </w:rPr>
        <w:t xml:space="preserve"> (modificado por D.F.21/2017, de 29 de marzo).</w:t>
      </w:r>
    </w:p>
    <w:p w:rsidR="00EC4F97" w:rsidRPr="00F86E05"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F86E05">
        <w:rPr>
          <w:szCs w:val="26"/>
        </w:rPr>
        <w:t>Decreto Foral 215/1985, de 6 de noviembre, por el que se aprueba el R</w:t>
      </w:r>
      <w:r w:rsidRPr="00F86E05">
        <w:rPr>
          <w:szCs w:val="26"/>
        </w:rPr>
        <w:t>e</w:t>
      </w:r>
      <w:r w:rsidRPr="00F86E05">
        <w:rPr>
          <w:szCs w:val="26"/>
        </w:rPr>
        <w:t>glamento de Provisión de puestos de trabajo en las Administraciones Públicas de Navarra.</w:t>
      </w:r>
      <w:r>
        <w:rPr>
          <w:szCs w:val="26"/>
        </w:rPr>
        <w:t xml:space="preserve">(modificado por D.F. </w:t>
      </w:r>
      <w:r w:rsidRPr="00F86E05">
        <w:rPr>
          <w:szCs w:val="26"/>
        </w:rPr>
        <w:t>29/2017, de 17 de mayo</w:t>
      </w:r>
      <w:r>
        <w:rPr>
          <w:szCs w:val="26"/>
        </w:rPr>
        <w:t>).</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Ley Foral 13/2012, de 21 de junio, de medidas urgentes en materia de pe</w:t>
      </w:r>
      <w:r w:rsidRPr="0090093E">
        <w:rPr>
          <w:szCs w:val="26"/>
        </w:rPr>
        <w:t>r</w:t>
      </w:r>
      <w:r w:rsidRPr="0090093E">
        <w:rPr>
          <w:szCs w:val="26"/>
        </w:rPr>
        <w:t>sonal al servicio de las Administraciones Públicas de Navarra.</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Ley Foral 12/2015, de 10 de abril, por la que se prorrogan para el año 2015 determinadas medidas urgentes en materia de personal al servicio de las Adm</w:t>
      </w:r>
      <w:r w:rsidRPr="0090093E">
        <w:rPr>
          <w:szCs w:val="26"/>
        </w:rPr>
        <w:t>i</w:t>
      </w:r>
      <w:r w:rsidRPr="0090093E">
        <w:rPr>
          <w:szCs w:val="26"/>
        </w:rPr>
        <w:t>nistraciones Públicas de Navarra y se actualizan las pensiones de las clases p</w:t>
      </w:r>
      <w:r w:rsidRPr="0090093E">
        <w:rPr>
          <w:szCs w:val="26"/>
        </w:rPr>
        <w:t>a</w:t>
      </w:r>
      <w:r w:rsidRPr="0090093E">
        <w:rPr>
          <w:szCs w:val="26"/>
        </w:rPr>
        <w:t>sivas de sus Montepíos.</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Ley Foral 13/2015, de 10 de abril, de modificación del Texto Refundido del Estatuto del Personal al servicio de las Administraciones Públicas de Nav</w:t>
      </w:r>
      <w:r w:rsidRPr="0090093E">
        <w:rPr>
          <w:szCs w:val="26"/>
        </w:rPr>
        <w:t>a</w:t>
      </w:r>
      <w:r w:rsidRPr="0090093E">
        <w:rPr>
          <w:szCs w:val="26"/>
        </w:rPr>
        <w:t>rra, en lo relativo al acceso al empleo público de las personas con discapacidad.</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Ley Foral 15/2015, de 10 de abril, por la que se modifica la Ley Foral 8/2007, de 23 de marzo, de las Policías de Navarra.</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Ley Foral 25/2015, de 28 de diciembre, de modificación de la Ley Foral 15/2015, de 10 de abril, por la que se modifica la Ley Foral 8/2007, de 23 de marzo, de las Policías de Navarra.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Real Decreto-ley 4/2015, de 22 de marzo, para la reforma urgente del Si</w:t>
      </w:r>
      <w:r w:rsidRPr="0090093E">
        <w:rPr>
          <w:szCs w:val="26"/>
        </w:rPr>
        <w:t>s</w:t>
      </w:r>
      <w:r w:rsidRPr="0090093E">
        <w:rPr>
          <w:szCs w:val="26"/>
        </w:rPr>
        <w:t>tema de Formación Profesional para el Empleo en el ámbito laboral.</w:t>
      </w:r>
    </w:p>
    <w:p w:rsidR="00EC4F97" w:rsidRPr="0090093E" w:rsidRDefault="00EC4F97" w:rsidP="00EC4F97">
      <w:pPr>
        <w:pStyle w:val="texto"/>
        <w:spacing w:before="240"/>
        <w:rPr>
          <w:b/>
          <w:szCs w:val="26"/>
        </w:rPr>
      </w:pPr>
      <w:r w:rsidRPr="0090093E">
        <w:rPr>
          <w:b/>
          <w:szCs w:val="26"/>
        </w:rPr>
        <w:t>f) Urbanismo</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 xml:space="preserve"> </w:t>
      </w:r>
      <w:r w:rsidRPr="00443AD8">
        <w:rPr>
          <w:szCs w:val="26"/>
        </w:rPr>
        <w:t>Decreto Foral</w:t>
      </w:r>
      <w:r>
        <w:rPr>
          <w:szCs w:val="26"/>
        </w:rPr>
        <w:t xml:space="preserve"> Legislativo 1/2017 de 26 de julio, por el que se aprueba el Texto Refundido de la Ley Foral de Ordenación del Territorio y Urbanismo.</w:t>
      </w:r>
    </w:p>
    <w:p w:rsidR="00EC4F97" w:rsidRPr="0090093E" w:rsidRDefault="00EC4F97" w:rsidP="00EC4F97">
      <w:pPr>
        <w:pStyle w:val="texto"/>
        <w:spacing w:before="240"/>
        <w:rPr>
          <w:b/>
          <w:szCs w:val="26"/>
        </w:rPr>
      </w:pPr>
      <w:r w:rsidRPr="0090093E">
        <w:rPr>
          <w:b/>
          <w:szCs w:val="26"/>
        </w:rPr>
        <w:t>g) Subvenciones</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Ley 38/2003, de 17 de noviembre, General de subvenciones y su reglame</w:t>
      </w:r>
      <w:r w:rsidRPr="0090093E">
        <w:rPr>
          <w:szCs w:val="26"/>
        </w:rPr>
        <w:t>n</w:t>
      </w:r>
      <w:r w:rsidRPr="0090093E">
        <w:rPr>
          <w:szCs w:val="26"/>
        </w:rPr>
        <w:t>to de desarrollo aprobado por Real Decreto 887/2006 de 21 de julio.</w:t>
      </w:r>
    </w:p>
    <w:p w:rsidR="00EC4F97" w:rsidRPr="0090093E" w:rsidRDefault="00EC4F97" w:rsidP="00EC4F97">
      <w:pPr>
        <w:pStyle w:val="texto"/>
        <w:rPr>
          <w:b/>
          <w:szCs w:val="26"/>
        </w:rPr>
      </w:pPr>
      <w:r w:rsidRPr="0090093E">
        <w:rPr>
          <w:b/>
          <w:szCs w:val="26"/>
        </w:rPr>
        <w:t xml:space="preserve"> h) Normativa interna de las entidades locales </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 xml:space="preserve">Bases de ejecución de los presupuestos de las entidades locales para </w:t>
      </w:r>
      <w:r>
        <w:rPr>
          <w:szCs w:val="26"/>
        </w:rPr>
        <w:t>2017.</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Ordenanzas y acuerdos reguladores de las tasas y precios públicos.</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rsidRPr="0090093E">
        <w:rPr>
          <w:szCs w:val="26"/>
        </w:rPr>
        <w:t>Convenios colectivos específicos</w:t>
      </w:r>
      <w:r>
        <w:rPr>
          <w:szCs w:val="26"/>
        </w:rPr>
        <w:t>.</w:t>
      </w:r>
    </w:p>
    <w:p w:rsidR="00EC4F97" w:rsidRDefault="00EC4F97" w:rsidP="00EC4F97">
      <w:pPr>
        <w:pStyle w:val="texto"/>
        <w:rPr>
          <w:szCs w:val="26"/>
        </w:rPr>
      </w:pPr>
    </w:p>
    <w:p w:rsidR="00EC4F97" w:rsidRDefault="00EC4F97" w:rsidP="00EC4F97">
      <w:pPr>
        <w:spacing w:before="360" w:after="180"/>
        <w:ind w:firstLine="0"/>
        <w:jc w:val="left"/>
        <w:rPr>
          <w:b/>
          <w:bCs/>
          <w:sz w:val="24"/>
          <w:szCs w:val="24"/>
          <w:lang w:val="es-ES" w:eastAsia="es-ES"/>
        </w:rPr>
      </w:pPr>
    </w:p>
    <w:p w:rsidR="00EC4F97" w:rsidRDefault="00EC4F97" w:rsidP="00EC4F97">
      <w:pPr>
        <w:spacing w:before="360" w:after="180"/>
        <w:ind w:firstLine="0"/>
        <w:jc w:val="left"/>
        <w:rPr>
          <w:b/>
          <w:bCs/>
          <w:sz w:val="24"/>
          <w:szCs w:val="24"/>
          <w:lang w:val="es-ES" w:eastAsia="es-ES"/>
        </w:rPr>
      </w:pPr>
    </w:p>
    <w:p w:rsidR="00EC4F97" w:rsidRDefault="00EC4F97" w:rsidP="00EC4F97">
      <w:pPr>
        <w:spacing w:before="360" w:after="180"/>
        <w:ind w:firstLine="0"/>
        <w:jc w:val="left"/>
        <w:rPr>
          <w:b/>
          <w:bCs/>
          <w:sz w:val="24"/>
          <w:szCs w:val="24"/>
          <w:lang w:val="es-ES" w:eastAsia="es-ES"/>
        </w:rPr>
      </w:pPr>
    </w:p>
    <w:p w:rsidR="00EC4F97" w:rsidRDefault="00EC4F97" w:rsidP="00EC4F97">
      <w:pPr>
        <w:spacing w:before="360" w:after="180"/>
        <w:ind w:firstLine="0"/>
        <w:jc w:val="left"/>
        <w:rPr>
          <w:b/>
          <w:bCs/>
          <w:sz w:val="24"/>
          <w:szCs w:val="24"/>
          <w:lang w:val="es-ES" w:eastAsia="es-ES"/>
        </w:rPr>
      </w:pPr>
    </w:p>
    <w:p w:rsidR="00EC4F97" w:rsidRDefault="00EC4F97" w:rsidP="00EC4F97">
      <w:pPr>
        <w:spacing w:before="360" w:after="180"/>
        <w:ind w:firstLine="0"/>
        <w:jc w:val="left"/>
        <w:rPr>
          <w:b/>
          <w:bCs/>
          <w:sz w:val="24"/>
          <w:szCs w:val="24"/>
          <w:lang w:val="es-ES" w:eastAsia="es-ES"/>
        </w:rPr>
      </w:pPr>
    </w:p>
    <w:p w:rsidR="00EC4F97" w:rsidRDefault="00EC4F97" w:rsidP="00EC4F97">
      <w:pPr>
        <w:spacing w:before="360" w:after="180"/>
        <w:ind w:firstLine="0"/>
        <w:jc w:val="left"/>
        <w:rPr>
          <w:b/>
          <w:bCs/>
          <w:sz w:val="24"/>
          <w:szCs w:val="24"/>
          <w:lang w:val="es-ES" w:eastAsia="es-ES"/>
        </w:rPr>
      </w:pPr>
    </w:p>
    <w:p w:rsidR="00EC4F97" w:rsidRDefault="00EC4F97" w:rsidP="00EC4F97">
      <w:pPr>
        <w:spacing w:before="360" w:after="180"/>
        <w:ind w:firstLine="0"/>
        <w:jc w:val="left"/>
        <w:rPr>
          <w:b/>
          <w:bCs/>
          <w:sz w:val="24"/>
          <w:szCs w:val="24"/>
          <w:lang w:val="es-ES" w:eastAsia="es-ES"/>
        </w:rPr>
      </w:pPr>
    </w:p>
    <w:p w:rsidR="00EC4F97" w:rsidRDefault="00EC4F97" w:rsidP="00EC4F97">
      <w:pPr>
        <w:spacing w:before="360" w:after="180"/>
        <w:ind w:firstLine="0"/>
        <w:jc w:val="left"/>
        <w:rPr>
          <w:b/>
          <w:bCs/>
          <w:sz w:val="24"/>
          <w:szCs w:val="24"/>
          <w:lang w:val="es-ES" w:eastAsia="es-ES"/>
        </w:rPr>
      </w:pPr>
    </w:p>
    <w:p w:rsidR="00EC4F97" w:rsidRPr="00B15970" w:rsidRDefault="00EC4F97" w:rsidP="00EC4F97">
      <w:pPr>
        <w:spacing w:before="360" w:after="180"/>
        <w:ind w:firstLine="0"/>
        <w:jc w:val="left"/>
        <w:rPr>
          <w:b/>
          <w:bCs/>
          <w:sz w:val="24"/>
          <w:szCs w:val="24"/>
          <w:lang w:val="es-ES" w:eastAsia="es-ES"/>
        </w:rPr>
      </w:pPr>
      <w:bookmarkStart w:id="77" w:name="_Toc402257034"/>
      <w:bookmarkStart w:id="78" w:name="_Toc465686694"/>
      <w:bookmarkStart w:id="79" w:name="_Toc529773891"/>
    </w:p>
    <w:p w:rsidR="00EC4F97" w:rsidRPr="00310593" w:rsidRDefault="00EC4F97" w:rsidP="00EC4F97">
      <w:pPr>
        <w:pStyle w:val="atitulo1"/>
        <w:ind w:left="426"/>
        <w:rPr>
          <w:spacing w:val="6"/>
          <w:w w:val="103"/>
          <w:sz w:val="32"/>
          <w:szCs w:val="32"/>
        </w:rPr>
      </w:pPr>
      <w:bookmarkStart w:id="80" w:name="_Toc24100151"/>
      <w:bookmarkStart w:id="81" w:name="_Toc24451749"/>
      <w:r w:rsidRPr="00310593">
        <w:rPr>
          <w:sz w:val="32"/>
          <w:szCs w:val="32"/>
        </w:rPr>
        <w:t>Anexo</w:t>
      </w:r>
      <w:bookmarkEnd w:id="77"/>
      <w:r>
        <w:rPr>
          <w:sz w:val="32"/>
          <w:szCs w:val="32"/>
        </w:rPr>
        <w:t xml:space="preserve"> 2. S</w:t>
      </w:r>
      <w:r w:rsidRPr="00310593">
        <w:rPr>
          <w:sz w:val="32"/>
          <w:szCs w:val="32"/>
        </w:rPr>
        <w:t>ituación financiera del sector público local de Navarra, año 201</w:t>
      </w:r>
      <w:bookmarkEnd w:id="78"/>
      <w:bookmarkEnd w:id="79"/>
      <w:r>
        <w:rPr>
          <w:sz w:val="32"/>
          <w:szCs w:val="32"/>
        </w:rPr>
        <w:t>7</w:t>
      </w:r>
      <w:bookmarkEnd w:id="80"/>
      <w:bookmarkEnd w:id="81"/>
      <w:r>
        <w:rPr>
          <w:sz w:val="32"/>
          <w:szCs w:val="32"/>
        </w:rPr>
        <w:t xml:space="preserve"> </w:t>
      </w:r>
    </w:p>
    <w:p w:rsidR="00564F2D" w:rsidRPr="004B2F01" w:rsidRDefault="00564F2D" w:rsidP="00EC4F97">
      <w:pPr>
        <w:keepNext/>
        <w:spacing w:after="240"/>
        <w:ind w:firstLine="0"/>
      </w:pPr>
    </w:p>
    <w:sectPr w:rsidR="00564F2D" w:rsidRPr="004B2F01" w:rsidSect="005A1124">
      <w:footerReference w:type="default" r:id="rId17"/>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920" w:rsidRDefault="009A0920">
      <w:r>
        <w:separator/>
      </w:r>
    </w:p>
    <w:p w:rsidR="009A0920" w:rsidRDefault="009A0920"/>
    <w:p w:rsidR="009A0920" w:rsidRDefault="009A0920"/>
    <w:p w:rsidR="009A0920" w:rsidRDefault="009A0920"/>
  </w:endnote>
  <w:endnote w:type="continuationSeparator" w:id="0">
    <w:p w:rsidR="009A0920" w:rsidRDefault="009A0920">
      <w:r>
        <w:continuationSeparator/>
      </w:r>
    </w:p>
    <w:p w:rsidR="009A0920" w:rsidRDefault="009A0920"/>
    <w:p w:rsidR="009A0920" w:rsidRDefault="009A0920"/>
    <w:p w:rsidR="009A0920" w:rsidRDefault="009A0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jan">
    <w:altName w:val="Courier New"/>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illSans Light">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D9" w:rsidRDefault="00422AD9"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22AD9" w:rsidRDefault="00422AD9"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D9" w:rsidRPr="00F03814" w:rsidRDefault="00422AD9"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2CBBE79E" wp14:editId="3FB15F0E">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D9" w:rsidRDefault="00422AD9"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D9" w:rsidRPr="00F03814" w:rsidRDefault="00422AD9" w:rsidP="00422AD9">
    <w:pPr>
      <w:pStyle w:val="Piedepgina"/>
      <w:tabs>
        <w:tab w:val="clear" w:pos="2835"/>
        <w:tab w:val="clear" w:pos="3969"/>
        <w:tab w:val="clear" w:pos="4252"/>
        <w:tab w:val="clear" w:pos="5103"/>
        <w:tab w:val="clear" w:pos="6237"/>
        <w:tab w:val="clear" w:pos="7371"/>
        <w:tab w:val="clear" w:pos="8504"/>
        <w:tab w:val="center" w:pos="4395"/>
      </w:tabs>
      <w:spacing w:after="0"/>
      <w:ind w:right="29"/>
      <w:jc w:val="left"/>
      <w:rPr>
        <w:rFonts w:ascii="Trajan" w:hAnsi="Trajan"/>
        <w:sz w:val="24"/>
        <w:szCs w:val="24"/>
      </w:rPr>
    </w:pPr>
    <w:r>
      <w:rPr>
        <w:rFonts w:ascii="GillSans" w:hAnsi="GillSans"/>
        <w:noProof/>
        <w:lang w:val="es-ES" w:eastAsia="es-ES"/>
      </w:rPr>
      <w:drawing>
        <wp:inline distT="0" distB="0" distL="0" distR="0" wp14:anchorId="67FE909E" wp14:editId="2BFEFEE0">
          <wp:extent cx="213100" cy="3714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CB1A83">
      <w:rPr>
        <w:rStyle w:val="Nmerodepgina"/>
        <w:noProof/>
        <w:szCs w:val="24"/>
      </w:rPr>
      <w:t>6</w:t>
    </w:r>
    <w:r w:rsidRPr="001D4F09">
      <w:rPr>
        <w:rStyle w:val="Nmerodepgina"/>
        <w:szCs w:val="24"/>
      </w:rPr>
      <w:fldChar w:fldCharType="end"/>
    </w:r>
    <w:r w:rsidRPr="001D4F09">
      <w:rPr>
        <w:rStyle w:val="Nmerodepgina"/>
        <w:szCs w:val="24"/>
      </w:rPr>
      <w:t xml:space="preserve"> -</w:t>
    </w:r>
  </w:p>
  <w:p w:rsidR="00422AD9" w:rsidRDefault="00422AD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D9" w:rsidRPr="00F03814" w:rsidRDefault="00422AD9" w:rsidP="005A1124">
    <w:pPr>
      <w:pStyle w:val="Piedepgina"/>
      <w:tabs>
        <w:tab w:val="clear" w:pos="2835"/>
        <w:tab w:val="clear" w:pos="3969"/>
        <w:tab w:val="clear" w:pos="4252"/>
        <w:tab w:val="clear" w:pos="5103"/>
        <w:tab w:val="clear" w:pos="6237"/>
        <w:tab w:val="clear" w:pos="7371"/>
        <w:tab w:val="clear" w:pos="8504"/>
        <w:tab w:val="center" w:pos="6521"/>
      </w:tabs>
      <w:spacing w:after="0"/>
      <w:ind w:right="29"/>
      <w:jc w:val="left"/>
      <w:rPr>
        <w:rFonts w:ascii="Trajan" w:hAnsi="Trajan"/>
        <w:sz w:val="24"/>
        <w:szCs w:val="24"/>
      </w:rPr>
    </w:pPr>
    <w:r>
      <w:rPr>
        <w:rFonts w:ascii="GillSans" w:hAnsi="GillSans"/>
        <w:noProof/>
        <w:lang w:val="es-ES" w:eastAsia="es-ES"/>
      </w:rPr>
      <w:drawing>
        <wp:inline distT="0" distB="0" distL="0" distR="0" wp14:anchorId="37ACDD51" wp14:editId="7DB33EFE">
          <wp:extent cx="213100" cy="3714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CB1A83">
      <w:rPr>
        <w:rStyle w:val="Nmerodepgina"/>
        <w:noProof/>
        <w:szCs w:val="24"/>
      </w:rPr>
      <w:t>25</w:t>
    </w:r>
    <w:r w:rsidRPr="001D4F09">
      <w:rPr>
        <w:rStyle w:val="Nmerodepgina"/>
        <w:szCs w:val="24"/>
      </w:rPr>
      <w:fldChar w:fldCharType="end"/>
    </w:r>
    <w:r w:rsidRPr="001D4F09">
      <w:rPr>
        <w:rStyle w:val="Nmerodepgina"/>
        <w:szCs w:val="24"/>
      </w:rPr>
      <w:t xml:space="preserve"> -</w:t>
    </w:r>
  </w:p>
  <w:p w:rsidR="00422AD9" w:rsidRDefault="00422AD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D9" w:rsidRPr="00F03814" w:rsidRDefault="00422AD9" w:rsidP="005A1124">
    <w:pPr>
      <w:pStyle w:val="Piedepgina"/>
      <w:tabs>
        <w:tab w:val="clear" w:pos="2835"/>
        <w:tab w:val="clear" w:pos="3969"/>
        <w:tab w:val="clear" w:pos="4252"/>
        <w:tab w:val="clear" w:pos="5103"/>
        <w:tab w:val="clear" w:pos="6237"/>
        <w:tab w:val="clear" w:pos="7371"/>
        <w:tab w:val="clear" w:pos="8504"/>
        <w:tab w:val="center" w:pos="4395"/>
      </w:tabs>
      <w:spacing w:after="0"/>
      <w:ind w:right="29"/>
      <w:jc w:val="left"/>
      <w:rPr>
        <w:rFonts w:ascii="Trajan" w:hAnsi="Trajan"/>
        <w:sz w:val="24"/>
        <w:szCs w:val="24"/>
      </w:rPr>
    </w:pPr>
    <w:r>
      <w:rPr>
        <w:rFonts w:ascii="GillSans" w:hAnsi="GillSans"/>
        <w:noProof/>
        <w:lang w:val="es-ES" w:eastAsia="es-ES"/>
      </w:rPr>
      <w:drawing>
        <wp:inline distT="0" distB="0" distL="0" distR="0" wp14:anchorId="6DE4B19E" wp14:editId="797EE04C">
          <wp:extent cx="213100" cy="37147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CB1A83">
      <w:rPr>
        <w:rStyle w:val="Nmerodepgina"/>
        <w:noProof/>
        <w:szCs w:val="24"/>
      </w:rPr>
      <w:t>36</w:t>
    </w:r>
    <w:r w:rsidRPr="001D4F09">
      <w:rPr>
        <w:rStyle w:val="Nmerodepgina"/>
        <w:szCs w:val="24"/>
      </w:rPr>
      <w:fldChar w:fldCharType="end"/>
    </w:r>
    <w:r w:rsidRPr="001D4F09">
      <w:rPr>
        <w:rStyle w:val="Nmerodepgina"/>
        <w:szCs w:val="24"/>
      </w:rPr>
      <w:t xml:space="preserve"> -</w:t>
    </w:r>
  </w:p>
  <w:p w:rsidR="00422AD9" w:rsidRDefault="00422A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920" w:rsidRDefault="009A0920">
      <w:r>
        <w:separator/>
      </w:r>
    </w:p>
    <w:p w:rsidR="009A0920" w:rsidRDefault="009A0920"/>
    <w:p w:rsidR="009A0920" w:rsidRDefault="009A0920"/>
    <w:p w:rsidR="009A0920" w:rsidRDefault="009A0920"/>
  </w:footnote>
  <w:footnote w:type="continuationSeparator" w:id="0">
    <w:p w:rsidR="009A0920" w:rsidRDefault="009A0920">
      <w:r>
        <w:continuationSeparator/>
      </w:r>
    </w:p>
    <w:p w:rsidR="009A0920" w:rsidRDefault="009A0920"/>
    <w:p w:rsidR="009A0920" w:rsidRDefault="009A0920"/>
    <w:p w:rsidR="009A0920" w:rsidRDefault="009A0920"/>
  </w:footnote>
  <w:footnote w:id="1">
    <w:p w:rsidR="00422AD9" w:rsidRDefault="00422AD9" w:rsidP="00EC4F97">
      <w:pPr>
        <w:pStyle w:val="Textonotapie"/>
      </w:pPr>
      <w:r>
        <w:rPr>
          <w:rStyle w:val="Refdenotaalpie"/>
        </w:rPr>
        <w:footnoteRef/>
      </w:r>
      <w:r>
        <w:t xml:space="preserve"> Denominación del Departamento a partir de Julio de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D9" w:rsidRDefault="00422AD9"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797146D8" wp14:editId="09B7CC86">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422AD9" w:rsidRPr="0059650E" w:rsidRDefault="00422AD9" w:rsidP="00991627">
    <w:pPr>
      <w:pStyle w:val="Encabezado"/>
      <w:pBdr>
        <w:bottom w:val="single" w:sz="4" w:space="1" w:color="auto"/>
      </w:pBdr>
      <w:ind w:firstLine="0"/>
      <w:rPr>
        <w:lang w:val="es-ES"/>
      </w:rPr>
    </w:pPr>
    <w:r>
      <w:rPr>
        <w:lang w:val="es-ES"/>
      </w:rPr>
      <w:t>INFORME DE FISCALIZACIÓN SOBRE EL sector público local de navarra, ejercicio de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D9" w:rsidRDefault="00422AD9" w:rsidP="006A2D41">
    <w:pPr>
      <w:pStyle w:val="Encabezado"/>
      <w:ind w:firstLine="0"/>
      <w:jc w:val="left"/>
    </w:pPr>
    <w:r>
      <w:rPr>
        <w:noProof/>
        <w:lang w:val="es-ES" w:eastAsia="es-ES"/>
      </w:rPr>
      <w:drawing>
        <wp:inline distT="0" distB="0" distL="0" distR="0" wp14:anchorId="77F6A77A" wp14:editId="4C83DD91">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D9" w:rsidRDefault="00422AD9"/>
  <w:p w:rsidR="00422AD9" w:rsidRDefault="00422AD9"/>
  <w:p w:rsidR="00422AD9" w:rsidRDefault="00422AD9"/>
  <w:p w:rsidR="00422AD9" w:rsidRDefault="00422A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16EC02D5"/>
    <w:multiLevelType w:val="hybridMultilevel"/>
    <w:tmpl w:val="9886E87C"/>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17944E2C"/>
    <w:multiLevelType w:val="hybridMultilevel"/>
    <w:tmpl w:val="9FB2046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20662CA4"/>
    <w:multiLevelType w:val="hybridMultilevel"/>
    <w:tmpl w:val="9C7CEFA8"/>
    <w:lvl w:ilvl="0" w:tplc="88BAC694">
      <w:start w:val="2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6216B87"/>
    <w:multiLevelType w:val="hybridMultilevel"/>
    <w:tmpl w:val="E9ECC3E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309863DD"/>
    <w:multiLevelType w:val="hybridMultilevel"/>
    <w:tmpl w:val="D3F60BDA"/>
    <w:lvl w:ilvl="0" w:tplc="F50A19D2">
      <w:start w:val="46"/>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1431332"/>
    <w:multiLevelType w:val="hybridMultilevel"/>
    <w:tmpl w:val="53045440"/>
    <w:lvl w:ilvl="0" w:tplc="E8B861A2">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3A1164C7"/>
    <w:multiLevelType w:val="hybridMultilevel"/>
    <w:tmpl w:val="F0965294"/>
    <w:lvl w:ilvl="0" w:tplc="0C0A0017">
      <w:start w:val="1"/>
      <w:numFmt w:val="lowerLetter"/>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8">
    <w:nsid w:val="3DF06E15"/>
    <w:multiLevelType w:val="hybridMultilevel"/>
    <w:tmpl w:val="6316A2F2"/>
    <w:lvl w:ilvl="0" w:tplc="5A7EF408">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443A2E7B"/>
    <w:multiLevelType w:val="hybridMultilevel"/>
    <w:tmpl w:val="C0AC0F22"/>
    <w:lvl w:ilvl="0" w:tplc="AB8494E0">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480079F6"/>
    <w:multiLevelType w:val="hybridMultilevel"/>
    <w:tmpl w:val="5B44B5D0"/>
    <w:lvl w:ilvl="0" w:tplc="FFFFFFFF">
      <w:start w:val="1"/>
      <w:numFmt w:val="decimal"/>
      <w:lvlText w:val="(%1)"/>
      <w:lvlJc w:val="left"/>
      <w:pPr>
        <w:tabs>
          <w:tab w:val="num" w:pos="885"/>
        </w:tabs>
        <w:ind w:left="885" w:hanging="52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4FEC520A"/>
    <w:multiLevelType w:val="hybridMultilevel"/>
    <w:tmpl w:val="0F1ABE42"/>
    <w:lvl w:ilvl="0" w:tplc="0C0A0019">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13">
    <w:nsid w:val="5C46281B"/>
    <w:multiLevelType w:val="hybridMultilevel"/>
    <w:tmpl w:val="9E1AFB4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15">
    <w:nsid w:val="6AC132E2"/>
    <w:multiLevelType w:val="hybridMultilevel"/>
    <w:tmpl w:val="976EF910"/>
    <w:lvl w:ilvl="0" w:tplc="04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6B6E28F5"/>
    <w:multiLevelType w:val="hybridMultilevel"/>
    <w:tmpl w:val="02640322"/>
    <w:lvl w:ilvl="0" w:tplc="0C0A0017">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17">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74E65DF5"/>
    <w:multiLevelType w:val="hybridMultilevel"/>
    <w:tmpl w:val="B204B4E8"/>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1364" w:hanging="360"/>
      </w:pPr>
      <w:rPr>
        <w:rFonts w:ascii="Courier New" w:hAnsi="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nsid w:val="790D47F0"/>
    <w:multiLevelType w:val="hybridMultilevel"/>
    <w:tmpl w:val="B1E4F76A"/>
    <w:lvl w:ilvl="0" w:tplc="0C0A0011">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0">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20"/>
  </w:num>
  <w:num w:numId="2">
    <w:abstractNumId w:val="14"/>
  </w:num>
  <w:num w:numId="3">
    <w:abstractNumId w:val="0"/>
  </w:num>
  <w:num w:numId="4">
    <w:abstractNumId w:val="10"/>
  </w:num>
  <w:num w:numId="5">
    <w:abstractNumId w:val="17"/>
  </w:num>
  <w:num w:numId="6">
    <w:abstractNumId w:val="0"/>
  </w:num>
  <w:num w:numId="7">
    <w:abstractNumId w:val="0"/>
  </w:num>
  <w:num w:numId="8">
    <w:abstractNumId w:val="0"/>
  </w:num>
  <w:num w:numId="9">
    <w:abstractNumId w:val="8"/>
  </w:num>
  <w:num w:numId="10">
    <w:abstractNumId w:val="2"/>
  </w:num>
  <w:num w:numId="11">
    <w:abstractNumId w:val="18"/>
  </w:num>
  <w:num w:numId="12">
    <w:abstractNumId w:val="7"/>
  </w:num>
  <w:num w:numId="13">
    <w:abstractNumId w:val="1"/>
  </w:num>
  <w:num w:numId="14">
    <w:abstractNumId w:val="6"/>
  </w:num>
  <w:num w:numId="15">
    <w:abstractNumId w:val="19"/>
  </w:num>
  <w:num w:numId="16">
    <w:abstractNumId w:val="5"/>
  </w:num>
  <w:num w:numId="17">
    <w:abstractNumId w:val="9"/>
  </w:num>
  <w:num w:numId="18">
    <w:abstractNumId w:val="15"/>
  </w:num>
  <w:num w:numId="19">
    <w:abstractNumId w:val="11"/>
  </w:num>
  <w:num w:numId="20">
    <w:abstractNumId w:val="13"/>
  </w:num>
  <w:num w:numId="21">
    <w:abstractNumId w:val="4"/>
  </w:num>
  <w:num w:numId="22">
    <w:abstractNumId w:val="12"/>
  </w:num>
  <w:num w:numId="23">
    <w:abstractNumId w:val="1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F97"/>
    <w:rsid w:val="000019D8"/>
    <w:rsid w:val="00006736"/>
    <w:rsid w:val="00006A97"/>
    <w:rsid w:val="0001123B"/>
    <w:rsid w:val="00012A7F"/>
    <w:rsid w:val="00017A3A"/>
    <w:rsid w:val="00036E42"/>
    <w:rsid w:val="0004373B"/>
    <w:rsid w:val="000448FA"/>
    <w:rsid w:val="00053A42"/>
    <w:rsid w:val="0005517D"/>
    <w:rsid w:val="0006133D"/>
    <w:rsid w:val="00063585"/>
    <w:rsid w:val="00071CD0"/>
    <w:rsid w:val="00075692"/>
    <w:rsid w:val="00087B8D"/>
    <w:rsid w:val="00091A43"/>
    <w:rsid w:val="00093D67"/>
    <w:rsid w:val="00093E60"/>
    <w:rsid w:val="000A18B7"/>
    <w:rsid w:val="000A2C1E"/>
    <w:rsid w:val="000A4697"/>
    <w:rsid w:val="000B2728"/>
    <w:rsid w:val="000B3943"/>
    <w:rsid w:val="000B4477"/>
    <w:rsid w:val="000C0704"/>
    <w:rsid w:val="000C2B07"/>
    <w:rsid w:val="000C39CC"/>
    <w:rsid w:val="000C7566"/>
    <w:rsid w:val="000D188E"/>
    <w:rsid w:val="000D5335"/>
    <w:rsid w:val="000E7B86"/>
    <w:rsid w:val="000F2B66"/>
    <w:rsid w:val="000F3D83"/>
    <w:rsid w:val="00100F12"/>
    <w:rsid w:val="00103589"/>
    <w:rsid w:val="001045C9"/>
    <w:rsid w:val="00107CC1"/>
    <w:rsid w:val="00111A92"/>
    <w:rsid w:val="001145C3"/>
    <w:rsid w:val="001161D2"/>
    <w:rsid w:val="00131DF1"/>
    <w:rsid w:val="00132C38"/>
    <w:rsid w:val="00133984"/>
    <w:rsid w:val="001365C4"/>
    <w:rsid w:val="0014147D"/>
    <w:rsid w:val="00141D29"/>
    <w:rsid w:val="0014506A"/>
    <w:rsid w:val="0014728F"/>
    <w:rsid w:val="001521A2"/>
    <w:rsid w:val="00152358"/>
    <w:rsid w:val="00155BFF"/>
    <w:rsid w:val="00160F66"/>
    <w:rsid w:val="001633AF"/>
    <w:rsid w:val="00166A6C"/>
    <w:rsid w:val="00173EDD"/>
    <w:rsid w:val="0017402B"/>
    <w:rsid w:val="00181D37"/>
    <w:rsid w:val="001835B7"/>
    <w:rsid w:val="0018426B"/>
    <w:rsid w:val="00185A37"/>
    <w:rsid w:val="00194309"/>
    <w:rsid w:val="0019660E"/>
    <w:rsid w:val="001B39E2"/>
    <w:rsid w:val="001C2B26"/>
    <w:rsid w:val="001C3A32"/>
    <w:rsid w:val="001D4F09"/>
    <w:rsid w:val="001F1482"/>
    <w:rsid w:val="001F20D7"/>
    <w:rsid w:val="001F7744"/>
    <w:rsid w:val="002014EB"/>
    <w:rsid w:val="00202B1A"/>
    <w:rsid w:val="00204979"/>
    <w:rsid w:val="00211D69"/>
    <w:rsid w:val="00214F3F"/>
    <w:rsid w:val="002179DB"/>
    <w:rsid w:val="0022600B"/>
    <w:rsid w:val="00227E48"/>
    <w:rsid w:val="00230577"/>
    <w:rsid w:val="0023159D"/>
    <w:rsid w:val="0023209D"/>
    <w:rsid w:val="002333F8"/>
    <w:rsid w:val="00233D79"/>
    <w:rsid w:val="00237657"/>
    <w:rsid w:val="00242BA7"/>
    <w:rsid w:val="002437B5"/>
    <w:rsid w:val="00244EF1"/>
    <w:rsid w:val="00246F21"/>
    <w:rsid w:val="00253E78"/>
    <w:rsid w:val="00262C3C"/>
    <w:rsid w:val="00264C88"/>
    <w:rsid w:val="0026532C"/>
    <w:rsid w:val="0026575D"/>
    <w:rsid w:val="002705B0"/>
    <w:rsid w:val="002717A6"/>
    <w:rsid w:val="00272015"/>
    <w:rsid w:val="00273C10"/>
    <w:rsid w:val="00274B4C"/>
    <w:rsid w:val="00276264"/>
    <w:rsid w:val="00281DCA"/>
    <w:rsid w:val="00297B04"/>
    <w:rsid w:val="002A056C"/>
    <w:rsid w:val="002A66A5"/>
    <w:rsid w:val="002A6EBB"/>
    <w:rsid w:val="002B21E9"/>
    <w:rsid w:val="002B2B87"/>
    <w:rsid w:val="002B4E0F"/>
    <w:rsid w:val="002B5754"/>
    <w:rsid w:val="002C7026"/>
    <w:rsid w:val="002C7E08"/>
    <w:rsid w:val="002D089F"/>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57E2"/>
    <w:rsid w:val="00307057"/>
    <w:rsid w:val="00312819"/>
    <w:rsid w:val="00312E9C"/>
    <w:rsid w:val="00313875"/>
    <w:rsid w:val="003203BF"/>
    <w:rsid w:val="00321369"/>
    <w:rsid w:val="00330787"/>
    <w:rsid w:val="00337493"/>
    <w:rsid w:val="0034285F"/>
    <w:rsid w:val="003464A4"/>
    <w:rsid w:val="00351684"/>
    <w:rsid w:val="00354458"/>
    <w:rsid w:val="00363653"/>
    <w:rsid w:val="0036509D"/>
    <w:rsid w:val="0037228C"/>
    <w:rsid w:val="003738FD"/>
    <w:rsid w:val="003810BE"/>
    <w:rsid w:val="00386F6C"/>
    <w:rsid w:val="00387709"/>
    <w:rsid w:val="00387794"/>
    <w:rsid w:val="00397162"/>
    <w:rsid w:val="003A189D"/>
    <w:rsid w:val="003A335E"/>
    <w:rsid w:val="003A3DD2"/>
    <w:rsid w:val="003B3573"/>
    <w:rsid w:val="003B5813"/>
    <w:rsid w:val="003C03EA"/>
    <w:rsid w:val="003C196B"/>
    <w:rsid w:val="003C6E1D"/>
    <w:rsid w:val="003D058C"/>
    <w:rsid w:val="003D76B1"/>
    <w:rsid w:val="003E17A6"/>
    <w:rsid w:val="003E4AA5"/>
    <w:rsid w:val="003F1CEC"/>
    <w:rsid w:val="003F43BF"/>
    <w:rsid w:val="003F6BE4"/>
    <w:rsid w:val="00403CF8"/>
    <w:rsid w:val="00407459"/>
    <w:rsid w:val="00414D01"/>
    <w:rsid w:val="004170FE"/>
    <w:rsid w:val="004209E6"/>
    <w:rsid w:val="00422AD9"/>
    <w:rsid w:val="0042324B"/>
    <w:rsid w:val="004234E8"/>
    <w:rsid w:val="00426805"/>
    <w:rsid w:val="00430150"/>
    <w:rsid w:val="004302F9"/>
    <w:rsid w:val="0043229B"/>
    <w:rsid w:val="00435287"/>
    <w:rsid w:val="00440A22"/>
    <w:rsid w:val="0045550E"/>
    <w:rsid w:val="00456456"/>
    <w:rsid w:val="00462367"/>
    <w:rsid w:val="0046490C"/>
    <w:rsid w:val="00470287"/>
    <w:rsid w:val="00470733"/>
    <w:rsid w:val="00477C53"/>
    <w:rsid w:val="00485380"/>
    <w:rsid w:val="00493D87"/>
    <w:rsid w:val="004950D4"/>
    <w:rsid w:val="004A0506"/>
    <w:rsid w:val="004A2342"/>
    <w:rsid w:val="004A2F62"/>
    <w:rsid w:val="004B1DB8"/>
    <w:rsid w:val="004B2F01"/>
    <w:rsid w:val="004B4182"/>
    <w:rsid w:val="004B4538"/>
    <w:rsid w:val="004B6FB6"/>
    <w:rsid w:val="004C3423"/>
    <w:rsid w:val="004C571D"/>
    <w:rsid w:val="004D35A2"/>
    <w:rsid w:val="004D5FD1"/>
    <w:rsid w:val="004F7C93"/>
    <w:rsid w:val="00506105"/>
    <w:rsid w:val="00513162"/>
    <w:rsid w:val="00525809"/>
    <w:rsid w:val="00535130"/>
    <w:rsid w:val="00537302"/>
    <w:rsid w:val="00555509"/>
    <w:rsid w:val="00561C5B"/>
    <w:rsid w:val="00564F2D"/>
    <w:rsid w:val="00566CDA"/>
    <w:rsid w:val="0056727E"/>
    <w:rsid w:val="00567BA6"/>
    <w:rsid w:val="00570033"/>
    <w:rsid w:val="00570147"/>
    <w:rsid w:val="0057307E"/>
    <w:rsid w:val="00573A4C"/>
    <w:rsid w:val="00574B79"/>
    <w:rsid w:val="00574D12"/>
    <w:rsid w:val="005800B4"/>
    <w:rsid w:val="0058070B"/>
    <w:rsid w:val="0058296F"/>
    <w:rsid w:val="00595E80"/>
    <w:rsid w:val="0059650E"/>
    <w:rsid w:val="00596953"/>
    <w:rsid w:val="005A1124"/>
    <w:rsid w:val="005A6030"/>
    <w:rsid w:val="005B57AD"/>
    <w:rsid w:val="005B722E"/>
    <w:rsid w:val="005C02FE"/>
    <w:rsid w:val="005C50AC"/>
    <w:rsid w:val="005C6406"/>
    <w:rsid w:val="005D69D1"/>
    <w:rsid w:val="005E210D"/>
    <w:rsid w:val="005F2425"/>
    <w:rsid w:val="005F5EC7"/>
    <w:rsid w:val="005F7207"/>
    <w:rsid w:val="005F7FCF"/>
    <w:rsid w:val="00604980"/>
    <w:rsid w:val="00606DBE"/>
    <w:rsid w:val="00607691"/>
    <w:rsid w:val="0061062C"/>
    <w:rsid w:val="00613183"/>
    <w:rsid w:val="006133F0"/>
    <w:rsid w:val="00616888"/>
    <w:rsid w:val="006176BE"/>
    <w:rsid w:val="006212CB"/>
    <w:rsid w:val="006279F9"/>
    <w:rsid w:val="006369EE"/>
    <w:rsid w:val="0064700E"/>
    <w:rsid w:val="00650183"/>
    <w:rsid w:val="00650677"/>
    <w:rsid w:val="006736A9"/>
    <w:rsid w:val="00673BC7"/>
    <w:rsid w:val="00674975"/>
    <w:rsid w:val="00675D39"/>
    <w:rsid w:val="0068560B"/>
    <w:rsid w:val="006A1277"/>
    <w:rsid w:val="006A2602"/>
    <w:rsid w:val="006A2D41"/>
    <w:rsid w:val="006A67E1"/>
    <w:rsid w:val="006A6BF4"/>
    <w:rsid w:val="006C24EA"/>
    <w:rsid w:val="006C36FB"/>
    <w:rsid w:val="006C7D62"/>
    <w:rsid w:val="006D0B23"/>
    <w:rsid w:val="006D2778"/>
    <w:rsid w:val="006D2ED6"/>
    <w:rsid w:val="006D5685"/>
    <w:rsid w:val="006E1987"/>
    <w:rsid w:val="006E23B2"/>
    <w:rsid w:val="006E5207"/>
    <w:rsid w:val="006F5C70"/>
    <w:rsid w:val="006F6A20"/>
    <w:rsid w:val="007047B2"/>
    <w:rsid w:val="00704DE7"/>
    <w:rsid w:val="00706868"/>
    <w:rsid w:val="007078B8"/>
    <w:rsid w:val="00715E32"/>
    <w:rsid w:val="007162D1"/>
    <w:rsid w:val="00716463"/>
    <w:rsid w:val="0071706E"/>
    <w:rsid w:val="00727292"/>
    <w:rsid w:val="00741F9A"/>
    <w:rsid w:val="00742F6A"/>
    <w:rsid w:val="007446E8"/>
    <w:rsid w:val="00750D38"/>
    <w:rsid w:val="00751553"/>
    <w:rsid w:val="0075165E"/>
    <w:rsid w:val="00754E10"/>
    <w:rsid w:val="00762A29"/>
    <w:rsid w:val="0076327D"/>
    <w:rsid w:val="00767745"/>
    <w:rsid w:val="007707FC"/>
    <w:rsid w:val="00770BE3"/>
    <w:rsid w:val="0077177A"/>
    <w:rsid w:val="007728A8"/>
    <w:rsid w:val="00785A76"/>
    <w:rsid w:val="00787852"/>
    <w:rsid w:val="007915BC"/>
    <w:rsid w:val="007967FA"/>
    <w:rsid w:val="00797E7A"/>
    <w:rsid w:val="007A0EA6"/>
    <w:rsid w:val="007A2D9E"/>
    <w:rsid w:val="007B0381"/>
    <w:rsid w:val="007B0F3D"/>
    <w:rsid w:val="007B148D"/>
    <w:rsid w:val="007B18C8"/>
    <w:rsid w:val="007B28DE"/>
    <w:rsid w:val="007B7A5F"/>
    <w:rsid w:val="007C36BE"/>
    <w:rsid w:val="007D53ED"/>
    <w:rsid w:val="007D6001"/>
    <w:rsid w:val="007D7F94"/>
    <w:rsid w:val="007E1B76"/>
    <w:rsid w:val="007E219A"/>
    <w:rsid w:val="007E3594"/>
    <w:rsid w:val="007E37BF"/>
    <w:rsid w:val="007E6593"/>
    <w:rsid w:val="007F1101"/>
    <w:rsid w:val="007F2CB1"/>
    <w:rsid w:val="00803D20"/>
    <w:rsid w:val="008112A0"/>
    <w:rsid w:val="0081696D"/>
    <w:rsid w:val="00816E01"/>
    <w:rsid w:val="008173D0"/>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6382"/>
    <w:rsid w:val="00850F57"/>
    <w:rsid w:val="008536C2"/>
    <w:rsid w:val="008600C7"/>
    <w:rsid w:val="008617D0"/>
    <w:rsid w:val="00861A60"/>
    <w:rsid w:val="00862357"/>
    <w:rsid w:val="00862D02"/>
    <w:rsid w:val="008637B9"/>
    <w:rsid w:val="00864194"/>
    <w:rsid w:val="0086622C"/>
    <w:rsid w:val="00870399"/>
    <w:rsid w:val="008711EC"/>
    <w:rsid w:val="008718FE"/>
    <w:rsid w:val="00872946"/>
    <w:rsid w:val="00883928"/>
    <w:rsid w:val="00883DDE"/>
    <w:rsid w:val="00891D73"/>
    <w:rsid w:val="00892A44"/>
    <w:rsid w:val="008A2DE8"/>
    <w:rsid w:val="008A312D"/>
    <w:rsid w:val="008A3E09"/>
    <w:rsid w:val="008A3E57"/>
    <w:rsid w:val="008A77A7"/>
    <w:rsid w:val="008B3F34"/>
    <w:rsid w:val="008C480C"/>
    <w:rsid w:val="008C56B9"/>
    <w:rsid w:val="008D05E0"/>
    <w:rsid w:val="008D2600"/>
    <w:rsid w:val="008E0AC0"/>
    <w:rsid w:val="008E221A"/>
    <w:rsid w:val="008E3FFE"/>
    <w:rsid w:val="008E60BE"/>
    <w:rsid w:val="008E6B74"/>
    <w:rsid w:val="008E7EF5"/>
    <w:rsid w:val="008F0FAF"/>
    <w:rsid w:val="008F46CD"/>
    <w:rsid w:val="008F6480"/>
    <w:rsid w:val="008F7740"/>
    <w:rsid w:val="00900CA2"/>
    <w:rsid w:val="00903653"/>
    <w:rsid w:val="00910A52"/>
    <w:rsid w:val="00911479"/>
    <w:rsid w:val="0091484D"/>
    <w:rsid w:val="00925E71"/>
    <w:rsid w:val="0093035F"/>
    <w:rsid w:val="0093329F"/>
    <w:rsid w:val="00937043"/>
    <w:rsid w:val="009445D3"/>
    <w:rsid w:val="0095021C"/>
    <w:rsid w:val="00955A8A"/>
    <w:rsid w:val="0096400D"/>
    <w:rsid w:val="00966600"/>
    <w:rsid w:val="009671D9"/>
    <w:rsid w:val="00971352"/>
    <w:rsid w:val="00975E5B"/>
    <w:rsid w:val="00977C8F"/>
    <w:rsid w:val="00977F94"/>
    <w:rsid w:val="009863E9"/>
    <w:rsid w:val="00991627"/>
    <w:rsid w:val="00992E20"/>
    <w:rsid w:val="009936FC"/>
    <w:rsid w:val="00993925"/>
    <w:rsid w:val="00993977"/>
    <w:rsid w:val="009A05D1"/>
    <w:rsid w:val="009A0920"/>
    <w:rsid w:val="009A28AC"/>
    <w:rsid w:val="009A3A5B"/>
    <w:rsid w:val="009A3F2A"/>
    <w:rsid w:val="009B2AAC"/>
    <w:rsid w:val="009B3521"/>
    <w:rsid w:val="009B541C"/>
    <w:rsid w:val="009C4460"/>
    <w:rsid w:val="009D7192"/>
    <w:rsid w:val="009E0E38"/>
    <w:rsid w:val="009E1A35"/>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3026E"/>
    <w:rsid w:val="00A4576A"/>
    <w:rsid w:val="00A45AD0"/>
    <w:rsid w:val="00A45EE9"/>
    <w:rsid w:val="00A53C14"/>
    <w:rsid w:val="00A61410"/>
    <w:rsid w:val="00A6198A"/>
    <w:rsid w:val="00A65108"/>
    <w:rsid w:val="00A7067F"/>
    <w:rsid w:val="00A707A7"/>
    <w:rsid w:val="00A718FD"/>
    <w:rsid w:val="00A72341"/>
    <w:rsid w:val="00A72792"/>
    <w:rsid w:val="00A74207"/>
    <w:rsid w:val="00A776ED"/>
    <w:rsid w:val="00A80E50"/>
    <w:rsid w:val="00A8137F"/>
    <w:rsid w:val="00A83663"/>
    <w:rsid w:val="00A83B0F"/>
    <w:rsid w:val="00A84216"/>
    <w:rsid w:val="00A90BFA"/>
    <w:rsid w:val="00A92BF3"/>
    <w:rsid w:val="00A943C8"/>
    <w:rsid w:val="00A950A4"/>
    <w:rsid w:val="00A9520D"/>
    <w:rsid w:val="00A9747D"/>
    <w:rsid w:val="00AA00A6"/>
    <w:rsid w:val="00AA6BA8"/>
    <w:rsid w:val="00AA7F5A"/>
    <w:rsid w:val="00AB2340"/>
    <w:rsid w:val="00AB5FE4"/>
    <w:rsid w:val="00AB659D"/>
    <w:rsid w:val="00AC229F"/>
    <w:rsid w:val="00AD2C92"/>
    <w:rsid w:val="00AD7671"/>
    <w:rsid w:val="00AE53E8"/>
    <w:rsid w:val="00AE6FE4"/>
    <w:rsid w:val="00AF2059"/>
    <w:rsid w:val="00AF3D84"/>
    <w:rsid w:val="00AF4161"/>
    <w:rsid w:val="00AF580B"/>
    <w:rsid w:val="00B007C8"/>
    <w:rsid w:val="00B14410"/>
    <w:rsid w:val="00B15E61"/>
    <w:rsid w:val="00B24F35"/>
    <w:rsid w:val="00B32C88"/>
    <w:rsid w:val="00B34747"/>
    <w:rsid w:val="00B42E49"/>
    <w:rsid w:val="00B50903"/>
    <w:rsid w:val="00B62FFE"/>
    <w:rsid w:val="00B65013"/>
    <w:rsid w:val="00B7123A"/>
    <w:rsid w:val="00B7435C"/>
    <w:rsid w:val="00B76F38"/>
    <w:rsid w:val="00B8085D"/>
    <w:rsid w:val="00B81EFF"/>
    <w:rsid w:val="00B836BB"/>
    <w:rsid w:val="00B84122"/>
    <w:rsid w:val="00B862B0"/>
    <w:rsid w:val="00BA1018"/>
    <w:rsid w:val="00BA2B7C"/>
    <w:rsid w:val="00BB142A"/>
    <w:rsid w:val="00BB34B9"/>
    <w:rsid w:val="00BB35C2"/>
    <w:rsid w:val="00BB553B"/>
    <w:rsid w:val="00BC28D7"/>
    <w:rsid w:val="00BC376C"/>
    <w:rsid w:val="00BC6321"/>
    <w:rsid w:val="00BC7817"/>
    <w:rsid w:val="00BD3819"/>
    <w:rsid w:val="00BD642D"/>
    <w:rsid w:val="00BD6988"/>
    <w:rsid w:val="00BE1A77"/>
    <w:rsid w:val="00BE4742"/>
    <w:rsid w:val="00BE7383"/>
    <w:rsid w:val="00BE754D"/>
    <w:rsid w:val="00BF1DB9"/>
    <w:rsid w:val="00BF6D10"/>
    <w:rsid w:val="00BF6E79"/>
    <w:rsid w:val="00C03F6C"/>
    <w:rsid w:val="00C12108"/>
    <w:rsid w:val="00C121D9"/>
    <w:rsid w:val="00C12B66"/>
    <w:rsid w:val="00C13453"/>
    <w:rsid w:val="00C220F9"/>
    <w:rsid w:val="00C2541C"/>
    <w:rsid w:val="00C26862"/>
    <w:rsid w:val="00C30458"/>
    <w:rsid w:val="00C31DA6"/>
    <w:rsid w:val="00C33260"/>
    <w:rsid w:val="00C350CC"/>
    <w:rsid w:val="00C4598F"/>
    <w:rsid w:val="00C50360"/>
    <w:rsid w:val="00C54E12"/>
    <w:rsid w:val="00C55468"/>
    <w:rsid w:val="00C56A3A"/>
    <w:rsid w:val="00C622C3"/>
    <w:rsid w:val="00C63BD5"/>
    <w:rsid w:val="00C74906"/>
    <w:rsid w:val="00C81B40"/>
    <w:rsid w:val="00C81FEA"/>
    <w:rsid w:val="00C83969"/>
    <w:rsid w:val="00C86C95"/>
    <w:rsid w:val="00CA05EB"/>
    <w:rsid w:val="00CA3515"/>
    <w:rsid w:val="00CA3A05"/>
    <w:rsid w:val="00CB14E9"/>
    <w:rsid w:val="00CB1A83"/>
    <w:rsid w:val="00CB6D90"/>
    <w:rsid w:val="00CB72C3"/>
    <w:rsid w:val="00CC45E4"/>
    <w:rsid w:val="00CD019F"/>
    <w:rsid w:val="00CD27C5"/>
    <w:rsid w:val="00CE4169"/>
    <w:rsid w:val="00CE7894"/>
    <w:rsid w:val="00CF06A1"/>
    <w:rsid w:val="00CF078D"/>
    <w:rsid w:val="00CF1467"/>
    <w:rsid w:val="00CF2D7C"/>
    <w:rsid w:val="00CF48D6"/>
    <w:rsid w:val="00CF57D6"/>
    <w:rsid w:val="00CF6C1B"/>
    <w:rsid w:val="00D00EF2"/>
    <w:rsid w:val="00D019D5"/>
    <w:rsid w:val="00D040FE"/>
    <w:rsid w:val="00D168FD"/>
    <w:rsid w:val="00D16F64"/>
    <w:rsid w:val="00D21054"/>
    <w:rsid w:val="00D2472C"/>
    <w:rsid w:val="00D279BA"/>
    <w:rsid w:val="00D404B5"/>
    <w:rsid w:val="00D447CB"/>
    <w:rsid w:val="00D47D16"/>
    <w:rsid w:val="00D505F4"/>
    <w:rsid w:val="00D51CE1"/>
    <w:rsid w:val="00D562F2"/>
    <w:rsid w:val="00D61B93"/>
    <w:rsid w:val="00D67E4A"/>
    <w:rsid w:val="00D763FD"/>
    <w:rsid w:val="00D77FC7"/>
    <w:rsid w:val="00D90AD1"/>
    <w:rsid w:val="00D941F7"/>
    <w:rsid w:val="00DA4DDF"/>
    <w:rsid w:val="00DB0804"/>
    <w:rsid w:val="00DB2FC4"/>
    <w:rsid w:val="00DC0A57"/>
    <w:rsid w:val="00DC382A"/>
    <w:rsid w:val="00DE1923"/>
    <w:rsid w:val="00DE2B33"/>
    <w:rsid w:val="00DE638B"/>
    <w:rsid w:val="00DE72EE"/>
    <w:rsid w:val="00DF37E5"/>
    <w:rsid w:val="00E034FE"/>
    <w:rsid w:val="00E041E5"/>
    <w:rsid w:val="00E04888"/>
    <w:rsid w:val="00E0763B"/>
    <w:rsid w:val="00E10302"/>
    <w:rsid w:val="00E17EC5"/>
    <w:rsid w:val="00E26BFD"/>
    <w:rsid w:val="00E27E90"/>
    <w:rsid w:val="00E33D02"/>
    <w:rsid w:val="00E34F2C"/>
    <w:rsid w:val="00E35D79"/>
    <w:rsid w:val="00E4641E"/>
    <w:rsid w:val="00E519AE"/>
    <w:rsid w:val="00E57AF7"/>
    <w:rsid w:val="00E6241B"/>
    <w:rsid w:val="00E64FCC"/>
    <w:rsid w:val="00E703B6"/>
    <w:rsid w:val="00E72200"/>
    <w:rsid w:val="00E72B1B"/>
    <w:rsid w:val="00E75D47"/>
    <w:rsid w:val="00E766F5"/>
    <w:rsid w:val="00E82948"/>
    <w:rsid w:val="00E90218"/>
    <w:rsid w:val="00E913BB"/>
    <w:rsid w:val="00E95F2E"/>
    <w:rsid w:val="00EA1508"/>
    <w:rsid w:val="00EA1541"/>
    <w:rsid w:val="00EA32E4"/>
    <w:rsid w:val="00EA7E36"/>
    <w:rsid w:val="00EB0898"/>
    <w:rsid w:val="00EB627B"/>
    <w:rsid w:val="00EB6D94"/>
    <w:rsid w:val="00EC4183"/>
    <w:rsid w:val="00EC4F97"/>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3814"/>
    <w:rsid w:val="00F07A09"/>
    <w:rsid w:val="00F1390C"/>
    <w:rsid w:val="00F14D98"/>
    <w:rsid w:val="00F20C5E"/>
    <w:rsid w:val="00F25EBD"/>
    <w:rsid w:val="00F36A1D"/>
    <w:rsid w:val="00F44278"/>
    <w:rsid w:val="00F51B65"/>
    <w:rsid w:val="00F52AAB"/>
    <w:rsid w:val="00F52EB6"/>
    <w:rsid w:val="00F53537"/>
    <w:rsid w:val="00F55260"/>
    <w:rsid w:val="00F6316B"/>
    <w:rsid w:val="00F65AE0"/>
    <w:rsid w:val="00F74E38"/>
    <w:rsid w:val="00F76D6F"/>
    <w:rsid w:val="00F778B0"/>
    <w:rsid w:val="00F83BC2"/>
    <w:rsid w:val="00F92EC1"/>
    <w:rsid w:val="00F94C47"/>
    <w:rsid w:val="00FA0421"/>
    <w:rsid w:val="00FA3389"/>
    <w:rsid w:val="00FA3476"/>
    <w:rsid w:val="00FA495F"/>
    <w:rsid w:val="00FB0C10"/>
    <w:rsid w:val="00FB3C36"/>
    <w:rsid w:val="00FB4280"/>
    <w:rsid w:val="00FB7CCE"/>
    <w:rsid w:val="00FC01C8"/>
    <w:rsid w:val="00FC5027"/>
    <w:rsid w:val="00FC50C7"/>
    <w:rsid w:val="00FC511D"/>
    <w:rsid w:val="00FC68BC"/>
    <w:rsid w:val="00FD11D4"/>
    <w:rsid w:val="00FD225D"/>
    <w:rsid w:val="00FD2384"/>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9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uiPriority="99"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uiPriority w:val="99"/>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uiPriority w:val="99"/>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uiPriority w:val="99"/>
    <w:qFormat/>
    <w:rsid w:val="001D4F09"/>
    <w:rPr>
      <w:spacing w:val="6"/>
      <w:sz w:val="26"/>
      <w:szCs w:val="24"/>
      <w:lang w:val="es-ES_tradnl"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uiPriority w:val="99"/>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
    <w:rsid w:val="00EC4F97"/>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
    <w:rsid w:val="00EC4F97"/>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
    <w:rsid w:val="00EC4F97"/>
    <w:rPr>
      <w:rFonts w:ascii="Arial" w:hAnsi="Arial" w:cs="Arial"/>
      <w:b/>
      <w:bCs/>
      <w:szCs w:val="26"/>
      <w:lang w:val="es-ES_tradnl" w:eastAsia="en-US"/>
    </w:rPr>
  </w:style>
  <w:style w:type="character" w:customStyle="1" w:styleId="Ttulo5Car">
    <w:name w:val="Título 5 Car"/>
    <w:basedOn w:val="Fuentedeprrafopredeter"/>
    <w:link w:val="Ttulo5"/>
    <w:uiPriority w:val="9"/>
    <w:rsid w:val="00EC4F97"/>
    <w:rPr>
      <w:b/>
      <w:sz w:val="28"/>
      <w:lang w:eastAsia="en-US"/>
    </w:rPr>
  </w:style>
  <w:style w:type="character" w:customStyle="1" w:styleId="TextodegloboCar">
    <w:name w:val="Texto de globo Car"/>
    <w:basedOn w:val="Fuentedeprrafopredeter"/>
    <w:link w:val="Textodeglobo"/>
    <w:uiPriority w:val="99"/>
    <w:semiHidden/>
    <w:rsid w:val="00EC4F97"/>
    <w:rPr>
      <w:rFonts w:ascii="Tahoma" w:hAnsi="Tahoma" w:cs="Tahoma"/>
      <w:sz w:val="16"/>
      <w:szCs w:val="16"/>
      <w:lang w:val="es-ES_tradnl" w:eastAsia="en-US"/>
    </w:rPr>
  </w:style>
  <w:style w:type="character" w:customStyle="1" w:styleId="EncabezadoCar">
    <w:name w:val="Encabezado Car"/>
    <w:basedOn w:val="Fuentedeprrafopredeter"/>
    <w:link w:val="Encabezado"/>
    <w:uiPriority w:val="99"/>
    <w:rsid w:val="00EC4F97"/>
    <w:rPr>
      <w:bCs/>
      <w:caps/>
      <w:sz w:val="14"/>
      <w:szCs w:val="12"/>
      <w:lang w:val="es-ES_tradnl" w:eastAsia="en-US"/>
    </w:rPr>
  </w:style>
  <w:style w:type="character" w:customStyle="1" w:styleId="PiedepginaCar">
    <w:name w:val="Pie de página Car"/>
    <w:basedOn w:val="Fuentedeprrafopredeter"/>
    <w:link w:val="Piedepgina"/>
    <w:uiPriority w:val="99"/>
    <w:rsid w:val="00EC4F97"/>
    <w:rPr>
      <w:spacing w:val="6"/>
      <w:lang w:val="es-ES_tradnl" w:eastAsia="en-US"/>
    </w:rPr>
  </w:style>
  <w:style w:type="character" w:customStyle="1" w:styleId="atitulo1Car">
    <w:name w:val="atitulo1 Car"/>
    <w:basedOn w:val="Fuentedeprrafopredeter"/>
    <w:link w:val="atitulo1"/>
    <w:uiPriority w:val="99"/>
    <w:locked/>
    <w:rsid w:val="00EC4F97"/>
    <w:rPr>
      <w:rFonts w:ascii="Arial" w:hAnsi="Arial"/>
      <w:b/>
      <w:color w:val="000000"/>
      <w:kern w:val="28"/>
      <w:sz w:val="25"/>
      <w:szCs w:val="26"/>
      <w:lang w:val="es-ES_tradnl" w:eastAsia="en-US"/>
    </w:rPr>
  </w:style>
  <w:style w:type="character" w:customStyle="1" w:styleId="atitulo2Car">
    <w:name w:val="atitulo2 Car"/>
    <w:link w:val="atitulo2"/>
    <w:uiPriority w:val="99"/>
    <w:locked/>
    <w:rsid w:val="00EC4F97"/>
    <w:rPr>
      <w:rFonts w:ascii="Arial" w:hAnsi="Arial"/>
      <w:bCs/>
      <w:iCs/>
      <w:color w:val="000000"/>
      <w:spacing w:val="10"/>
      <w:kern w:val="28"/>
      <w:sz w:val="25"/>
      <w:szCs w:val="26"/>
      <w:lang w:val="es-ES_tradnl" w:eastAsia="en-US"/>
    </w:rPr>
  </w:style>
  <w:style w:type="paragraph" w:styleId="Prrafodelista">
    <w:name w:val="List Paragraph"/>
    <w:basedOn w:val="Normal"/>
    <w:uiPriority w:val="99"/>
    <w:qFormat/>
    <w:rsid w:val="00EC4F97"/>
    <w:pPr>
      <w:ind w:left="720"/>
      <w:contextualSpacing/>
    </w:pPr>
  </w:style>
  <w:style w:type="paragraph" w:styleId="Textonotapie">
    <w:name w:val="footnote text"/>
    <w:basedOn w:val="Normal"/>
    <w:link w:val="TextonotapieCar"/>
    <w:uiPriority w:val="99"/>
    <w:rsid w:val="00EC4F97"/>
  </w:style>
  <w:style w:type="character" w:customStyle="1" w:styleId="TextonotapieCar">
    <w:name w:val="Texto nota pie Car"/>
    <w:basedOn w:val="Fuentedeprrafopredeter"/>
    <w:link w:val="Textonotapie"/>
    <w:uiPriority w:val="99"/>
    <w:rsid w:val="00EC4F97"/>
    <w:rPr>
      <w:lang w:val="es-ES_tradnl" w:eastAsia="en-US"/>
    </w:rPr>
  </w:style>
  <w:style w:type="character" w:styleId="Refdenotaalpie">
    <w:name w:val="footnote reference"/>
    <w:basedOn w:val="Fuentedeprrafopredeter"/>
    <w:uiPriority w:val="99"/>
    <w:rsid w:val="00EC4F97"/>
    <w:rPr>
      <w:rFonts w:cs="Times New Roman"/>
      <w:vertAlign w:val="superscript"/>
    </w:rPr>
  </w:style>
  <w:style w:type="character" w:styleId="nfasis">
    <w:name w:val="Emphasis"/>
    <w:basedOn w:val="Fuentedeprrafopredeter"/>
    <w:uiPriority w:val="99"/>
    <w:qFormat/>
    <w:rsid w:val="00EC4F97"/>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9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uiPriority="99"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uiPriority w:val="99"/>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uiPriority w:val="99"/>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uiPriority w:val="99"/>
    <w:qFormat/>
    <w:rsid w:val="001D4F09"/>
    <w:rPr>
      <w:spacing w:val="6"/>
      <w:sz w:val="26"/>
      <w:szCs w:val="24"/>
      <w:lang w:val="es-ES_tradnl"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uiPriority w:val="99"/>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
    <w:rsid w:val="00EC4F97"/>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
    <w:rsid w:val="00EC4F97"/>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
    <w:rsid w:val="00EC4F97"/>
    <w:rPr>
      <w:rFonts w:ascii="Arial" w:hAnsi="Arial" w:cs="Arial"/>
      <w:b/>
      <w:bCs/>
      <w:szCs w:val="26"/>
      <w:lang w:val="es-ES_tradnl" w:eastAsia="en-US"/>
    </w:rPr>
  </w:style>
  <w:style w:type="character" w:customStyle="1" w:styleId="Ttulo5Car">
    <w:name w:val="Título 5 Car"/>
    <w:basedOn w:val="Fuentedeprrafopredeter"/>
    <w:link w:val="Ttulo5"/>
    <w:uiPriority w:val="9"/>
    <w:rsid w:val="00EC4F97"/>
    <w:rPr>
      <w:b/>
      <w:sz w:val="28"/>
      <w:lang w:eastAsia="en-US"/>
    </w:rPr>
  </w:style>
  <w:style w:type="character" w:customStyle="1" w:styleId="TextodegloboCar">
    <w:name w:val="Texto de globo Car"/>
    <w:basedOn w:val="Fuentedeprrafopredeter"/>
    <w:link w:val="Textodeglobo"/>
    <w:uiPriority w:val="99"/>
    <w:semiHidden/>
    <w:rsid w:val="00EC4F97"/>
    <w:rPr>
      <w:rFonts w:ascii="Tahoma" w:hAnsi="Tahoma" w:cs="Tahoma"/>
      <w:sz w:val="16"/>
      <w:szCs w:val="16"/>
      <w:lang w:val="es-ES_tradnl" w:eastAsia="en-US"/>
    </w:rPr>
  </w:style>
  <w:style w:type="character" w:customStyle="1" w:styleId="EncabezadoCar">
    <w:name w:val="Encabezado Car"/>
    <w:basedOn w:val="Fuentedeprrafopredeter"/>
    <w:link w:val="Encabezado"/>
    <w:uiPriority w:val="99"/>
    <w:rsid w:val="00EC4F97"/>
    <w:rPr>
      <w:bCs/>
      <w:caps/>
      <w:sz w:val="14"/>
      <w:szCs w:val="12"/>
      <w:lang w:val="es-ES_tradnl" w:eastAsia="en-US"/>
    </w:rPr>
  </w:style>
  <w:style w:type="character" w:customStyle="1" w:styleId="PiedepginaCar">
    <w:name w:val="Pie de página Car"/>
    <w:basedOn w:val="Fuentedeprrafopredeter"/>
    <w:link w:val="Piedepgina"/>
    <w:uiPriority w:val="99"/>
    <w:rsid w:val="00EC4F97"/>
    <w:rPr>
      <w:spacing w:val="6"/>
      <w:lang w:val="es-ES_tradnl" w:eastAsia="en-US"/>
    </w:rPr>
  </w:style>
  <w:style w:type="character" w:customStyle="1" w:styleId="atitulo1Car">
    <w:name w:val="atitulo1 Car"/>
    <w:basedOn w:val="Fuentedeprrafopredeter"/>
    <w:link w:val="atitulo1"/>
    <w:uiPriority w:val="99"/>
    <w:locked/>
    <w:rsid w:val="00EC4F97"/>
    <w:rPr>
      <w:rFonts w:ascii="Arial" w:hAnsi="Arial"/>
      <w:b/>
      <w:color w:val="000000"/>
      <w:kern w:val="28"/>
      <w:sz w:val="25"/>
      <w:szCs w:val="26"/>
      <w:lang w:val="es-ES_tradnl" w:eastAsia="en-US"/>
    </w:rPr>
  </w:style>
  <w:style w:type="character" w:customStyle="1" w:styleId="atitulo2Car">
    <w:name w:val="atitulo2 Car"/>
    <w:link w:val="atitulo2"/>
    <w:uiPriority w:val="99"/>
    <w:locked/>
    <w:rsid w:val="00EC4F97"/>
    <w:rPr>
      <w:rFonts w:ascii="Arial" w:hAnsi="Arial"/>
      <w:bCs/>
      <w:iCs/>
      <w:color w:val="000000"/>
      <w:spacing w:val="10"/>
      <w:kern w:val="28"/>
      <w:sz w:val="25"/>
      <w:szCs w:val="26"/>
      <w:lang w:val="es-ES_tradnl" w:eastAsia="en-US"/>
    </w:rPr>
  </w:style>
  <w:style w:type="paragraph" w:styleId="Prrafodelista">
    <w:name w:val="List Paragraph"/>
    <w:basedOn w:val="Normal"/>
    <w:uiPriority w:val="99"/>
    <w:qFormat/>
    <w:rsid w:val="00EC4F97"/>
    <w:pPr>
      <w:ind w:left="720"/>
      <w:contextualSpacing/>
    </w:pPr>
  </w:style>
  <w:style w:type="paragraph" w:styleId="Textonotapie">
    <w:name w:val="footnote text"/>
    <w:basedOn w:val="Normal"/>
    <w:link w:val="TextonotapieCar"/>
    <w:uiPriority w:val="99"/>
    <w:rsid w:val="00EC4F97"/>
  </w:style>
  <w:style w:type="character" w:customStyle="1" w:styleId="TextonotapieCar">
    <w:name w:val="Texto nota pie Car"/>
    <w:basedOn w:val="Fuentedeprrafopredeter"/>
    <w:link w:val="Textonotapie"/>
    <w:uiPriority w:val="99"/>
    <w:rsid w:val="00EC4F97"/>
    <w:rPr>
      <w:lang w:val="es-ES_tradnl" w:eastAsia="en-US"/>
    </w:rPr>
  </w:style>
  <w:style w:type="character" w:styleId="Refdenotaalpie">
    <w:name w:val="footnote reference"/>
    <w:basedOn w:val="Fuentedeprrafopredeter"/>
    <w:uiPriority w:val="99"/>
    <w:rsid w:val="00EC4F97"/>
    <w:rPr>
      <w:rFonts w:cs="Times New Roman"/>
      <w:vertAlign w:val="superscript"/>
    </w:rPr>
  </w:style>
  <w:style w:type="character" w:styleId="nfasis">
    <w:name w:val="Emphasis"/>
    <w:basedOn w:val="Fuentedeprrafopredeter"/>
    <w:uiPriority w:val="99"/>
    <w:qFormat/>
    <w:rsid w:val="00EC4F97"/>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21B3F-E5A7-4D57-8A1D-333DA2C0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8194</Words>
  <Characters>58916</Characters>
  <Application>Microsoft Office Word</Application>
  <DocSecurity>0</DocSecurity>
  <Lines>2266</Lines>
  <Paragraphs>1636</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65474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Erburu Elizondo, Fernando (Cámara de Comptos)</dc:creator>
  <cp:lastModifiedBy>Iñaki De Santiago</cp:lastModifiedBy>
  <cp:revision>2</cp:revision>
  <cp:lastPrinted>2012-11-09T08:07:00Z</cp:lastPrinted>
  <dcterms:created xsi:type="dcterms:W3CDTF">2019-12-23T11:49:00Z</dcterms:created>
  <dcterms:modified xsi:type="dcterms:W3CDTF">2019-12-23T11:49:00Z</dcterms:modified>
</cp:coreProperties>
</file>