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6A" w:rsidRDefault="00F927F6" w:rsidP="00F927F6">
      <w:pPr>
        <w:spacing w:after="200" w:line="276" w:lineRule="auto"/>
        <w:jc w:val="both"/>
        <w:rPr>
          <w:rFonts w:ascii="Calibri" w:hAnsi="Calibri" w:cs="Arial"/>
        </w:rPr>
      </w:pPr>
      <w:bookmarkStart w:id="0" w:name="_GoBack"/>
      <w:bookmarkEnd w:id="0"/>
      <w:r>
        <w:rPr>
          <w:rFonts w:ascii="Calibri" w:hAnsi="Calibri"/>
          <w:b/>
        </w:rPr>
        <w:t>EH Bildu</w:t>
      </w:r>
      <w:r>
        <w:rPr>
          <w:rFonts w:ascii="Calibri" w:hAnsi="Calibri"/>
        </w:rPr>
        <w:t xml:space="preserve"> talde parlamentarioari atxikitako foru parlamentari </w:t>
      </w:r>
      <w:proofErr w:type="spellStart"/>
      <w:r>
        <w:rPr>
          <w:rFonts w:ascii="Calibri" w:hAnsi="Calibri"/>
          <w:b/>
        </w:rPr>
        <w:t>Maiorga</w:t>
      </w:r>
      <w:proofErr w:type="spellEnd"/>
      <w:r>
        <w:rPr>
          <w:rFonts w:ascii="Calibri" w:hAnsi="Calibri"/>
          <w:b/>
        </w:rPr>
        <w:t xml:space="preserve"> </w:t>
      </w:r>
      <w:proofErr w:type="spellStart"/>
      <w:r>
        <w:rPr>
          <w:rFonts w:ascii="Calibri" w:hAnsi="Calibri"/>
          <w:b/>
        </w:rPr>
        <w:t>Ramírez</w:t>
      </w:r>
      <w:proofErr w:type="spellEnd"/>
      <w:r>
        <w:rPr>
          <w:rFonts w:ascii="Calibri" w:hAnsi="Calibri"/>
          <w:b/>
        </w:rPr>
        <w:t xml:space="preserve"> Erro jaunak 10-19/PES-00082 </w:t>
      </w:r>
      <w:r>
        <w:rPr>
          <w:rFonts w:ascii="Calibri" w:hAnsi="Calibri"/>
        </w:rPr>
        <w:t xml:space="preserve">idatzizko galdera egin du egungo egoera ekonomikoari egokitutako adierazle ekonomikoei buruz. Garapen Ekonomiko eta </w:t>
      </w:r>
      <w:proofErr w:type="spellStart"/>
      <w:r>
        <w:rPr>
          <w:rFonts w:ascii="Calibri" w:hAnsi="Calibri"/>
        </w:rPr>
        <w:t>Enpresarialeko</w:t>
      </w:r>
      <w:proofErr w:type="spellEnd"/>
      <w:r>
        <w:rPr>
          <w:rFonts w:ascii="Calibri" w:hAnsi="Calibri"/>
        </w:rPr>
        <w:t xml:space="preserve"> kontseilari </w:t>
      </w:r>
      <w:r>
        <w:rPr>
          <w:rFonts w:ascii="Calibri" w:hAnsi="Calibri"/>
          <w:b/>
        </w:rPr>
        <w:t>Manu Ayerdi Olaizola jaunak</w:t>
      </w:r>
      <w:r>
        <w:rPr>
          <w:rFonts w:ascii="Calibri" w:hAnsi="Calibri"/>
        </w:rPr>
        <w:t xml:space="preserve"> honako hau jakinarazten dio horri buruz:</w:t>
      </w:r>
    </w:p>
    <w:p w:rsidR="00F927F6" w:rsidRPr="00F927F6" w:rsidRDefault="00F927F6" w:rsidP="00F927F6">
      <w:pPr>
        <w:spacing w:after="200" w:line="360" w:lineRule="auto"/>
        <w:jc w:val="both"/>
        <w:rPr>
          <w:rFonts w:ascii="Calibri" w:hAnsi="Calibri" w:cs="Arial"/>
          <w:b/>
          <w:i/>
          <w:szCs w:val="24"/>
        </w:rPr>
      </w:pPr>
      <w:r>
        <w:rPr>
          <w:rFonts w:ascii="Calibri" w:hAnsi="Calibri"/>
          <w:b/>
          <w:i/>
          <w:szCs w:val="24"/>
        </w:rPr>
        <w:t>Gaur egungo egoera nahasia ikusita, Nafarroako Gobernuak diseinatu al du Nafarroako ekonomia bereziki ukitzen duten adierazle ekonomiko baliagarriei buruzko informazio-gailu berrien ezarpena?</w:t>
      </w:r>
    </w:p>
    <w:p w:rsidR="00F927F6" w:rsidRPr="00F927F6" w:rsidRDefault="00F927F6" w:rsidP="00F927F6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Adierazle ekonomikoen azterketa eta jarraipena Nafarroako Gobernuko Politika Ekonomikoko unitateak egiten du, monitorizazio eta aurreikuspen tresnen bitartez. Unitate horrek modu jarraituan egiten du azterketa-lan hori, etengabe agertzen direlako informazio berriak, eta etengabe gertatzen direlako ingurune ekonomiko aldakorraren arrisku-balantzea eta eguneratzea eskatzen duten gertaerak. </w:t>
      </w:r>
    </w:p>
    <w:p w:rsidR="00F927F6" w:rsidRPr="00F927F6" w:rsidRDefault="00F927F6" w:rsidP="00F927F6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Egungoa bezalako une </w:t>
      </w:r>
      <w:proofErr w:type="spellStart"/>
      <w:r>
        <w:rPr>
          <w:rFonts w:ascii="Calibri" w:hAnsi="Calibri"/>
        </w:rPr>
        <w:t>koiuntural</w:t>
      </w:r>
      <w:proofErr w:type="spellEnd"/>
      <w:r>
        <w:rPr>
          <w:rFonts w:ascii="Calibri" w:hAnsi="Calibri"/>
        </w:rPr>
        <w:t xml:space="preserve"> zailagoetan, dagokion arriskuarekin edo ziurgabetasunarekin lotutako adierazleetan jartzen da arreta, balizko joera-aldaketak identifikatzeko edo balizko narriaduraren aurrean erne egoteko. Gaur egun, jakina da eskualdeko ekonomiarentzat mehatxu nagusia kanpotik datorrela, AEBen eta Txinaren arteko muga-zergetako gatazkaren, </w:t>
      </w:r>
      <w:proofErr w:type="spellStart"/>
      <w:r>
        <w:rPr>
          <w:rFonts w:ascii="Calibri" w:hAnsi="Calibri"/>
        </w:rPr>
        <w:t>brexit-aren</w:t>
      </w:r>
      <w:proofErr w:type="spellEnd"/>
      <w:r>
        <w:rPr>
          <w:rFonts w:ascii="Calibri" w:hAnsi="Calibri"/>
        </w:rPr>
        <w:t xml:space="preserve"> eta Alemaniako ahultasunaren ondorioz, eta horregatik arreta berezia jartzen da kanpoko eragina islatzen lehenak izan daitezkeen aldagaietan, hala nola ondasun-trukeari eta industria-ekoizpenari buruzkoetan, zeinak nagusiki esportatzaileak baitira. Era berean, konfiantza-datuak ere garrantzitsuak dira, enpresarenak zein kontsumitzailearenak; izan ere, testuingurua lausotzen denean, itxaropenak dira horiek islatzen lehenak. </w:t>
      </w:r>
    </w:p>
    <w:p w:rsidR="00F927F6" w:rsidRPr="00F927F6" w:rsidRDefault="00F927F6" w:rsidP="00F927F6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>Jarraian, lan hori egiteko zer tresna eta metodo dauden gogorarazten da:</w:t>
      </w:r>
    </w:p>
    <w:p w:rsidR="00F320C5" w:rsidRDefault="00F927F6" w:rsidP="00F320C5">
      <w:pPr>
        <w:numPr>
          <w:ilvl w:val="0"/>
          <w:numId w:val="2"/>
        </w:num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>Adierazle estatistikoen bidez.</w:t>
      </w:r>
    </w:p>
    <w:p w:rsidR="00F927F6" w:rsidRPr="00F927F6" w:rsidRDefault="00F927F6" w:rsidP="00F320C5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Nafarroari buruz ezagutzen joaten diren estatistiken azterketa jarraitua da, eta estatistika institutu ofizialek </w:t>
      </w:r>
      <w:proofErr w:type="spellStart"/>
      <w:r>
        <w:rPr>
          <w:rFonts w:ascii="Calibri" w:hAnsi="Calibri"/>
        </w:rPr>
        <w:t>—Estatistikako</w:t>
      </w:r>
      <w:proofErr w:type="spellEnd"/>
      <w:r>
        <w:rPr>
          <w:rFonts w:ascii="Calibri" w:hAnsi="Calibri"/>
        </w:rPr>
        <w:t xml:space="preserve"> Institutu Nazionala eta Nafarroako Estatistika </w:t>
      </w:r>
      <w:proofErr w:type="spellStart"/>
      <w:r>
        <w:rPr>
          <w:rFonts w:ascii="Calibri" w:hAnsi="Calibri"/>
        </w:rPr>
        <w:t>Erakundea—</w:t>
      </w:r>
      <w:proofErr w:type="spellEnd"/>
      <w:r>
        <w:rPr>
          <w:rFonts w:ascii="Calibri" w:hAnsi="Calibri"/>
        </w:rPr>
        <w:t xml:space="preserve"> eta bestelako erakundeek, ministerioek edo enpresa eta elkarte pribatuek zabaldutako prentsa-oharren bidez eskuratzen da. </w:t>
      </w:r>
    </w:p>
    <w:p w:rsidR="00F927F6" w:rsidRPr="00F927F6" w:rsidRDefault="00F927F6" w:rsidP="00F927F6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Aldi baterako informazio estatistiko hori guztia biltzeko modu oso grafikoa “koiuntura-semaforoa” deitu ohi duguna da: datu base bat da, zeinean </w:t>
      </w:r>
      <w:proofErr w:type="spellStart"/>
      <w:r>
        <w:rPr>
          <w:rFonts w:ascii="Calibri" w:hAnsi="Calibri"/>
        </w:rPr>
        <w:t>hilabetero</w:t>
      </w:r>
      <w:proofErr w:type="spellEnd"/>
      <w:r>
        <w:rPr>
          <w:rFonts w:ascii="Calibri" w:hAnsi="Calibri"/>
        </w:rPr>
        <w:t xml:space="preserve"> biltzen baita Nafarroako ekonomiaren hileko maiztasunaren adierazle nagusien bilakaera (afiliatuak, industria-produkzioa, zerbitzuetako negozio-zifra, hasitako etxebizitzak, autoen ekoizpena, kontsumo elektronikoa, kanpoko merkataritza, txikizkako merkataritza, turismoen matrikulazioa, hipotekak, ekipo-ondasunen inportazioa, kontsumo-onasunen inportazioa, bidaiariak eta gauak, </w:t>
      </w:r>
      <w:proofErr w:type="spellStart"/>
      <w:r>
        <w:rPr>
          <w:rFonts w:ascii="Calibri" w:hAnsi="Calibri"/>
        </w:rPr>
        <w:t>KPIa</w:t>
      </w:r>
      <w:proofErr w:type="spellEnd"/>
      <w:r>
        <w:rPr>
          <w:rFonts w:ascii="Calibri" w:hAnsi="Calibri"/>
        </w:rPr>
        <w:t xml:space="preserve">); izan ere, lagungarri gertatzen da ezagutzeko nola garatzen ari </w:t>
      </w:r>
      <w:r>
        <w:rPr>
          <w:rFonts w:ascii="Calibri" w:hAnsi="Calibri"/>
        </w:rPr>
        <w:lastRenderedPageBreak/>
        <w:t xml:space="preserve">den jarduera hilabetez </w:t>
      </w:r>
      <w:proofErr w:type="spellStart"/>
      <w:r>
        <w:rPr>
          <w:rFonts w:ascii="Calibri" w:hAnsi="Calibri"/>
        </w:rPr>
        <w:t>hilabete</w:t>
      </w:r>
      <w:proofErr w:type="spellEnd"/>
      <w:r>
        <w:rPr>
          <w:rFonts w:ascii="Calibri" w:hAnsi="Calibri"/>
        </w:rPr>
        <w:t>, koloreen bitartez identifikatuz garapen horretan eragin positiboa edo negatiboa dutenak, eta, halaber, aukera ematen du baloratzeko ea ekonomiaren bilakaera goranzkoa ala beheranzkoa izaten ari den.</w:t>
      </w:r>
    </w:p>
    <w:p w:rsidR="00F320C5" w:rsidRDefault="00F927F6" w:rsidP="00F320C5">
      <w:pPr>
        <w:numPr>
          <w:ilvl w:val="0"/>
          <w:numId w:val="2"/>
        </w:num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Koiunturazko </w:t>
      </w:r>
      <w:proofErr w:type="spellStart"/>
      <w:r>
        <w:rPr>
          <w:rFonts w:ascii="Calibri" w:hAnsi="Calibri"/>
          <w:i/>
        </w:rPr>
        <w:t>momentum</w:t>
      </w:r>
      <w:proofErr w:type="spellEnd"/>
      <w:r>
        <w:rPr>
          <w:rFonts w:ascii="Calibri" w:hAnsi="Calibri"/>
          <w:i/>
        </w:rPr>
        <w:t xml:space="preserve"> </w:t>
      </w:r>
      <w:r>
        <w:rPr>
          <w:rFonts w:ascii="Calibri" w:hAnsi="Calibri"/>
        </w:rPr>
        <w:t xml:space="preserve">delakoa neurtzen duten eredu propioen bidez. </w:t>
      </w:r>
    </w:p>
    <w:p w:rsidR="00F927F6" w:rsidRPr="00F927F6" w:rsidRDefault="00F927F6" w:rsidP="00F320C5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Erregioko ekonomiak epe laburrean izanen duen bilakaera aurreratzeko </w:t>
      </w:r>
      <w:proofErr w:type="spellStart"/>
      <w:r>
        <w:rPr>
          <w:rFonts w:ascii="Calibri" w:hAnsi="Calibri"/>
        </w:rPr>
        <w:t>—hiruhileko</w:t>
      </w:r>
      <w:proofErr w:type="spellEnd"/>
      <w:r>
        <w:rPr>
          <w:rFonts w:ascii="Calibri" w:hAnsi="Calibri"/>
        </w:rPr>
        <w:t xml:space="preserve"> batekoa izan ohi da epe </w:t>
      </w:r>
      <w:proofErr w:type="spellStart"/>
      <w:r>
        <w:rPr>
          <w:rFonts w:ascii="Calibri" w:hAnsi="Calibri"/>
        </w:rPr>
        <w:t>hori—</w:t>
      </w:r>
      <w:proofErr w:type="spellEnd"/>
      <w:r>
        <w:rPr>
          <w:rFonts w:ascii="Calibri" w:hAnsi="Calibri"/>
        </w:rPr>
        <w:t xml:space="preserve">, beste bi eredu propio badaude, zeinak zuzendaritzan bertan lantzen baitira teknika </w:t>
      </w:r>
      <w:proofErr w:type="spellStart"/>
      <w:r>
        <w:rPr>
          <w:rFonts w:ascii="Calibri" w:hAnsi="Calibri"/>
        </w:rPr>
        <w:t>ekonometrikoak</w:t>
      </w:r>
      <w:proofErr w:type="spellEnd"/>
      <w:r>
        <w:rPr>
          <w:rFonts w:ascii="Calibri" w:hAnsi="Calibri"/>
        </w:rPr>
        <w:t xml:space="preserve"> erabiliz; horien bitartez, aurreikuspenak egiten ditu. Jarduerari buruzko adierazle sintetiko bat eta eredu faktorial dinamiko bat dira.</w:t>
      </w:r>
    </w:p>
    <w:p w:rsidR="00F927F6" w:rsidRPr="00F927F6" w:rsidRDefault="00F927F6" w:rsidP="00F927F6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>Nafarroako Jardueraren Adierazle Sintetikoa (NJAS)</w:t>
      </w:r>
    </w:p>
    <w:p w:rsidR="00F927F6" w:rsidRPr="00F927F6" w:rsidRDefault="00F927F6" w:rsidP="00F927F6">
      <w:pPr>
        <w:spacing w:after="200" w:line="276" w:lineRule="auto"/>
        <w:jc w:val="both"/>
        <w:rPr>
          <w:rFonts w:ascii="Calibri" w:hAnsi="Calibri" w:cs="Arial"/>
        </w:rPr>
      </w:pPr>
      <w:proofErr w:type="spellStart"/>
      <w:r>
        <w:rPr>
          <w:rFonts w:ascii="Calibri" w:hAnsi="Calibri"/>
        </w:rPr>
        <w:t>NJASa</w:t>
      </w:r>
      <w:proofErr w:type="spellEnd"/>
      <w:r>
        <w:rPr>
          <w:rFonts w:ascii="Calibri" w:hAnsi="Calibri"/>
        </w:rPr>
        <w:t xml:space="preserve"> adierazle sintetiko bat da, zeina egiten baita Ekonomia eta Enpresa Ministerioaren metodologiari jarraituz, hilabeteko maiztasuna duten eta </w:t>
      </w:r>
      <w:proofErr w:type="spellStart"/>
      <w:r>
        <w:rPr>
          <w:rFonts w:ascii="Calibri" w:hAnsi="Calibri"/>
        </w:rPr>
        <w:t>BPGarekin</w:t>
      </w:r>
      <w:proofErr w:type="spellEnd"/>
      <w:r>
        <w:rPr>
          <w:rFonts w:ascii="Calibri" w:hAnsi="Calibri"/>
        </w:rPr>
        <w:t xml:space="preserve"> estu lotuta dauden adierazle </w:t>
      </w:r>
      <w:proofErr w:type="spellStart"/>
      <w:r>
        <w:rPr>
          <w:rFonts w:ascii="Calibri" w:hAnsi="Calibri"/>
        </w:rPr>
        <w:t>koiuntural</w:t>
      </w:r>
      <w:proofErr w:type="spellEnd"/>
      <w:r>
        <w:rPr>
          <w:rFonts w:ascii="Calibri" w:hAnsi="Calibri"/>
        </w:rPr>
        <w:t xml:space="preserve"> batzuetatik abiatuta. Urtero </w:t>
      </w:r>
      <w:proofErr w:type="spellStart"/>
      <w:r>
        <w:rPr>
          <w:rFonts w:ascii="Calibri" w:hAnsi="Calibri"/>
        </w:rPr>
        <w:t>NJASean</w:t>
      </w:r>
      <w:proofErr w:type="spellEnd"/>
      <w:r>
        <w:rPr>
          <w:rFonts w:ascii="Calibri" w:hAnsi="Calibri"/>
        </w:rPr>
        <w:t xml:space="preserve"> sartu beharreko aldagaiak berrikusten dira; aldi honetan honako hauek dira: nekazaritzakoak ez diren Gizarte Segurantzaren afiliatuak, zerbitzuen sektoreko negozio-zifra (IASS</w:t>
      </w:r>
      <w:proofErr w:type="spellStart"/>
      <w:r>
        <w:rPr>
          <w:rFonts w:ascii="Calibri" w:hAnsi="Calibri"/>
        </w:rPr>
        <w:t>), g</w:t>
      </w:r>
      <w:proofErr w:type="spellEnd"/>
      <w:r>
        <w:rPr>
          <w:rFonts w:ascii="Calibri" w:hAnsi="Calibri"/>
        </w:rPr>
        <w:t>uztizko kontsumo elektrikoa eta ibilgailuen autobide-trafikoaren eguneroko batez besteko intentsitatea.</w:t>
      </w:r>
    </w:p>
    <w:p w:rsidR="00F927F6" w:rsidRPr="00F927F6" w:rsidRDefault="00F927F6" w:rsidP="00F927F6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Adierazle horietako bakoitzak Nafarroako </w:t>
      </w:r>
      <w:proofErr w:type="spellStart"/>
      <w:r>
        <w:rPr>
          <w:rFonts w:ascii="Calibri" w:hAnsi="Calibri"/>
        </w:rPr>
        <w:t>BPGarekin</w:t>
      </w:r>
      <w:proofErr w:type="spellEnd"/>
      <w:r>
        <w:rPr>
          <w:rFonts w:ascii="Calibri" w:hAnsi="Calibri"/>
        </w:rPr>
        <w:t xml:space="preserve"> duen korrelazioaren haztapenak eginez eta erregresio-eredu bat erabiliz, </w:t>
      </w:r>
      <w:proofErr w:type="spellStart"/>
      <w:r>
        <w:rPr>
          <w:rFonts w:ascii="Calibri" w:hAnsi="Calibri"/>
        </w:rPr>
        <w:t>NJASa</w:t>
      </w:r>
      <w:proofErr w:type="spellEnd"/>
      <w:r>
        <w:rPr>
          <w:rFonts w:ascii="Calibri" w:hAnsi="Calibri"/>
        </w:rPr>
        <w:t xml:space="preserve"> sortzen da. Kontuan hartu beharra dago neurketa kuantitatibo bat baino gehiago adierazle sintetiko bat dela, eta Nafarroako ekonomiaren bilakaeraren seinale kualitatibo bat ematen duela, ibilbidea goranzkoa ala beheranzkoa den informatuz.</w:t>
      </w:r>
    </w:p>
    <w:p w:rsidR="00F927F6" w:rsidRPr="00F927F6" w:rsidRDefault="00F927F6" w:rsidP="00F927F6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>Eredu Faktorial Dinamikoa</w:t>
      </w:r>
    </w:p>
    <w:p w:rsidR="00F927F6" w:rsidRPr="00F927F6" w:rsidRDefault="00F927F6" w:rsidP="00F927F6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Politika Ekonomikorako Unitatea autonomia erkidegoek osatuta dagoen eta </w:t>
      </w:r>
      <w:proofErr w:type="spellStart"/>
      <w:r>
        <w:rPr>
          <w:rFonts w:ascii="Calibri" w:hAnsi="Calibri"/>
        </w:rPr>
        <w:t>Airefek</w:t>
      </w:r>
      <w:proofErr w:type="spellEnd"/>
      <w:r>
        <w:rPr>
          <w:rFonts w:ascii="Calibri" w:hAnsi="Calibri"/>
        </w:rPr>
        <w:t xml:space="preserve"> sustatzen duen lantalde bateko kidea da. Lantalde horren helburua da metodologia </w:t>
      </w:r>
      <w:proofErr w:type="spellStart"/>
      <w:r>
        <w:rPr>
          <w:rFonts w:ascii="Calibri" w:hAnsi="Calibri"/>
        </w:rPr>
        <w:t>amankomun</w:t>
      </w:r>
      <w:proofErr w:type="spellEnd"/>
      <w:r>
        <w:rPr>
          <w:rFonts w:ascii="Calibri" w:hAnsi="Calibri"/>
        </w:rPr>
        <w:t xml:space="preserve"> bat ezartzea koadro </w:t>
      </w:r>
      <w:proofErr w:type="spellStart"/>
      <w:r>
        <w:rPr>
          <w:rFonts w:ascii="Calibri" w:hAnsi="Calibri"/>
        </w:rPr>
        <w:t>makroekonomiko</w:t>
      </w:r>
      <w:proofErr w:type="spellEnd"/>
      <w:r>
        <w:rPr>
          <w:rFonts w:ascii="Calibri" w:hAnsi="Calibri"/>
        </w:rPr>
        <w:t xml:space="preserve"> erregionala zenbatesteko. Lehenengo fase batean, hiruhileko </w:t>
      </w:r>
      <w:proofErr w:type="spellStart"/>
      <w:r>
        <w:rPr>
          <w:rFonts w:ascii="Calibri" w:hAnsi="Calibri"/>
        </w:rPr>
        <w:t>BPGaren</w:t>
      </w:r>
      <w:proofErr w:type="spellEnd"/>
      <w:r>
        <w:rPr>
          <w:rFonts w:ascii="Calibri" w:hAnsi="Calibri"/>
        </w:rPr>
        <w:t xml:space="preserve"> zenbatespen bat egiten hasi da, eta </w:t>
      </w:r>
      <w:proofErr w:type="spellStart"/>
      <w:r>
        <w:rPr>
          <w:rFonts w:ascii="Calibri" w:hAnsi="Calibri"/>
        </w:rPr>
        <w:t>Airefek</w:t>
      </w:r>
      <w:proofErr w:type="spellEnd"/>
      <w:r>
        <w:rPr>
          <w:rFonts w:ascii="Calibri" w:hAnsi="Calibri"/>
        </w:rPr>
        <w:t xml:space="preserve"> horretarako proposatzen du eredu faktorial dinamiko bat erabiltzea, bere METCAP ereduan oinarritua. Autonomia erkidego bakoitzak gero eredu hori egokitu ahalko du bere kasuistikari doitzeko.</w:t>
      </w:r>
    </w:p>
    <w:p w:rsidR="00F927F6" w:rsidRPr="00F927F6" w:rsidRDefault="00F927F6" w:rsidP="00F927F6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Analisi faktorialak faktore bakarrean biltzen du hilabeteko eta hiruhileko maiztasuna duten adierazle </w:t>
      </w:r>
      <w:proofErr w:type="spellStart"/>
      <w:r>
        <w:rPr>
          <w:rFonts w:ascii="Calibri" w:hAnsi="Calibri"/>
        </w:rPr>
        <w:t>koiunturalen</w:t>
      </w:r>
      <w:proofErr w:type="spellEnd"/>
      <w:r>
        <w:rPr>
          <w:rFonts w:ascii="Calibri" w:hAnsi="Calibri"/>
        </w:rPr>
        <w:t xml:space="preserve"> multzoa, eta gero faktore horren bidez </w:t>
      </w:r>
      <w:proofErr w:type="spellStart"/>
      <w:r>
        <w:rPr>
          <w:rFonts w:ascii="Calibri" w:hAnsi="Calibri"/>
        </w:rPr>
        <w:t>BPGaren</w:t>
      </w:r>
      <w:proofErr w:type="spellEnd"/>
      <w:r>
        <w:rPr>
          <w:rFonts w:ascii="Calibri" w:hAnsi="Calibri"/>
        </w:rPr>
        <w:t xml:space="preserve"> hiruhileko aldea zenbatesten du. Hasiera batean </w:t>
      </w:r>
      <w:proofErr w:type="spellStart"/>
      <w:r>
        <w:rPr>
          <w:rFonts w:ascii="Calibri" w:hAnsi="Calibri"/>
        </w:rPr>
        <w:t>Airefek</w:t>
      </w:r>
      <w:proofErr w:type="spellEnd"/>
      <w:r>
        <w:rPr>
          <w:rFonts w:ascii="Calibri" w:hAnsi="Calibri"/>
        </w:rPr>
        <w:t xml:space="preserve"> proposatzen dituen adierazleen bateria oso erabatekoa da, eta jarduera ekonomikoaren osagai guztiak hartzen ditu; honako hauek, besteak </w:t>
      </w:r>
      <w:proofErr w:type="spellStart"/>
      <w:r>
        <w:rPr>
          <w:rFonts w:ascii="Calibri" w:hAnsi="Calibri"/>
        </w:rPr>
        <w:t>beste</w:t>
      </w:r>
      <w:proofErr w:type="spellEnd"/>
      <w:r>
        <w:rPr>
          <w:rFonts w:ascii="Calibri" w:hAnsi="Calibri"/>
        </w:rPr>
        <w:t xml:space="preserve">: enplegua, ondasunen esportazioak eta inportazioak, autoen matrikulazioak, hoteletako gauak, txikizkako merkataritza, ekoizpen industrialeko zerbitzuen negozio-zifra, etxebizitzetarako emandako hipotekak, obra berriko zuzendaritza bisatuak, petrolio-produktuen kontsumoa, kredituak eta emandako gordailuak. Analisi faktoriala egiteko, soilik hautatzen dira </w:t>
      </w:r>
      <w:proofErr w:type="spellStart"/>
      <w:r>
        <w:rPr>
          <w:rFonts w:ascii="Calibri" w:hAnsi="Calibri"/>
        </w:rPr>
        <w:t>BPGarekin</w:t>
      </w:r>
      <w:proofErr w:type="spellEnd"/>
      <w:r>
        <w:rPr>
          <w:rFonts w:ascii="Calibri" w:hAnsi="Calibri"/>
        </w:rPr>
        <w:t xml:space="preserve"> 0,5eko gutxieneko korrelazio bat dutenak, eta ondoren, faktorea lortu ondoren, </w:t>
      </w:r>
      <w:proofErr w:type="spellStart"/>
      <w:r>
        <w:rPr>
          <w:rFonts w:ascii="Calibri" w:hAnsi="Calibri"/>
        </w:rPr>
        <w:t>BPGaren</w:t>
      </w:r>
      <w:proofErr w:type="spellEnd"/>
      <w:r>
        <w:rPr>
          <w:rFonts w:ascii="Calibri" w:hAnsi="Calibri"/>
        </w:rPr>
        <w:t xml:space="preserve"> aurreikuspena lortzen da.</w:t>
      </w:r>
    </w:p>
    <w:p w:rsidR="00F927F6" w:rsidRPr="00F927F6" w:rsidRDefault="00F927F6" w:rsidP="00F927F6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lastRenderedPageBreak/>
        <w:t xml:space="preserve">Metodologia horri jarraituz, eredu faktorial propio bat diseinatu da, Nafarroako hiruhilekoko </w:t>
      </w:r>
      <w:proofErr w:type="spellStart"/>
      <w:r>
        <w:rPr>
          <w:rFonts w:ascii="Calibri" w:hAnsi="Calibri"/>
        </w:rPr>
        <w:t>BPGa</w:t>
      </w:r>
      <w:proofErr w:type="spellEnd"/>
      <w:r>
        <w:rPr>
          <w:rFonts w:ascii="Calibri" w:hAnsi="Calibri"/>
        </w:rPr>
        <w:t xml:space="preserve"> zenbatesteko.</w:t>
      </w:r>
    </w:p>
    <w:p w:rsidR="00F320C5" w:rsidRDefault="00F927F6" w:rsidP="00F320C5">
      <w:pPr>
        <w:numPr>
          <w:ilvl w:val="0"/>
          <w:numId w:val="2"/>
        </w:num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Epe laburreko ereduen bitartez. </w:t>
      </w:r>
    </w:p>
    <w:p w:rsidR="00F927F6" w:rsidRPr="00F927F6" w:rsidRDefault="00F927F6" w:rsidP="00F320C5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Aurrez azaldutako tresnez gainera </w:t>
      </w:r>
      <w:proofErr w:type="spellStart"/>
      <w:r>
        <w:rPr>
          <w:rFonts w:ascii="Calibri" w:hAnsi="Calibri"/>
        </w:rPr>
        <w:t>—epe</w:t>
      </w:r>
      <w:proofErr w:type="spellEnd"/>
      <w:r>
        <w:rPr>
          <w:rFonts w:ascii="Calibri" w:hAnsi="Calibri"/>
        </w:rPr>
        <w:t xml:space="preserve"> ertainean ekonomia erregionalaren bilakaera aurreratzera orientatuta </w:t>
      </w:r>
      <w:proofErr w:type="spellStart"/>
      <w:r>
        <w:rPr>
          <w:rFonts w:ascii="Calibri" w:hAnsi="Calibri"/>
        </w:rPr>
        <w:t>daude—</w:t>
      </w:r>
      <w:proofErr w:type="spellEnd"/>
      <w:r>
        <w:rPr>
          <w:rFonts w:ascii="Calibri" w:hAnsi="Calibri"/>
        </w:rPr>
        <w:t xml:space="preserve">, beste tresna-bateria bat badago, Nafarroako Ekonomiak denbora-horizonte zabalago batean izanen duen jokaerari aurrea hartzeko. </w:t>
      </w:r>
    </w:p>
    <w:p w:rsidR="00F927F6" w:rsidRPr="00F927F6" w:rsidRDefault="00F927F6" w:rsidP="00F927F6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Horretarako, Nafarroako eta Espainiako ekonomiari buruz hainbat entitatek argitaratzen dituzten aurreikuspen </w:t>
      </w:r>
      <w:proofErr w:type="spellStart"/>
      <w:r>
        <w:rPr>
          <w:rFonts w:ascii="Calibri" w:hAnsi="Calibri"/>
        </w:rPr>
        <w:t>makroekonomikoak</w:t>
      </w:r>
      <w:proofErr w:type="spellEnd"/>
      <w:r>
        <w:rPr>
          <w:rFonts w:ascii="Calibri" w:hAnsi="Calibri"/>
        </w:rPr>
        <w:t xml:space="preserve"> bildu eta haien jarraipena egiten da. Hartara, honako hauen zenbatespenak jasotzen ditu: NMF, ELGA, Europako Batzordea, Ekonomia Ministerioa, Espainiako Bankua, </w:t>
      </w:r>
      <w:proofErr w:type="spellStart"/>
      <w:r>
        <w:rPr>
          <w:rFonts w:ascii="Calibri" w:hAnsi="Calibri"/>
        </w:rPr>
        <w:t>Airef</w:t>
      </w:r>
      <w:proofErr w:type="spellEnd"/>
      <w:r>
        <w:rPr>
          <w:rFonts w:ascii="Calibri" w:hAnsi="Calibri"/>
        </w:rPr>
        <w:t xml:space="preserve">, FUNCAS (Aurrezki Kutxen Fundazioa), AFI (Nazioarteko Analista Finantzarioak), CEOE, BBVA, Laboral Kutxa, CEPREDE (Aurreikuspen Ekonomikorako Zentroa), </w:t>
      </w:r>
      <w:proofErr w:type="spellStart"/>
      <w:r>
        <w:rPr>
          <w:rFonts w:ascii="Calibri" w:hAnsi="Calibri"/>
        </w:rPr>
        <w:t>Hispalink</w:t>
      </w:r>
      <w:proofErr w:type="spellEnd"/>
      <w:r>
        <w:rPr>
          <w:rFonts w:ascii="Calibri" w:hAnsi="Calibri"/>
        </w:rPr>
        <w:t xml:space="preserve"> eta Nafarroako Merkataritza eta Industria Ganbera. </w:t>
      </w:r>
    </w:p>
    <w:p w:rsidR="00F927F6" w:rsidRPr="00F927F6" w:rsidRDefault="00F927F6" w:rsidP="00F927F6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Aurreikuspen horiek oinarri bat dira ekitaldi bakoitzeko Nafarroako Aurrekontu Orokorrak oinarritzen dituen agertoki </w:t>
      </w:r>
      <w:proofErr w:type="spellStart"/>
      <w:r>
        <w:rPr>
          <w:rFonts w:ascii="Calibri" w:hAnsi="Calibri"/>
        </w:rPr>
        <w:t>makroekonomikoa</w:t>
      </w:r>
      <w:proofErr w:type="spellEnd"/>
      <w:r>
        <w:rPr>
          <w:rFonts w:ascii="Calibri" w:hAnsi="Calibri"/>
        </w:rPr>
        <w:t xml:space="preserve"> bere testuinguruan jartzeko, zeren eta lagungarri baitira ingurune ekonomiko erregionala hobeki kokatzeko. </w:t>
      </w:r>
    </w:p>
    <w:p w:rsidR="00F927F6" w:rsidRPr="00F927F6" w:rsidRDefault="00F927F6" w:rsidP="00F927F6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Koadro makroa osatzen duten aldagaiak </w:t>
      </w:r>
      <w:proofErr w:type="spellStart"/>
      <w:r>
        <w:rPr>
          <w:rFonts w:ascii="Calibri" w:hAnsi="Calibri"/>
        </w:rPr>
        <w:t>—BPG</w:t>
      </w:r>
      <w:proofErr w:type="spellEnd"/>
      <w:r>
        <w:rPr>
          <w:rFonts w:ascii="Calibri" w:hAnsi="Calibri"/>
        </w:rPr>
        <w:t xml:space="preserve"> erreala, BPG nominala, </w:t>
      </w:r>
      <w:proofErr w:type="spellStart"/>
      <w:r>
        <w:rPr>
          <w:rFonts w:ascii="Calibri" w:hAnsi="Calibri"/>
        </w:rPr>
        <w:t>BPGaren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deflaktatzailea</w:t>
      </w:r>
      <w:proofErr w:type="spellEnd"/>
      <w:r>
        <w:rPr>
          <w:rFonts w:ascii="Calibri" w:hAnsi="Calibri"/>
        </w:rPr>
        <w:t xml:space="preserve">, enplegua eta </w:t>
      </w:r>
      <w:proofErr w:type="spellStart"/>
      <w:r>
        <w:rPr>
          <w:rFonts w:ascii="Calibri" w:hAnsi="Calibri"/>
        </w:rPr>
        <w:t>KPIa—</w:t>
      </w:r>
      <w:proofErr w:type="spellEnd"/>
      <w:r>
        <w:rPr>
          <w:rFonts w:ascii="Calibri" w:hAnsi="Calibri"/>
        </w:rPr>
        <w:t xml:space="preserve"> zenbatesteko, hainbat tresna erabiltzen dira. Aldagai guztiek </w:t>
      </w:r>
      <w:proofErr w:type="spellStart"/>
      <w:r>
        <w:rPr>
          <w:rFonts w:ascii="Calibri" w:hAnsi="Calibri"/>
        </w:rPr>
        <w:t>amankomunean</w:t>
      </w:r>
      <w:proofErr w:type="spellEnd"/>
      <w:r>
        <w:rPr>
          <w:rFonts w:ascii="Calibri" w:hAnsi="Calibri"/>
        </w:rPr>
        <w:t xml:space="preserve"> dute aldagai bakarreko doikuntza bat egitea joera aztertzeko, baina horietako bakarren batean </w:t>
      </w:r>
      <w:proofErr w:type="spellStart"/>
      <w:r>
        <w:rPr>
          <w:rFonts w:ascii="Calibri" w:hAnsi="Calibri"/>
        </w:rPr>
        <w:t>—BPGa</w:t>
      </w:r>
      <w:proofErr w:type="spellEnd"/>
      <w:r>
        <w:rPr>
          <w:rFonts w:ascii="Calibri" w:hAnsi="Calibri"/>
        </w:rPr>
        <w:t xml:space="preserve"> edo </w:t>
      </w:r>
      <w:proofErr w:type="spellStart"/>
      <w:r>
        <w:rPr>
          <w:rFonts w:ascii="Calibri" w:hAnsi="Calibri"/>
        </w:rPr>
        <w:t>enplegua—</w:t>
      </w:r>
      <w:proofErr w:type="spellEnd"/>
      <w:r>
        <w:rPr>
          <w:rFonts w:ascii="Calibri" w:hAnsi="Calibri"/>
        </w:rPr>
        <w:t xml:space="preserve"> metodologia propioak erabiltzen dira. </w:t>
      </w:r>
    </w:p>
    <w:p w:rsidR="00345C6A" w:rsidRDefault="00F927F6" w:rsidP="00F927F6">
      <w:pPr>
        <w:spacing w:after="200" w:line="276" w:lineRule="auto"/>
        <w:jc w:val="both"/>
        <w:rPr>
          <w:rFonts w:ascii="Calibri" w:hAnsi="Calibri" w:cs="Arial"/>
        </w:rPr>
      </w:pPr>
      <w:proofErr w:type="spellStart"/>
      <w:r>
        <w:rPr>
          <w:rFonts w:ascii="Calibri" w:hAnsi="Calibri"/>
        </w:rPr>
        <w:t>BPGaren</w:t>
      </w:r>
      <w:proofErr w:type="spellEnd"/>
      <w:r>
        <w:rPr>
          <w:rFonts w:ascii="Calibri" w:hAnsi="Calibri"/>
        </w:rPr>
        <w:t xml:space="preserve"> kasuan, esate baterako, aldi baterako eredu kausal bat zenbatesten da, zeinak bere baitan aldagai independente moduan Estatuko </w:t>
      </w:r>
      <w:proofErr w:type="spellStart"/>
      <w:r>
        <w:rPr>
          <w:rFonts w:ascii="Calibri" w:hAnsi="Calibri"/>
        </w:rPr>
        <w:t>BPGa</w:t>
      </w:r>
      <w:proofErr w:type="spellEnd"/>
      <w:r>
        <w:rPr>
          <w:rFonts w:ascii="Calibri" w:hAnsi="Calibri"/>
        </w:rPr>
        <w:t xml:space="preserve"> jasotzen baita, eta eskaintzaren eta eskariaren osagaietako bakoitzaren eredua ezartzen da. Enpleguan, bestalde, eredu </w:t>
      </w:r>
      <w:proofErr w:type="spellStart"/>
      <w:r>
        <w:rPr>
          <w:rFonts w:ascii="Calibri" w:hAnsi="Calibri"/>
        </w:rPr>
        <w:t>ekonometriko</w:t>
      </w:r>
      <w:proofErr w:type="spellEnd"/>
      <w:r>
        <w:rPr>
          <w:rFonts w:ascii="Calibri" w:hAnsi="Calibri"/>
        </w:rPr>
        <w:t xml:space="preserve"> propio bat erabiltzen da, Nafarroako landunak eta </w:t>
      </w:r>
      <w:proofErr w:type="spellStart"/>
      <w:r>
        <w:rPr>
          <w:rFonts w:ascii="Calibri" w:hAnsi="Calibri"/>
        </w:rPr>
        <w:t>BEGa</w:t>
      </w:r>
      <w:proofErr w:type="spellEnd"/>
      <w:r>
        <w:rPr>
          <w:rFonts w:ascii="Calibri" w:hAnsi="Calibri"/>
        </w:rPr>
        <w:t xml:space="preserve"> erlazionatzen dituena; haren arabera, izan ere, urte bakoitzeko enpleguaren bilakaera </w:t>
      </w:r>
      <w:proofErr w:type="spellStart"/>
      <w:r>
        <w:rPr>
          <w:rFonts w:ascii="Calibri" w:hAnsi="Calibri"/>
        </w:rPr>
        <w:t>BEGaren</w:t>
      </w:r>
      <w:proofErr w:type="spellEnd"/>
      <w:r>
        <w:rPr>
          <w:rFonts w:ascii="Calibri" w:hAnsi="Calibri"/>
        </w:rPr>
        <w:t xml:space="preserve"> hazkundearen baitan ez ezik, aurreko urteko enpleguaren bilakaeraren baitan ere egonen da.</w:t>
      </w:r>
    </w:p>
    <w:p w:rsidR="00F927F6" w:rsidRPr="00F320C5" w:rsidRDefault="00F927F6" w:rsidP="00F927F6">
      <w:pPr>
        <w:spacing w:after="200" w:line="276" w:lineRule="auto"/>
        <w:jc w:val="both"/>
        <w:rPr>
          <w:rFonts w:ascii="Calibri" w:hAnsi="Calibri" w:cs="Arial"/>
          <w:b/>
          <w:i/>
        </w:rPr>
      </w:pPr>
      <w:r>
        <w:rPr>
          <w:rFonts w:ascii="Calibri" w:hAnsi="Calibri"/>
          <w:b/>
          <w:i/>
        </w:rPr>
        <w:t>Zer neurri berezi hartu ditu edo hartu gogo ditu Gobernuak alderdi ekonomikoari dagokionez?</w:t>
      </w:r>
    </w:p>
    <w:p w:rsidR="00345C6A" w:rsidRDefault="00924E7C" w:rsidP="00F927F6">
      <w:pPr>
        <w:spacing w:after="200" w:line="276" w:lineRule="auto"/>
        <w:jc w:val="both"/>
      </w:pPr>
      <w:r>
        <w:t xml:space="preserve">Garapen Ekonomiko eta </w:t>
      </w:r>
      <w:proofErr w:type="spellStart"/>
      <w:r>
        <w:t>Enpresarialeko</w:t>
      </w:r>
      <w:proofErr w:type="spellEnd"/>
      <w:r>
        <w:t xml:space="preserve"> kontseilariak </w:t>
      </w:r>
      <w:hyperlink r:id="rId8" w:history="1">
        <w:r>
          <w:rPr>
            <w:rStyle w:val="Hipervnculo"/>
            <w:rFonts w:ascii="Calibri" w:hAnsi="Calibri"/>
          </w:rPr>
          <w:t>2019ko irailaren 18an egin zuen hasierako agerraldian</w:t>
        </w:r>
      </w:hyperlink>
      <w:r>
        <w:t xml:space="preserve"> legegintzaldi honetan garatu beharreko jarduketa-ildoak zehaztu zituen.</w:t>
      </w:r>
      <w:r>
        <w:rPr>
          <w:rFonts w:ascii="Calibri" w:hAnsi="Calibri"/>
        </w:rPr>
        <w:t xml:space="preserve"> Data horretan, makroekonomiaren agertokian jada ikusten zen hazkunde ekonomikoa moteltzen ari zela, eta, beraz, proposatutako neurriek bizi dugun errealitateari erantzuten diote. Harrezkero, Garapen Ekonomiko eta </w:t>
      </w:r>
      <w:proofErr w:type="spellStart"/>
      <w:r>
        <w:rPr>
          <w:rFonts w:ascii="Calibri" w:hAnsi="Calibri"/>
        </w:rPr>
        <w:t>Enpresarialeko</w:t>
      </w:r>
      <w:proofErr w:type="spellEnd"/>
      <w:r>
        <w:rPr>
          <w:rFonts w:ascii="Calibri" w:hAnsi="Calibri"/>
        </w:rPr>
        <w:t xml:space="preserve"> Departamentua legegintzaldirako laneko planean jasotako neurrien zati bat ezartzen joan da, eta gainerakoak ezartzen jarraituko du etorkizunean ere, espezializazio adimendunaren estrategian identifikatutako sektore estrategikoak eta lehiakortasun-faktore </w:t>
      </w:r>
      <w:proofErr w:type="spellStart"/>
      <w:r>
        <w:rPr>
          <w:rFonts w:ascii="Calibri" w:hAnsi="Calibri"/>
        </w:rPr>
        <w:t>transbertsalak</w:t>
      </w:r>
      <w:proofErr w:type="spellEnd"/>
      <w:r>
        <w:rPr>
          <w:rFonts w:ascii="Calibri" w:hAnsi="Calibri"/>
        </w:rPr>
        <w:t xml:space="preserve"> indartzen lagunduko duten neurri osagarriekin batera</w:t>
      </w:r>
      <w:r>
        <w:t>.</w:t>
      </w:r>
    </w:p>
    <w:p w:rsidR="00F927F6" w:rsidRPr="00181FEE" w:rsidRDefault="00F927F6" w:rsidP="00F927F6">
      <w:pPr>
        <w:spacing w:after="200" w:line="276" w:lineRule="auto"/>
        <w:jc w:val="both"/>
        <w:rPr>
          <w:rFonts w:ascii="Calibri" w:hAnsi="Calibri" w:cs="Arial"/>
          <w:b/>
          <w:i/>
        </w:rPr>
      </w:pPr>
      <w:r>
        <w:rPr>
          <w:rFonts w:ascii="Calibri" w:hAnsi="Calibri"/>
          <w:b/>
          <w:i/>
        </w:rPr>
        <w:t>Zer aurreikuspen ekonomiko aldatu dira azken asteotan azaleratu diren ebidentzien ondorioz?</w:t>
      </w:r>
    </w:p>
    <w:p w:rsidR="00F927F6" w:rsidRPr="00F927F6" w:rsidRDefault="00F927F6" w:rsidP="00F927F6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Nazioarte mailan turbulentziak dauden arren, oraingoz arrazoi objektiborik ez dago Gobernuak dituen aurreikuspen ekonomikoak berrikustea justifikatzen duenik. Egia da adierazle </w:t>
      </w:r>
      <w:proofErr w:type="spellStart"/>
      <w:r>
        <w:rPr>
          <w:rFonts w:ascii="Calibri" w:hAnsi="Calibri"/>
        </w:rPr>
        <w:t>koiuntural</w:t>
      </w:r>
      <w:proofErr w:type="spellEnd"/>
      <w:r>
        <w:rPr>
          <w:rFonts w:ascii="Calibri" w:hAnsi="Calibri"/>
        </w:rPr>
        <w:t xml:space="preserve"> batzuk agortze-sintomak ematen hasi direla, baina goiz da epe laburrean eta ertainean produkzioaren eta enpleguaren </w:t>
      </w:r>
      <w:proofErr w:type="spellStart"/>
      <w:r>
        <w:rPr>
          <w:rFonts w:ascii="Calibri" w:hAnsi="Calibri"/>
        </w:rPr>
        <w:t>makromagnitudeak</w:t>
      </w:r>
      <w:proofErr w:type="spellEnd"/>
      <w:r>
        <w:rPr>
          <w:rFonts w:ascii="Calibri" w:hAnsi="Calibri"/>
        </w:rPr>
        <w:t xml:space="preserve"> nola kaltetu daitezkeen neurtzeko. </w:t>
      </w:r>
    </w:p>
    <w:p w:rsidR="00F927F6" w:rsidRPr="00F927F6" w:rsidRDefault="00F927F6" w:rsidP="00F927F6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Jarraian, Nafarroako egungo agertoki </w:t>
      </w:r>
      <w:proofErr w:type="spellStart"/>
      <w:r>
        <w:rPr>
          <w:rFonts w:ascii="Calibri" w:hAnsi="Calibri"/>
        </w:rPr>
        <w:t>makroekonomikoa</w:t>
      </w:r>
      <w:proofErr w:type="spellEnd"/>
      <w:r>
        <w:rPr>
          <w:rFonts w:ascii="Calibri" w:hAnsi="Calibri"/>
        </w:rPr>
        <w:t xml:space="preserve"> aurkezten dugu, zeina 2020ko Nafarroako Aurrekontu Orokorrak egiteko oinarri gisa erabiltzen ari baita. Azken gertaera </w:t>
      </w:r>
      <w:proofErr w:type="spellStart"/>
      <w:r>
        <w:rPr>
          <w:rFonts w:ascii="Calibri" w:hAnsi="Calibri"/>
        </w:rPr>
        <w:t>koiunturalek</w:t>
      </w:r>
      <w:proofErr w:type="spellEnd"/>
      <w:r>
        <w:rPr>
          <w:rFonts w:ascii="Calibri" w:hAnsi="Calibri"/>
        </w:rPr>
        <w:t xml:space="preserve"> energiaren prezioan eta kanbio-tasan eragin nabarmenik izan ez dutenez, eta banku zentralek beren diru-politikaren egokitze-joerari eusten diotenez, prezioen eta kostuen aldagaiei buruzko proiekzioek, hau da, </w:t>
      </w:r>
      <w:proofErr w:type="spellStart"/>
      <w:r>
        <w:rPr>
          <w:rFonts w:ascii="Calibri" w:hAnsi="Calibri"/>
        </w:rPr>
        <w:t>KPIari</w:t>
      </w:r>
      <w:proofErr w:type="spellEnd"/>
      <w:r>
        <w:rPr>
          <w:rFonts w:ascii="Calibri" w:hAnsi="Calibri"/>
        </w:rPr>
        <w:t xml:space="preserve"> eta </w:t>
      </w:r>
      <w:proofErr w:type="spellStart"/>
      <w:r>
        <w:rPr>
          <w:rFonts w:ascii="Calibri" w:hAnsi="Calibri"/>
        </w:rPr>
        <w:t>BPGaren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deflaktatzaile</w:t>
      </w:r>
      <w:proofErr w:type="spellEnd"/>
      <w:r>
        <w:rPr>
          <w:rFonts w:ascii="Calibri" w:hAnsi="Calibri"/>
        </w:rPr>
        <w:t xml:space="preserve"> inplizituari buruzkoek, aldaketarik gabe jarraitzen dute 2019rako eta 2020rako.</w:t>
      </w:r>
    </w:p>
    <w:p w:rsidR="00F927F6" w:rsidRPr="00F927F6" w:rsidRDefault="00F927F6" w:rsidP="00F927F6">
      <w:pPr>
        <w:pStyle w:val="Prrafodelista"/>
        <w:spacing w:after="0" w:line="300" w:lineRule="exact"/>
        <w:ind w:left="0"/>
        <w:jc w:val="center"/>
        <w:rPr>
          <w:rFonts w:cs="Arial"/>
          <w:sz w:val="20"/>
          <w:szCs w:val="20"/>
          <w:u w:val="single"/>
        </w:rPr>
      </w:pPr>
      <w:r>
        <w:rPr>
          <w:sz w:val="20"/>
          <w:szCs w:val="20"/>
          <w:u w:val="single"/>
        </w:rPr>
        <w:t>2019-2020 URTEETAKO NAFARROAKO KOADRO MAKROEKONOMIKOA</w:t>
      </w:r>
    </w:p>
    <w:p w:rsidR="00F927F6" w:rsidRPr="00F927F6" w:rsidRDefault="00F927F6" w:rsidP="00F927F6">
      <w:pPr>
        <w:rPr>
          <w:rFonts w:ascii="Calibri" w:hAnsi="Calibri"/>
          <w:b/>
        </w:rPr>
      </w:pPr>
    </w:p>
    <w:tbl>
      <w:tblPr>
        <w:tblW w:w="5130" w:type="dxa"/>
        <w:jc w:val="center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2700"/>
        <w:gridCol w:w="1215"/>
        <w:gridCol w:w="1215"/>
      </w:tblGrid>
      <w:tr w:rsidR="00F927F6" w:rsidRPr="00F927F6" w:rsidTr="00A07485">
        <w:trPr>
          <w:trHeight w:val="674"/>
          <w:jc w:val="center"/>
        </w:trPr>
        <w:tc>
          <w:tcPr>
            <w:tcW w:w="2700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</w:tcPr>
          <w:p w:rsidR="00F927F6" w:rsidRPr="00F927F6" w:rsidRDefault="00F927F6" w:rsidP="00A07485">
            <w:pPr>
              <w:jc w:val="both"/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</w:tcPr>
          <w:p w:rsidR="00F927F6" w:rsidRPr="00F927F6" w:rsidRDefault="00F927F6" w:rsidP="00A07485">
            <w:pPr>
              <w:jc w:val="center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/>
                <w:sz w:val="20"/>
              </w:rPr>
              <w:t>2019(p)</w:t>
            </w:r>
          </w:p>
        </w:tc>
        <w:tc>
          <w:tcPr>
            <w:tcW w:w="1215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vAlign w:val="center"/>
          </w:tcPr>
          <w:p w:rsidR="00F927F6" w:rsidRPr="00F927F6" w:rsidRDefault="00F927F6" w:rsidP="00A07485">
            <w:pPr>
              <w:jc w:val="center"/>
              <w:rPr>
                <w:rFonts w:ascii="Calibri" w:hAnsi="Calibri" w:cs="Arial"/>
                <w:bCs/>
                <w:sz w:val="20"/>
              </w:rPr>
            </w:pPr>
            <w:r>
              <w:rPr>
                <w:rFonts w:ascii="Calibri" w:hAnsi="Calibri"/>
                <w:sz w:val="20"/>
              </w:rPr>
              <w:t>2020(p)</w:t>
            </w:r>
          </w:p>
        </w:tc>
      </w:tr>
      <w:tr w:rsidR="00F927F6" w:rsidRPr="00F927F6" w:rsidTr="00A07485">
        <w:trPr>
          <w:trHeight w:val="376"/>
          <w:jc w:val="center"/>
        </w:trPr>
        <w:tc>
          <w:tcPr>
            <w:tcW w:w="2700" w:type="dxa"/>
            <w:tcBorders>
              <w:top w:val="single" w:sz="8" w:space="0" w:color="7F7F7F"/>
              <w:left w:val="nil"/>
              <w:bottom w:val="nil"/>
              <w:right w:val="nil"/>
            </w:tcBorders>
            <w:shd w:val="clear" w:color="auto" w:fill="B6DDE8"/>
            <w:vAlign w:val="center"/>
          </w:tcPr>
          <w:p w:rsidR="00F927F6" w:rsidRPr="00F927F6" w:rsidRDefault="00F927F6" w:rsidP="00A07485">
            <w:pPr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BPG erreala </w:t>
            </w:r>
          </w:p>
        </w:tc>
        <w:tc>
          <w:tcPr>
            <w:tcW w:w="1215" w:type="dxa"/>
            <w:tcBorders>
              <w:top w:val="single" w:sz="8" w:space="0" w:color="7F7F7F"/>
              <w:left w:val="nil"/>
              <w:bottom w:val="nil"/>
              <w:right w:val="nil"/>
            </w:tcBorders>
            <w:shd w:val="clear" w:color="auto" w:fill="B6DDE8"/>
            <w:vAlign w:val="center"/>
          </w:tcPr>
          <w:p w:rsidR="00F927F6" w:rsidRPr="00F927F6" w:rsidRDefault="00F927F6" w:rsidP="00A07485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20"/>
              </w:rPr>
              <w:t>2,7</w:t>
            </w:r>
          </w:p>
        </w:tc>
        <w:tc>
          <w:tcPr>
            <w:tcW w:w="1215" w:type="dxa"/>
            <w:tcBorders>
              <w:top w:val="single" w:sz="8" w:space="0" w:color="7F7F7F"/>
              <w:left w:val="nil"/>
              <w:bottom w:val="nil"/>
              <w:right w:val="nil"/>
            </w:tcBorders>
            <w:shd w:val="clear" w:color="auto" w:fill="B6DDE8"/>
            <w:vAlign w:val="center"/>
          </w:tcPr>
          <w:p w:rsidR="00F927F6" w:rsidRPr="00F927F6" w:rsidRDefault="00F927F6" w:rsidP="00A07485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20"/>
              </w:rPr>
              <w:t>2,2</w:t>
            </w:r>
          </w:p>
        </w:tc>
      </w:tr>
      <w:tr w:rsidR="00F927F6" w:rsidRPr="00F927F6" w:rsidTr="00A07485">
        <w:trPr>
          <w:trHeight w:val="337"/>
          <w:jc w:val="center"/>
        </w:trPr>
        <w:tc>
          <w:tcPr>
            <w:tcW w:w="2700" w:type="dxa"/>
            <w:tcBorders>
              <w:top w:val="nil"/>
            </w:tcBorders>
            <w:vAlign w:val="center"/>
          </w:tcPr>
          <w:p w:rsidR="00F927F6" w:rsidRPr="00F927F6" w:rsidRDefault="00F927F6" w:rsidP="00A0748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20"/>
              </w:rPr>
              <w:t>BPG nominala</w:t>
            </w:r>
          </w:p>
        </w:tc>
        <w:tc>
          <w:tcPr>
            <w:tcW w:w="1215" w:type="dxa"/>
            <w:tcBorders>
              <w:top w:val="nil"/>
            </w:tcBorders>
            <w:vAlign w:val="center"/>
          </w:tcPr>
          <w:p w:rsidR="00F927F6" w:rsidRPr="00F927F6" w:rsidRDefault="00F927F6" w:rsidP="00A07485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20"/>
              </w:rPr>
              <w:t>3,7</w:t>
            </w:r>
          </w:p>
        </w:tc>
        <w:tc>
          <w:tcPr>
            <w:tcW w:w="1215" w:type="dxa"/>
            <w:tcBorders>
              <w:top w:val="nil"/>
            </w:tcBorders>
            <w:vAlign w:val="center"/>
          </w:tcPr>
          <w:p w:rsidR="00F927F6" w:rsidRPr="00F927F6" w:rsidRDefault="00F927F6" w:rsidP="00A07485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20"/>
              </w:rPr>
              <w:t>3,1</w:t>
            </w:r>
          </w:p>
        </w:tc>
      </w:tr>
      <w:tr w:rsidR="00F927F6" w:rsidRPr="00F927F6" w:rsidTr="00A07485">
        <w:trPr>
          <w:trHeight w:val="414"/>
          <w:jc w:val="center"/>
        </w:trPr>
        <w:tc>
          <w:tcPr>
            <w:tcW w:w="2700" w:type="dxa"/>
            <w:tcBorders>
              <w:left w:val="nil"/>
              <w:right w:val="nil"/>
            </w:tcBorders>
            <w:shd w:val="clear" w:color="auto" w:fill="B6DDE8"/>
            <w:vAlign w:val="center"/>
          </w:tcPr>
          <w:p w:rsidR="00F927F6" w:rsidRPr="00F927F6" w:rsidRDefault="00F927F6" w:rsidP="00A07485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BPGaren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deflaktatzailea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215" w:type="dxa"/>
            <w:tcBorders>
              <w:left w:val="nil"/>
              <w:right w:val="nil"/>
            </w:tcBorders>
            <w:shd w:val="clear" w:color="auto" w:fill="B6DDE8"/>
            <w:vAlign w:val="center"/>
          </w:tcPr>
          <w:p w:rsidR="00F927F6" w:rsidRPr="00F927F6" w:rsidRDefault="00F927F6" w:rsidP="00A07485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20"/>
              </w:rPr>
              <w:t>1,0</w:t>
            </w:r>
          </w:p>
        </w:tc>
        <w:tc>
          <w:tcPr>
            <w:tcW w:w="1215" w:type="dxa"/>
            <w:tcBorders>
              <w:left w:val="nil"/>
              <w:right w:val="nil"/>
            </w:tcBorders>
            <w:shd w:val="clear" w:color="auto" w:fill="B6DDE8"/>
            <w:vAlign w:val="center"/>
          </w:tcPr>
          <w:p w:rsidR="00F927F6" w:rsidRPr="00F927F6" w:rsidRDefault="00F927F6" w:rsidP="00A07485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20"/>
              </w:rPr>
              <w:t>0,9</w:t>
            </w:r>
          </w:p>
        </w:tc>
      </w:tr>
      <w:tr w:rsidR="00F927F6" w:rsidRPr="00F927F6" w:rsidTr="00A07485">
        <w:trPr>
          <w:trHeight w:val="341"/>
          <w:jc w:val="center"/>
        </w:trPr>
        <w:tc>
          <w:tcPr>
            <w:tcW w:w="2700" w:type="dxa"/>
            <w:vAlign w:val="center"/>
          </w:tcPr>
          <w:p w:rsidR="00F927F6" w:rsidRPr="00F927F6" w:rsidRDefault="00F927F6" w:rsidP="00A0748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Enplegua </w:t>
            </w:r>
          </w:p>
        </w:tc>
        <w:tc>
          <w:tcPr>
            <w:tcW w:w="1215" w:type="dxa"/>
            <w:vAlign w:val="center"/>
          </w:tcPr>
          <w:p w:rsidR="00F927F6" w:rsidRPr="00F927F6" w:rsidRDefault="00F927F6" w:rsidP="00A07485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20"/>
              </w:rPr>
              <w:t>2,2</w:t>
            </w:r>
          </w:p>
        </w:tc>
        <w:tc>
          <w:tcPr>
            <w:tcW w:w="1215" w:type="dxa"/>
            <w:vAlign w:val="center"/>
          </w:tcPr>
          <w:p w:rsidR="00F927F6" w:rsidRPr="00F927F6" w:rsidRDefault="00F927F6" w:rsidP="00A07485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20"/>
              </w:rPr>
              <w:t>1,6</w:t>
            </w:r>
          </w:p>
        </w:tc>
      </w:tr>
      <w:tr w:rsidR="00F927F6" w:rsidRPr="00F927F6" w:rsidTr="00A07485">
        <w:trPr>
          <w:trHeight w:val="363"/>
          <w:jc w:val="center"/>
        </w:trPr>
        <w:tc>
          <w:tcPr>
            <w:tcW w:w="2700" w:type="dxa"/>
            <w:tcBorders>
              <w:left w:val="nil"/>
              <w:bottom w:val="single" w:sz="8" w:space="0" w:color="7F7F7F"/>
              <w:right w:val="nil"/>
            </w:tcBorders>
            <w:shd w:val="clear" w:color="auto" w:fill="B6DDE8"/>
            <w:vAlign w:val="center"/>
          </w:tcPr>
          <w:p w:rsidR="00F927F6" w:rsidRPr="00F927F6" w:rsidRDefault="00F927F6" w:rsidP="00A07485">
            <w:pPr>
              <w:rPr>
                <w:rFonts w:ascii="Calibri" w:hAnsi="Calibri" w:cs="Arial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KPIa</w:t>
            </w:r>
            <w:proofErr w:type="spellEnd"/>
            <w:r>
              <w:rPr>
                <w:rFonts w:ascii="Calibri" w:hAnsi="Calibri"/>
                <w:sz w:val="20"/>
              </w:rPr>
              <w:t xml:space="preserve"> (urteko batez bestekoa) </w:t>
            </w:r>
          </w:p>
        </w:tc>
        <w:tc>
          <w:tcPr>
            <w:tcW w:w="1215" w:type="dxa"/>
            <w:tcBorders>
              <w:left w:val="nil"/>
              <w:bottom w:val="single" w:sz="8" w:space="0" w:color="7F7F7F"/>
              <w:right w:val="nil"/>
            </w:tcBorders>
            <w:shd w:val="clear" w:color="auto" w:fill="B6DDE8"/>
            <w:vAlign w:val="center"/>
          </w:tcPr>
          <w:p w:rsidR="00F927F6" w:rsidRPr="00F927F6" w:rsidRDefault="00F927F6" w:rsidP="00A07485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20"/>
              </w:rPr>
              <w:t>1,2</w:t>
            </w:r>
          </w:p>
        </w:tc>
        <w:tc>
          <w:tcPr>
            <w:tcW w:w="1215" w:type="dxa"/>
            <w:tcBorders>
              <w:left w:val="nil"/>
              <w:bottom w:val="single" w:sz="8" w:space="0" w:color="7F7F7F"/>
              <w:right w:val="nil"/>
            </w:tcBorders>
            <w:shd w:val="clear" w:color="auto" w:fill="B6DDE8"/>
            <w:vAlign w:val="center"/>
          </w:tcPr>
          <w:p w:rsidR="00F927F6" w:rsidRPr="00F927F6" w:rsidRDefault="00F927F6" w:rsidP="00A07485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/>
                <w:sz w:val="20"/>
              </w:rPr>
              <w:t>1,4</w:t>
            </w:r>
          </w:p>
        </w:tc>
      </w:tr>
    </w:tbl>
    <w:p w:rsidR="00345C6A" w:rsidRDefault="00F927F6" w:rsidP="00F927F6">
      <w:pPr>
        <w:spacing w:before="120" w:line="300" w:lineRule="exact"/>
        <w:ind w:left="1416" w:firstLine="708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 xml:space="preserve">(p) Aurreikuspena.          </w:t>
      </w:r>
    </w:p>
    <w:p w:rsidR="00345C6A" w:rsidRDefault="00345C6A" w:rsidP="00181FEE">
      <w:pPr>
        <w:spacing w:after="200" w:line="276" w:lineRule="auto"/>
        <w:jc w:val="both"/>
        <w:rPr>
          <w:rFonts w:ascii="Calibri" w:hAnsi="Calibri" w:cs="Arial"/>
          <w:lang w:eastAsia="en-US"/>
        </w:rPr>
      </w:pPr>
    </w:p>
    <w:p w:rsidR="00345C6A" w:rsidRDefault="00F927F6" w:rsidP="00181FEE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Jarraian azaltzen den bezala, </w:t>
      </w:r>
      <w:proofErr w:type="spellStart"/>
      <w:r>
        <w:rPr>
          <w:rFonts w:ascii="Calibri" w:hAnsi="Calibri"/>
        </w:rPr>
        <w:t>BPGari</w:t>
      </w:r>
      <w:proofErr w:type="spellEnd"/>
      <w:r>
        <w:rPr>
          <w:rFonts w:ascii="Calibri" w:hAnsi="Calibri"/>
        </w:rPr>
        <w:t xml:space="preserve"> eta enpleguari buruzkoak ere mantendu egin dira. 2019ko ekitaldirako aldagai horien hazkunde-helburuak, % 2,7 eta % 2,2 hurrenez </w:t>
      </w:r>
      <w:proofErr w:type="spellStart"/>
      <w:r>
        <w:rPr>
          <w:rFonts w:ascii="Calibri" w:hAnsi="Calibri"/>
        </w:rPr>
        <w:t>hurren</w:t>
      </w:r>
      <w:proofErr w:type="spellEnd"/>
      <w:r>
        <w:rPr>
          <w:rFonts w:ascii="Calibri" w:hAnsi="Calibri"/>
        </w:rPr>
        <w:t xml:space="preserve">, betetzeko bidean daude; hirugarren hiruhilekora arte, </w:t>
      </w:r>
      <w:proofErr w:type="spellStart"/>
      <w:r>
        <w:rPr>
          <w:rFonts w:ascii="Calibri" w:hAnsi="Calibri"/>
        </w:rPr>
        <w:t>BPGk</w:t>
      </w:r>
      <w:proofErr w:type="spellEnd"/>
      <w:r>
        <w:rPr>
          <w:rFonts w:ascii="Calibri" w:hAnsi="Calibri"/>
        </w:rPr>
        <w:t xml:space="preserve"> % 2,7ko aldakuntza-tasa metatua zuen, urteko aurreikuspenaren ildotik, eta enpleguak (Iturria: Nafarroako Hiruhilekoko Kontabilitatea), zeinaren urteko lehen erdia baizik ez baita ezagutzen, % 2,7ko hazkundea izan du, ehuneko puntu erdi bat urte osorako espero den % 2,2aren gainetik. </w:t>
      </w:r>
    </w:p>
    <w:p w:rsidR="00345C6A" w:rsidRDefault="00F927F6" w:rsidP="00181FEE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Ia ez da ezagutzen laugarren hiruhilekoari buruzko informazio </w:t>
      </w:r>
      <w:proofErr w:type="spellStart"/>
      <w:r>
        <w:rPr>
          <w:rFonts w:ascii="Calibri" w:hAnsi="Calibri"/>
        </w:rPr>
        <w:t>koiunturalik</w:t>
      </w:r>
      <w:proofErr w:type="spellEnd"/>
      <w:r>
        <w:rPr>
          <w:rFonts w:ascii="Calibri" w:hAnsi="Calibri"/>
        </w:rPr>
        <w:t xml:space="preserve">, baina enpleguari buruzko lehen datuek </w:t>
      </w:r>
      <w:proofErr w:type="spellStart"/>
      <w:r>
        <w:rPr>
          <w:rFonts w:ascii="Calibri" w:hAnsi="Calibri"/>
        </w:rPr>
        <w:t>—Gizarte</w:t>
      </w:r>
      <w:proofErr w:type="spellEnd"/>
      <w:r>
        <w:rPr>
          <w:rFonts w:ascii="Calibri" w:hAnsi="Calibri"/>
        </w:rPr>
        <w:t xml:space="preserve"> Segurantzako afiliazioak % 2,7 hazi ziren urrian, iraileko erritmo </w:t>
      </w:r>
      <w:proofErr w:type="spellStart"/>
      <w:r>
        <w:rPr>
          <w:rFonts w:ascii="Calibri" w:hAnsi="Calibri"/>
        </w:rPr>
        <w:t>berean—</w:t>
      </w:r>
      <w:proofErr w:type="spellEnd"/>
      <w:r>
        <w:rPr>
          <w:rFonts w:ascii="Calibri" w:hAnsi="Calibri"/>
        </w:rPr>
        <w:t xml:space="preserve"> eta konfiantzari buruzko datuek ez dute adierazten lurraldearen egoera ekonomikoak okerrera egin duenik.</w:t>
      </w:r>
    </w:p>
    <w:p w:rsidR="00345C6A" w:rsidRDefault="00F927F6" w:rsidP="00181FEE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2020. urterako, </w:t>
      </w:r>
      <w:proofErr w:type="spellStart"/>
      <w:r>
        <w:rPr>
          <w:rFonts w:ascii="Calibri" w:hAnsi="Calibri"/>
        </w:rPr>
        <w:t>BPGaren</w:t>
      </w:r>
      <w:proofErr w:type="spellEnd"/>
      <w:r>
        <w:rPr>
          <w:rFonts w:ascii="Calibri" w:hAnsi="Calibri"/>
        </w:rPr>
        <w:t xml:space="preserve"> eta enpleguaren aurreikuspenak % 2,2 eta % 1,6 dira, hurrenez </w:t>
      </w:r>
      <w:proofErr w:type="spellStart"/>
      <w:r>
        <w:rPr>
          <w:rFonts w:ascii="Calibri" w:hAnsi="Calibri"/>
        </w:rPr>
        <w:t>hurren</w:t>
      </w:r>
      <w:proofErr w:type="spellEnd"/>
      <w:r>
        <w:rPr>
          <w:rFonts w:ascii="Calibri" w:hAnsi="Calibri"/>
        </w:rPr>
        <w:t xml:space="preserve">. Gogora ekarri behar da proiekzio horiek zuhurtzat jo zituela </w:t>
      </w:r>
      <w:proofErr w:type="spellStart"/>
      <w:r>
        <w:rPr>
          <w:rFonts w:ascii="Calibri" w:hAnsi="Calibri"/>
        </w:rPr>
        <w:t>Airefek</w:t>
      </w:r>
      <w:proofErr w:type="spellEnd"/>
      <w:r>
        <w:rPr>
          <w:rFonts w:ascii="Calibri" w:hAnsi="Calibri"/>
        </w:rPr>
        <w:t xml:space="preserve"> irailaren 6an igorritako 55/19 TXOSTENEAN, eta aurreikuspen-erakundeek </w:t>
      </w:r>
      <w:proofErr w:type="spellStart"/>
      <w:r>
        <w:rPr>
          <w:rFonts w:ascii="Calibri" w:hAnsi="Calibri"/>
        </w:rPr>
        <w:t>—Laboral</w:t>
      </w:r>
      <w:proofErr w:type="spellEnd"/>
      <w:r>
        <w:rPr>
          <w:rFonts w:ascii="Calibri" w:hAnsi="Calibri"/>
        </w:rPr>
        <w:t xml:space="preserve"> Kutxak </w:t>
      </w:r>
      <w:proofErr w:type="spellStart"/>
      <w:r>
        <w:rPr>
          <w:rFonts w:ascii="Calibri" w:hAnsi="Calibri"/>
        </w:rPr>
        <w:t>kasu—</w:t>
      </w:r>
      <w:proofErr w:type="spellEnd"/>
      <w:r>
        <w:rPr>
          <w:rFonts w:ascii="Calibri" w:hAnsi="Calibri"/>
        </w:rPr>
        <w:t xml:space="preserve"> markatzen dituzten tarteen barruan daude. </w:t>
      </w:r>
    </w:p>
    <w:p w:rsidR="00345C6A" w:rsidRDefault="00F927F6" w:rsidP="00181FEE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Azken asteetan, egia da beheranzko joera izan dutela Espainiako ekonomiak aurten eta heldu den urtean izanen duen hazkunde-itxaropenek, baina </w:t>
      </w:r>
      <w:proofErr w:type="spellStart"/>
      <w:r>
        <w:rPr>
          <w:rFonts w:ascii="Calibri" w:hAnsi="Calibri"/>
        </w:rPr>
        <w:t>EINek</w:t>
      </w:r>
      <w:proofErr w:type="spellEnd"/>
      <w:r>
        <w:rPr>
          <w:rFonts w:ascii="Calibri" w:hAnsi="Calibri"/>
        </w:rPr>
        <w:t xml:space="preserve"> irailean egindako berrikuspen estatistikoari erantzuten diote gehienbat. </w:t>
      </w:r>
    </w:p>
    <w:p w:rsidR="00345C6A" w:rsidRDefault="00F927F6" w:rsidP="00181FEE">
      <w:pPr>
        <w:spacing w:after="200" w:line="276" w:lineRule="auto"/>
        <w:jc w:val="both"/>
        <w:rPr>
          <w:rFonts w:ascii="Calibri" w:hAnsi="Calibri" w:cs="Arial"/>
        </w:rPr>
      </w:pPr>
      <w:r>
        <w:rPr>
          <w:rFonts w:ascii="Calibri" w:hAnsi="Calibri"/>
        </w:rPr>
        <w:t xml:space="preserve">Azken batean, egia bada ere Nafarroako ingurune ekonomikoa moteltzen ari dela, moderazio hori makro agertokian jasota zegoen, urtero hazkunde-tasa txikiagoak proiektatzen baitziren. </w:t>
      </w:r>
      <w:proofErr w:type="spellStart"/>
      <w:r>
        <w:rPr>
          <w:rFonts w:ascii="Calibri" w:hAnsi="Calibri"/>
        </w:rPr>
        <w:t>Desazelerazio</w:t>
      </w:r>
      <w:proofErr w:type="spellEnd"/>
      <w:r>
        <w:rPr>
          <w:rFonts w:ascii="Calibri" w:hAnsi="Calibri"/>
        </w:rPr>
        <w:t xml:space="preserve"> horren intentsitatea edo abiadura erabilitako proiekzio-parametroen eta -tarteen barruan sartzen da orain arte.  </w:t>
      </w:r>
    </w:p>
    <w:p w:rsidR="00345C6A" w:rsidRDefault="00181FEE" w:rsidP="00F927F6">
      <w:pPr>
        <w:spacing w:after="200" w:line="276" w:lineRule="auto"/>
        <w:rPr>
          <w:rFonts w:ascii="Calibri" w:hAnsi="Calibri" w:cs="Arial"/>
          <w:szCs w:val="24"/>
        </w:rPr>
      </w:pPr>
      <w:r>
        <w:rPr>
          <w:rFonts w:ascii="Calibri" w:hAnsi="Calibri"/>
          <w:szCs w:val="24"/>
        </w:rPr>
        <w:tab/>
        <w:t>Hori guztia jakinarazten dizut, Nafarroako Parlamentuko Erregelamenduaren 194. artikulua betez.</w:t>
      </w:r>
    </w:p>
    <w:p w:rsidR="00F927F6" w:rsidRPr="00F927F6" w:rsidRDefault="00F927F6" w:rsidP="00F927F6">
      <w:pPr>
        <w:spacing w:after="200" w:line="276" w:lineRule="auto"/>
        <w:jc w:val="center"/>
        <w:rPr>
          <w:rFonts w:ascii="Calibri" w:hAnsi="Calibri" w:cs="Arial"/>
        </w:rPr>
      </w:pPr>
      <w:r>
        <w:rPr>
          <w:rFonts w:ascii="Calibri" w:hAnsi="Calibri"/>
        </w:rPr>
        <w:t>Iruñean, 2019ko azaroaren 5ean</w:t>
      </w:r>
    </w:p>
    <w:p w:rsidR="008F42F9" w:rsidRPr="00345C6A" w:rsidRDefault="00345C6A" w:rsidP="00345C6A">
      <w:pPr>
        <w:spacing w:after="200" w:line="276" w:lineRule="auto"/>
        <w:jc w:val="center"/>
        <w:rPr>
          <w:rFonts w:ascii="Calibri" w:hAnsi="Calibri" w:cs="Arial"/>
        </w:rPr>
      </w:pPr>
      <w:r>
        <w:rPr>
          <w:rFonts w:ascii="Calibri" w:hAnsi="Calibri"/>
        </w:rPr>
        <w:t xml:space="preserve">Garapen Ekonomiko eta </w:t>
      </w:r>
      <w:proofErr w:type="spellStart"/>
      <w:r>
        <w:rPr>
          <w:rFonts w:ascii="Calibri" w:hAnsi="Calibri"/>
        </w:rPr>
        <w:t>Enpresarialeko</w:t>
      </w:r>
      <w:proofErr w:type="spellEnd"/>
      <w:r>
        <w:rPr>
          <w:rFonts w:ascii="Calibri" w:hAnsi="Calibri"/>
        </w:rPr>
        <w:t xml:space="preserve"> kontseilaria: Manu Ayerdi Olaizola</w:t>
      </w:r>
    </w:p>
    <w:sectPr w:rsidR="008F42F9" w:rsidRPr="00345C6A" w:rsidSect="00345C6A">
      <w:headerReference w:type="first" r:id="rId9"/>
      <w:pgSz w:w="11906" w:h="16838" w:code="9"/>
      <w:pgMar w:top="1134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485" w:rsidRDefault="00A07485">
      <w:r>
        <w:separator/>
      </w:r>
    </w:p>
  </w:endnote>
  <w:endnote w:type="continuationSeparator" w:id="0">
    <w:p w:rsidR="00A07485" w:rsidRDefault="00A0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485" w:rsidRDefault="00A07485">
      <w:r>
        <w:separator/>
      </w:r>
    </w:p>
  </w:footnote>
  <w:footnote w:type="continuationSeparator" w:id="0">
    <w:p w:rsidR="00A07485" w:rsidRDefault="00A07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5E" w:rsidRDefault="003B6B5E" w:rsidP="008F42F9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A81"/>
    <w:multiLevelType w:val="hybridMultilevel"/>
    <w:tmpl w:val="84065B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A043A"/>
    <w:multiLevelType w:val="hybridMultilevel"/>
    <w:tmpl w:val="7832AE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84"/>
    <w:rsid w:val="00034604"/>
    <w:rsid w:val="001356D8"/>
    <w:rsid w:val="00181FEE"/>
    <w:rsid w:val="001E3FB5"/>
    <w:rsid w:val="001E7275"/>
    <w:rsid w:val="002E36EF"/>
    <w:rsid w:val="003326DB"/>
    <w:rsid w:val="00345C6A"/>
    <w:rsid w:val="00355E3F"/>
    <w:rsid w:val="003737A4"/>
    <w:rsid w:val="00377B13"/>
    <w:rsid w:val="003B6B5E"/>
    <w:rsid w:val="00437DEA"/>
    <w:rsid w:val="005332E5"/>
    <w:rsid w:val="00535B11"/>
    <w:rsid w:val="00556C67"/>
    <w:rsid w:val="008B423E"/>
    <w:rsid w:val="008F42F9"/>
    <w:rsid w:val="00924E7C"/>
    <w:rsid w:val="00A07485"/>
    <w:rsid w:val="00A95C02"/>
    <w:rsid w:val="00B819BB"/>
    <w:rsid w:val="00BC6038"/>
    <w:rsid w:val="00BF22C4"/>
    <w:rsid w:val="00DF6784"/>
    <w:rsid w:val="00E62703"/>
    <w:rsid w:val="00F320C5"/>
    <w:rsid w:val="00F927F6"/>
    <w:rsid w:val="00F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27F6"/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paragraph" w:styleId="Prrafodelista">
    <w:name w:val="List Paragraph"/>
    <w:basedOn w:val="Normal"/>
    <w:qFormat/>
    <w:rsid w:val="00F927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basedOn w:val="Fuentedeprrafopredeter"/>
    <w:rsid w:val="00924E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27F6"/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paragraph" w:styleId="Prrafodelista">
    <w:name w:val="List Paragraph"/>
    <w:basedOn w:val="Normal"/>
    <w:qFormat/>
    <w:rsid w:val="00F927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basedOn w:val="Fuentedeprrafopredeter"/>
    <w:rsid w:val="00924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baciones.parlamentodenavarra.es/library/items/comision-desarrollo-economico-empresarial-n-2019-09-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1348</Words>
  <Characters>10316</Characters>
  <Application>Microsoft Office Word</Application>
  <DocSecurity>0</DocSecurity>
  <Lines>85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11641</CharactersWithSpaces>
  <SharedDoc>false</SharedDoc>
  <HLinks>
    <vt:vector size="6" baseType="variant">
      <vt:variant>
        <vt:i4>7405691</vt:i4>
      </vt:variant>
      <vt:variant>
        <vt:i4>0</vt:i4>
      </vt:variant>
      <vt:variant>
        <vt:i4>0</vt:i4>
      </vt:variant>
      <vt:variant>
        <vt:i4>5</vt:i4>
      </vt:variant>
      <vt:variant>
        <vt:lpwstr>https://grabaciones.parlamentodenavarra.es/library/items/comision-desarrollo-economico-empresarial-n-2019-09-18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Iñaki De Santiago</cp:lastModifiedBy>
  <cp:revision>2</cp:revision>
  <cp:lastPrinted>2006-05-15T11:01:00Z</cp:lastPrinted>
  <dcterms:created xsi:type="dcterms:W3CDTF">2019-12-26T12:09:00Z</dcterms:created>
  <dcterms:modified xsi:type="dcterms:W3CDTF">2019-12-26T12:09:00Z</dcterms:modified>
</cp:coreProperties>
</file>