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eskuin muturreko taldeek edo funtzionario publikoek eragindako motibazio politikoko ekintzen biktimei errekonozimendua eta ordaina emateko martxoaren 26ko 16/2019 Foru Legearen garapenari buruzkoa. Galdera 2019ko urriaren 25eko 28. Nafarroako Parlamentuko Aldizkari Ofizialean argitaratu zen.</w:t>
      </w:r>
    </w:p>
    <w:p>
      <w:pPr>
        <w:pStyle w:val="0"/>
        <w:suppressAutoHyphens w:val="false"/>
        <w:rPr>
          <w:rStyle w:val="1"/>
        </w:rPr>
      </w:pPr>
      <w:r>
        <w:rPr>
          <w:rStyle w:val="1"/>
        </w:rPr>
        <w:t xml:space="preserve">Iruñean, 2020ko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10-19/PES-00129 idatzizko galdera egin du. Hauxe da horri buruz Herritarrekiko Harremanetarako kontseilariak ematen dion informazioa:</w:t>
      </w:r>
    </w:p>
    <w:p>
      <w:pPr>
        <w:pStyle w:val="0"/>
        <w:suppressAutoHyphens w:val="false"/>
        <w:rPr>
          <w:rStyle w:val="1"/>
        </w:rPr>
      </w:pPr>
      <w:r>
        <w:rPr>
          <w:rStyle w:val="1"/>
        </w:rPr>
        <w:t xml:space="preserve">2019-2023 aldirako Bizikidetzazko eta Berdintasunezko Legegintzaldi Berritzaile eta Aurrerakoirako Programa-akordioan hartutako konpromisoen artean, honako hau dago hitzez hitz: “Eskuin muturreko taldeek edo funtzionario publikoek zio politikoengatik eginiko ekintzetako biktimen errekonozimendurako eta erreparaziorako martxoaren 26ko 16/2019 Foru Legea garatu eta aplikatu, betiere biktimenganako erakundeen begiradatik abiatuta”.</w:t>
      </w:r>
    </w:p>
    <w:p>
      <w:pPr>
        <w:pStyle w:val="0"/>
        <w:suppressAutoHyphens w:val="false"/>
        <w:rPr>
          <w:rStyle w:val="1"/>
        </w:rPr>
      </w:pPr>
      <w:r>
        <w:rPr>
          <w:rStyle w:val="1"/>
        </w:rPr>
        <w:t xml:space="preserve">Ildo horretan, Nafarroako Gobernuak, legealdi honetan, Errekonozimendu eta Erreparaziorako Batzordea sortuko du, foru lege horren IV. kapituluko 13-1 artikuluan ezarritakoa. Gure ustez, funtsezkoa da segurtasun juridiko osoa ematea, eta, beraz, haren osaera, antolaketa, funtzionamendua, funtzioak, kronograma, prozedura eta metodologia Konstituzio Auzitegiak ezartzen duenaren mende egonen dira, Gobernuaren Aholkularitza Juridikoak egindako alegazioei erantzunez edo konstituziokontrakotasun-errekurtsoei buruzko epai irmoaren bidez.</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