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17 de febrero de 2020,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las viviendas en manos de fondos buitre, formulada por el Ilmo. Sr. D. Mikel Buil García.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17 de febrero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Mikel Buil García, Parlamentario Foral adscrito a la A.P.F. de Podemos-Ahal Dugu, al amparo de lo dispuesto en el Reglamento de esta Cámara, presenta para su respuesta por escrito las siguientes preguntas al Departamento de Ordenación del Territorio, Vivienda, Paisaje y Proyectos Estratégicos.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¿Cuántas viviendas le consta al Gobierno que, tras caducar su calificación de VPO, hayan sido adquiridas por empresas de capital riesgo u otras entidades conocidas coloquialmente como “fondos buitre”?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empresas constructoras han llevado a cabo este tipo de operaciones de venta de vivienda social a empresas de capital riesgo u otras entidades conocidas coloquialmente como “fondos buitre”?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Relación de promociones que se prevé se descalifiquen a lo largo de la legislatura, titularidad actual de dichas promociones y plazos de descalificación.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Pamplona-lruñea, a 13 febrero de 2020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Mikel Buil García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