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de acondicionamiento y ensanche de la NA-5221, entre el límite de la provincia de Zaragoza y el núcleo urbano de Cortes,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comienzos del año pasado el Ayuntamiento de Cortes se dirigió al Departamento de Desarrollo Económico –de quien dependían entonces las competencias en obras públicas y carreteras– presentando una memoria valorada de lo que podría suponer la ejecución de las obras de acondicionamiento y ensanche de la carretera NA-5221, entre el límite de la provincia de Zaragoza y el núcleo urbano de Cortes.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obras reseñadas ascendían según esa memoria valorada a un total de 237.553,24 euros (IVA incluido) y debían servir para la implantación en el polígono industrial de la ampliación de una importante empresa de congelados de la localidad ribera.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marzo de ese mismo año, el entonces Director General de Obras Públicas, Sr. Nagore, respondió al ayuntamiento que se procedería a “encargar de forma inmediata la redacción del proyecto” para una posterior ejecución de dichas obras.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todo ello, se formulan las siguientes preguntas para su respuesta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¿Está redactado ya el proyecto para la ejecución de las obras de acondicionamiento y ensanche de la carretera NA-5221, entre el límite de la provincia de Zaragoza y el núcleo urbano de Cortes?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no lo estuviere ¿cuáles han sido las razones para su no elaboración y para cuándo cree el Departamento que estará redactado?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lo estuviere ¿a cuánto asciende el importe de ejecución de las obras, IVA incluido para cuándo considera el Departamento que podría ejecutarse esa obras?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13 de febrero de 2020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