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733" w:rsidRDefault="0059625A" w:rsidP="006F3733">
      <w:pPr>
        <w:spacing w:line="276" w:lineRule="auto"/>
        <w:jc w:val="both"/>
        <w:rPr>
          <w:rFonts w:ascii="Arial" w:hAnsi="Arial" w:cs="Arial"/>
          <w:bCs/>
          <w:sz w:val="22"/>
          <w:szCs w:val="22"/>
        </w:rPr>
      </w:pPr>
      <w:r w:rsidRPr="0059625A">
        <w:rPr>
          <w:rFonts w:ascii="Arial" w:hAnsi="Arial" w:cs="Arial"/>
          <w:bCs/>
          <w:sz w:val="22"/>
          <w:szCs w:val="22"/>
        </w:rPr>
        <w:t xml:space="preserve">La Consejera de Economía y Hacienda del Gobierno de Navarra, en relación </w:t>
      </w:r>
      <w:r w:rsidR="006F3733">
        <w:rPr>
          <w:rFonts w:ascii="Arial" w:hAnsi="Arial" w:cs="Arial"/>
          <w:bCs/>
          <w:sz w:val="22"/>
          <w:szCs w:val="22"/>
        </w:rPr>
        <w:t>con</w:t>
      </w:r>
      <w:r w:rsidRPr="0059625A">
        <w:rPr>
          <w:rFonts w:ascii="Arial" w:hAnsi="Arial" w:cs="Arial"/>
          <w:bCs/>
          <w:sz w:val="22"/>
          <w:szCs w:val="22"/>
        </w:rPr>
        <w:t xml:space="preserve"> la pregunta para su respuesta por escrito, presentada por </w:t>
      </w:r>
      <w:r w:rsidR="006F3733" w:rsidRPr="0059625A">
        <w:rPr>
          <w:rFonts w:ascii="Arial" w:hAnsi="Arial" w:cs="Arial"/>
          <w:bCs/>
          <w:sz w:val="22"/>
          <w:szCs w:val="22"/>
        </w:rPr>
        <w:t xml:space="preserve">doña </w:t>
      </w:r>
      <w:r w:rsidRPr="0059625A">
        <w:rPr>
          <w:rFonts w:ascii="Arial" w:hAnsi="Arial" w:cs="Arial"/>
          <w:bCs/>
          <w:sz w:val="22"/>
          <w:szCs w:val="22"/>
        </w:rPr>
        <w:t xml:space="preserve">Marisa de </w:t>
      </w:r>
      <w:r w:rsidR="006F3733">
        <w:rPr>
          <w:rFonts w:ascii="Arial" w:hAnsi="Arial" w:cs="Arial"/>
          <w:bCs/>
          <w:sz w:val="22"/>
          <w:szCs w:val="22"/>
        </w:rPr>
        <w:t xml:space="preserve">Simón Caballero, portavoz del Grupo Parlamentario Mixto </w:t>
      </w:r>
      <w:r w:rsidR="006F3733" w:rsidRPr="0059625A">
        <w:rPr>
          <w:rFonts w:ascii="Arial" w:hAnsi="Arial" w:cs="Arial"/>
          <w:bCs/>
          <w:sz w:val="22"/>
          <w:szCs w:val="22"/>
        </w:rPr>
        <w:t>Izquierda-</w:t>
      </w:r>
      <w:proofErr w:type="spellStart"/>
      <w:r w:rsidR="006F3733" w:rsidRPr="0059625A">
        <w:rPr>
          <w:rFonts w:ascii="Arial" w:hAnsi="Arial" w:cs="Arial"/>
          <w:bCs/>
          <w:sz w:val="22"/>
          <w:szCs w:val="22"/>
        </w:rPr>
        <w:t>Ezkerra</w:t>
      </w:r>
      <w:proofErr w:type="spellEnd"/>
      <w:r w:rsidRPr="0059625A">
        <w:rPr>
          <w:rFonts w:ascii="Arial" w:hAnsi="Arial" w:cs="Arial"/>
          <w:bCs/>
          <w:sz w:val="22"/>
          <w:szCs w:val="22"/>
        </w:rPr>
        <w:t xml:space="preserve">, registrada con el número entrada 179, de fecha 17 de diciembre de 2019, 10-19/PES-00179, relativa al cómputo de perdidas empresariales que hayan sido objeto de compensación en el Impuesto sobre </w:t>
      </w:r>
      <w:r w:rsidR="006F3733" w:rsidRPr="0059625A">
        <w:rPr>
          <w:rFonts w:ascii="Arial" w:hAnsi="Arial" w:cs="Arial"/>
          <w:bCs/>
          <w:sz w:val="22"/>
          <w:szCs w:val="22"/>
        </w:rPr>
        <w:t xml:space="preserve">Sociedades </w:t>
      </w:r>
      <w:r w:rsidRPr="0059625A">
        <w:rPr>
          <w:rFonts w:ascii="Arial" w:hAnsi="Arial" w:cs="Arial"/>
          <w:bCs/>
          <w:sz w:val="22"/>
          <w:szCs w:val="22"/>
        </w:rPr>
        <w:t>en los últimos 15 y 5 años, tiene el honor de informarle lo siguiente:</w:t>
      </w:r>
    </w:p>
    <w:p w:rsidR="006F3733" w:rsidRDefault="0059625A" w:rsidP="006F3733">
      <w:pPr>
        <w:numPr>
          <w:ilvl w:val="0"/>
          <w:numId w:val="3"/>
        </w:numPr>
        <w:spacing w:line="276" w:lineRule="auto"/>
        <w:jc w:val="both"/>
        <w:rPr>
          <w:rFonts w:ascii="Arial" w:hAnsi="Arial" w:cs="Arial"/>
          <w:bCs/>
          <w:sz w:val="22"/>
          <w:szCs w:val="22"/>
        </w:rPr>
      </w:pPr>
      <w:r w:rsidRPr="0059625A">
        <w:rPr>
          <w:rFonts w:ascii="Arial" w:hAnsi="Arial" w:cs="Arial"/>
          <w:bCs/>
          <w:sz w:val="22"/>
          <w:szCs w:val="22"/>
        </w:rPr>
        <w:t>En primer lugar, procede señalar que la información solicitada en esta pregunta se incluye en las Estadísticas del Impuesto sobre Sociedades que, desde el periodo impositivo 2009, están publicadas en la Web de Hacienda Foral de Navarra.</w:t>
      </w:r>
    </w:p>
    <w:p w:rsidR="006F3733" w:rsidRDefault="0059625A" w:rsidP="006F3733">
      <w:pPr>
        <w:spacing w:line="276" w:lineRule="auto"/>
        <w:ind w:left="708"/>
        <w:jc w:val="both"/>
        <w:rPr>
          <w:rFonts w:ascii="Arial" w:hAnsi="Arial" w:cs="Arial"/>
          <w:bCs/>
          <w:sz w:val="22"/>
          <w:szCs w:val="22"/>
        </w:rPr>
      </w:pPr>
      <w:r w:rsidRPr="0059625A">
        <w:rPr>
          <w:rFonts w:ascii="Arial" w:hAnsi="Arial" w:cs="Arial"/>
          <w:bCs/>
          <w:sz w:val="22"/>
          <w:szCs w:val="22"/>
        </w:rPr>
        <w:t>http://www.navarra.es/home_es/Gobierno+de+Navarra/Organigrama/Los+departamentos/Economia+y+Hacienda/Organigrama/Estructura+Organica/Hacienda/Impuestossociedades.htm</w:t>
      </w:r>
    </w:p>
    <w:p w:rsidR="006F3733" w:rsidRDefault="0059625A" w:rsidP="006F3733">
      <w:pPr>
        <w:numPr>
          <w:ilvl w:val="0"/>
          <w:numId w:val="3"/>
        </w:numPr>
        <w:spacing w:line="276" w:lineRule="auto"/>
        <w:jc w:val="both"/>
        <w:rPr>
          <w:rFonts w:ascii="Arial" w:hAnsi="Arial" w:cs="Arial"/>
          <w:bCs/>
          <w:sz w:val="22"/>
          <w:szCs w:val="22"/>
        </w:rPr>
      </w:pPr>
      <w:r w:rsidRPr="0059625A">
        <w:rPr>
          <w:rFonts w:ascii="Arial" w:hAnsi="Arial" w:cs="Arial"/>
          <w:bCs/>
          <w:sz w:val="22"/>
          <w:szCs w:val="22"/>
        </w:rPr>
        <w:t xml:space="preserve">En cuanto que la pregunta en cuestión, se refiere, en parte, a periodos impositivos anteriores al 2009 (primer periodo de referencia de las Estadísticas publicadas), a continuación, se presenta la siguiente información, según consta en los registros de las declaraciones a fecha actual. </w:t>
      </w:r>
    </w:p>
    <w:p w:rsidR="006F3733" w:rsidRDefault="0059625A" w:rsidP="006F3733">
      <w:pPr>
        <w:spacing w:line="276" w:lineRule="auto"/>
        <w:ind w:left="708"/>
        <w:jc w:val="both"/>
        <w:rPr>
          <w:rFonts w:ascii="Arial" w:hAnsi="Arial" w:cs="Arial"/>
          <w:bCs/>
          <w:sz w:val="22"/>
          <w:szCs w:val="22"/>
        </w:rPr>
      </w:pPr>
      <w:r w:rsidRPr="0059625A">
        <w:rPr>
          <w:rFonts w:ascii="Arial" w:hAnsi="Arial" w:cs="Arial"/>
          <w:bCs/>
          <w:sz w:val="22"/>
          <w:szCs w:val="22"/>
        </w:rPr>
        <w:t xml:space="preserve">ANEXO 1: Bases Imponibles Negativas Generadas en los años 2004 a 2018. Número de declaraciones e Importes.  </w:t>
      </w:r>
    </w:p>
    <w:p w:rsidR="006F3733" w:rsidRDefault="0059625A" w:rsidP="006F3733">
      <w:pPr>
        <w:spacing w:line="276" w:lineRule="auto"/>
        <w:ind w:left="708"/>
        <w:jc w:val="both"/>
        <w:rPr>
          <w:rFonts w:ascii="Arial" w:hAnsi="Arial" w:cs="Arial"/>
          <w:bCs/>
          <w:sz w:val="22"/>
          <w:szCs w:val="22"/>
        </w:rPr>
      </w:pPr>
      <w:r w:rsidRPr="0059625A">
        <w:rPr>
          <w:rFonts w:ascii="Arial" w:hAnsi="Arial" w:cs="Arial"/>
          <w:bCs/>
          <w:sz w:val="22"/>
          <w:szCs w:val="22"/>
        </w:rPr>
        <w:t xml:space="preserve">ANEXO 2: Bases Imponibles Negativas Compensadas en los años 2014 a 2018, procedentes de ejercicios anteriores. Número de declaraciones e Importes.  </w:t>
      </w:r>
    </w:p>
    <w:p w:rsidR="006F3733" w:rsidRDefault="0059625A" w:rsidP="006F3733">
      <w:pPr>
        <w:spacing w:line="276" w:lineRule="auto"/>
        <w:ind w:left="360"/>
        <w:jc w:val="both"/>
        <w:rPr>
          <w:rFonts w:ascii="Arial" w:hAnsi="Arial" w:cs="Arial"/>
          <w:sz w:val="22"/>
          <w:szCs w:val="22"/>
        </w:rPr>
      </w:pPr>
      <w:r w:rsidRPr="0059625A">
        <w:rPr>
          <w:rFonts w:ascii="Arial" w:hAnsi="Arial" w:cs="Arial"/>
          <w:sz w:val="22"/>
          <w:szCs w:val="22"/>
        </w:rPr>
        <w:t>A estos efectos, p</w:t>
      </w:r>
      <w:r w:rsidRPr="0059625A">
        <w:rPr>
          <w:rFonts w:ascii="Arial" w:hAnsi="Arial" w:cs="Arial"/>
          <w:bCs/>
          <w:sz w:val="22"/>
          <w:szCs w:val="22"/>
        </w:rPr>
        <w:t>rocede señalar que los datos publicados en las Estadísticas tienen un carácter estático, que permite la comparación homogénea entre distintos periodos. Con carácter general, la información del periodo impositivo “n” se obtiene y publica en el año “</w:t>
      </w:r>
      <w:proofErr w:type="spellStart"/>
      <w:r w:rsidRPr="0059625A">
        <w:rPr>
          <w:rFonts w:ascii="Arial" w:hAnsi="Arial" w:cs="Arial"/>
          <w:bCs/>
          <w:sz w:val="22"/>
          <w:szCs w:val="22"/>
        </w:rPr>
        <w:t>n+2</w:t>
      </w:r>
      <w:proofErr w:type="spellEnd"/>
      <w:r w:rsidRPr="0059625A">
        <w:rPr>
          <w:rFonts w:ascii="Arial" w:hAnsi="Arial" w:cs="Arial"/>
          <w:bCs/>
          <w:sz w:val="22"/>
          <w:szCs w:val="22"/>
        </w:rPr>
        <w:t>”. (Ejemplo, periodo impositivo 2018, con carácter general, se habrán presentado las declaraciones en el año 2019 y previsiblemente se publicarán las Estadísticas en abril del año 2020). L</w:t>
      </w:r>
      <w:r w:rsidRPr="0059625A">
        <w:rPr>
          <w:rFonts w:ascii="Arial" w:hAnsi="Arial" w:cs="Arial"/>
          <w:sz w:val="22"/>
          <w:szCs w:val="22"/>
        </w:rPr>
        <w:t>os datos que se presentan en esta contestación responden a la situación actual, atendiendo a las hipotéticas modificaciones que se han podido producir en las declaraciones (revisiones por parte de la Administración, impugnaciones, presentación de extemporáneas, etc.) a lo largo de los años. Por lo que los datos de periodos anteriores han podido variar respecto a las estadísticas publicadas, y los datos del periodo impositivo 2018 deben ser considerados con carácter provisional.</w:t>
      </w:r>
    </w:p>
    <w:p w:rsidR="006F3733" w:rsidRDefault="0059625A" w:rsidP="006F3733">
      <w:pPr>
        <w:spacing w:line="276" w:lineRule="auto"/>
        <w:ind w:left="360"/>
        <w:jc w:val="both"/>
        <w:rPr>
          <w:rFonts w:ascii="Arial" w:hAnsi="Arial" w:cs="Arial"/>
          <w:sz w:val="22"/>
          <w:szCs w:val="22"/>
        </w:rPr>
      </w:pPr>
      <w:r w:rsidRPr="0059625A">
        <w:rPr>
          <w:rFonts w:ascii="Arial" w:hAnsi="Arial" w:cs="Arial"/>
          <w:sz w:val="22"/>
          <w:szCs w:val="22"/>
        </w:rPr>
        <w:t xml:space="preserve">Por otra parte, procede recordar que, en todo caso, se trata de declaraciones de sociedades que aplican, conforme al artículo 18 del Convenio Económico, la Normativa Navarra. Tanto si tributan por el Impuesto sobre Sociedades, exclusivamente a la Comunidad Foral como si tributan conjuntamente a Navarra y al Estado. </w:t>
      </w:r>
    </w:p>
    <w:p w:rsidR="006F3733" w:rsidRDefault="0059625A" w:rsidP="006F3733">
      <w:pPr>
        <w:numPr>
          <w:ilvl w:val="0"/>
          <w:numId w:val="3"/>
        </w:numPr>
        <w:spacing w:line="276" w:lineRule="auto"/>
        <w:jc w:val="both"/>
        <w:rPr>
          <w:rFonts w:ascii="Arial" w:hAnsi="Arial" w:cs="Arial"/>
          <w:sz w:val="22"/>
          <w:szCs w:val="22"/>
        </w:rPr>
      </w:pPr>
      <w:r w:rsidRPr="0059625A">
        <w:rPr>
          <w:rFonts w:ascii="Arial" w:hAnsi="Arial" w:cs="Arial"/>
          <w:sz w:val="22"/>
          <w:szCs w:val="22"/>
        </w:rPr>
        <w:t>En base a los datos de detalle de los ANEXOS 1 y 2, se obtienen las siguientes cuantías totales:</w:t>
      </w:r>
    </w:p>
    <w:p w:rsidR="006F3733" w:rsidRDefault="0059625A" w:rsidP="006F3733">
      <w:pPr>
        <w:numPr>
          <w:ilvl w:val="0"/>
          <w:numId w:val="4"/>
        </w:numPr>
        <w:spacing w:line="276" w:lineRule="auto"/>
        <w:jc w:val="both"/>
        <w:rPr>
          <w:rFonts w:ascii="Arial" w:hAnsi="Arial" w:cs="Arial"/>
          <w:sz w:val="22"/>
          <w:szCs w:val="22"/>
        </w:rPr>
      </w:pPr>
      <w:r w:rsidRPr="0059625A">
        <w:rPr>
          <w:rFonts w:ascii="Arial" w:hAnsi="Arial" w:cs="Arial"/>
          <w:sz w:val="22"/>
          <w:szCs w:val="22"/>
        </w:rPr>
        <w:t>Suma total de las pérdidas empresariales declaradas por empresas navarras durante los últimos 15 años</w:t>
      </w:r>
      <w:proofErr w:type="gramStart"/>
      <w:r w:rsidRPr="0059625A">
        <w:rPr>
          <w:rFonts w:ascii="Arial" w:hAnsi="Arial" w:cs="Arial"/>
          <w:sz w:val="22"/>
          <w:szCs w:val="22"/>
        </w:rPr>
        <w:t>:  11.267.949.483,88</w:t>
      </w:r>
      <w:proofErr w:type="gramEnd"/>
      <w:r w:rsidRPr="0059625A">
        <w:rPr>
          <w:rFonts w:ascii="Arial" w:hAnsi="Arial" w:cs="Arial"/>
          <w:sz w:val="22"/>
          <w:szCs w:val="22"/>
        </w:rPr>
        <w:t xml:space="preserve"> euros.</w:t>
      </w:r>
    </w:p>
    <w:p w:rsidR="006F3733" w:rsidRDefault="0059625A" w:rsidP="006F3733">
      <w:pPr>
        <w:numPr>
          <w:ilvl w:val="0"/>
          <w:numId w:val="4"/>
        </w:numPr>
        <w:spacing w:line="276" w:lineRule="auto"/>
        <w:jc w:val="both"/>
        <w:rPr>
          <w:rFonts w:ascii="Arial" w:hAnsi="Arial" w:cs="Arial"/>
          <w:sz w:val="22"/>
          <w:szCs w:val="22"/>
        </w:rPr>
      </w:pPr>
      <w:r w:rsidRPr="0059625A">
        <w:rPr>
          <w:rFonts w:ascii="Arial" w:hAnsi="Arial" w:cs="Arial"/>
          <w:sz w:val="22"/>
          <w:szCs w:val="22"/>
        </w:rPr>
        <w:t>Suma total de las compensaciones por pérdidas en el Impuesto sobre Sociedades efectuadas por empresas navarras en los últimos 5 ejercicios económicos: 1.143.481.610,45 euros.</w:t>
      </w:r>
    </w:p>
    <w:p w:rsidR="006F3733" w:rsidRDefault="0059625A" w:rsidP="006F3733">
      <w:pPr>
        <w:numPr>
          <w:ilvl w:val="0"/>
          <w:numId w:val="3"/>
        </w:numPr>
        <w:spacing w:line="276" w:lineRule="auto"/>
        <w:jc w:val="both"/>
        <w:rPr>
          <w:rFonts w:ascii="Arial" w:hAnsi="Arial" w:cs="Arial"/>
          <w:sz w:val="22"/>
          <w:szCs w:val="22"/>
        </w:rPr>
      </w:pPr>
      <w:r w:rsidRPr="0059625A">
        <w:rPr>
          <w:rFonts w:ascii="Arial" w:hAnsi="Arial" w:cs="Arial"/>
          <w:sz w:val="22"/>
          <w:szCs w:val="22"/>
        </w:rPr>
        <w:t>ANEXOS:</w:t>
      </w:r>
    </w:p>
    <w:p w:rsidR="006F3733" w:rsidRDefault="0059625A" w:rsidP="006F3733">
      <w:pPr>
        <w:spacing w:line="276" w:lineRule="auto"/>
        <w:ind w:left="360"/>
        <w:jc w:val="both"/>
        <w:rPr>
          <w:rFonts w:ascii="Arial" w:hAnsi="Arial" w:cs="Arial"/>
          <w:sz w:val="22"/>
          <w:szCs w:val="22"/>
        </w:rPr>
      </w:pPr>
      <w:r w:rsidRPr="0059625A">
        <w:rPr>
          <w:rFonts w:ascii="Arial" w:hAnsi="Arial" w:cs="Arial"/>
          <w:sz w:val="22"/>
          <w:szCs w:val="22"/>
        </w:rPr>
        <w:t>Para cada magnitud (Bases Imponibles Negativas del año o Bases Imponibles Negativas Compensadas de ejercicios anteriores), se presenta el número de declaraciones que han consignado importe en dicha magnitud. Los importes se presentan multiplicados, en su caso, por el correspondiente porcentaje de tributación a Navarra.</w:t>
      </w:r>
    </w:p>
    <w:p w:rsidR="0059625A" w:rsidRPr="0059625A" w:rsidRDefault="0059625A" w:rsidP="006F3733">
      <w:pPr>
        <w:spacing w:line="276" w:lineRule="auto"/>
        <w:ind w:left="360"/>
        <w:jc w:val="both"/>
        <w:rPr>
          <w:rFonts w:ascii="Arial" w:hAnsi="Arial" w:cs="Arial"/>
          <w:sz w:val="22"/>
          <w:szCs w:val="22"/>
        </w:rPr>
      </w:pPr>
      <w:r w:rsidRPr="0059625A">
        <w:rPr>
          <w:rFonts w:ascii="Arial" w:hAnsi="Arial" w:cs="Arial"/>
          <w:sz w:val="22"/>
          <w:szCs w:val="22"/>
        </w:rPr>
        <w:tab/>
      </w:r>
      <w:r w:rsidRPr="0059625A">
        <w:rPr>
          <w:rFonts w:ascii="Arial" w:hAnsi="Arial" w:cs="Arial"/>
          <w:sz w:val="22"/>
          <w:szCs w:val="22"/>
        </w:rPr>
        <w:tab/>
      </w:r>
    </w:p>
    <w:tbl>
      <w:tblPr>
        <w:tblW w:w="5040" w:type="dxa"/>
        <w:tblInd w:w="75" w:type="dxa"/>
        <w:tblCellMar>
          <w:left w:w="70" w:type="dxa"/>
          <w:right w:w="70" w:type="dxa"/>
        </w:tblCellMar>
        <w:tblLook w:val="04A0" w:firstRow="1" w:lastRow="0" w:firstColumn="1" w:lastColumn="0" w:noHBand="0" w:noVBand="1"/>
      </w:tblPr>
      <w:tblGrid>
        <w:gridCol w:w="1160"/>
        <w:gridCol w:w="1700"/>
        <w:gridCol w:w="2180"/>
      </w:tblGrid>
      <w:tr w:rsidR="0059625A" w:rsidRPr="006F3733" w:rsidTr="00753E31">
        <w:trPr>
          <w:trHeight w:val="540"/>
        </w:trPr>
        <w:tc>
          <w:tcPr>
            <w:tcW w:w="504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9625A" w:rsidRPr="006F3733" w:rsidRDefault="0059625A" w:rsidP="006F3733">
            <w:pPr>
              <w:spacing w:line="276" w:lineRule="auto"/>
              <w:jc w:val="center"/>
              <w:rPr>
                <w:rFonts w:ascii="Arial" w:hAnsi="Arial" w:cs="Arial"/>
                <w:b/>
                <w:bCs/>
                <w:sz w:val="18"/>
                <w:szCs w:val="18"/>
              </w:rPr>
            </w:pPr>
            <w:r w:rsidRPr="006F3733">
              <w:rPr>
                <w:rFonts w:ascii="Arial" w:hAnsi="Arial" w:cs="Arial"/>
                <w:b/>
                <w:bCs/>
                <w:sz w:val="18"/>
                <w:szCs w:val="18"/>
              </w:rPr>
              <w:lastRenderedPageBreak/>
              <w:t>ANEXO 1: Bases Imponibles Negativas GENERADAS</w:t>
            </w:r>
            <w:r w:rsidRPr="006F3733">
              <w:rPr>
                <w:rFonts w:ascii="Arial" w:hAnsi="Arial" w:cs="Arial"/>
                <w:b/>
                <w:bCs/>
                <w:sz w:val="18"/>
                <w:szCs w:val="18"/>
              </w:rPr>
              <w:br/>
            </w:r>
            <w:r w:rsidRPr="006F3733">
              <w:rPr>
                <w:rFonts w:ascii="Arial" w:hAnsi="Arial" w:cs="Arial"/>
                <w:sz w:val="18"/>
                <w:szCs w:val="18"/>
              </w:rPr>
              <w:t xml:space="preserve">TOTAL NAVARRA (Modelos S-90 y 220) </w:t>
            </w:r>
          </w:p>
        </w:tc>
      </w:tr>
      <w:tr w:rsidR="0059625A" w:rsidRPr="006F3733" w:rsidTr="00753E31">
        <w:trPr>
          <w:trHeight w:val="201"/>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b/>
                <w:bCs/>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300"/>
        </w:trPr>
        <w:tc>
          <w:tcPr>
            <w:tcW w:w="116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sidRPr="006F3733">
              <w:rPr>
                <w:rFonts w:ascii="Arial" w:hAnsi="Arial" w:cs="Arial"/>
                <w:b/>
                <w:bCs/>
                <w:sz w:val="18"/>
                <w:szCs w:val="18"/>
              </w:rPr>
              <w:t>Nº declaraciones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sidRPr="006F3733">
              <w:rPr>
                <w:rFonts w:ascii="Arial" w:hAnsi="Arial" w:cs="Arial"/>
                <w:b/>
                <w:bCs/>
                <w:sz w:val="18"/>
                <w:szCs w:val="18"/>
              </w:rPr>
              <w:t>Importe CR</w:t>
            </w:r>
          </w:p>
        </w:tc>
      </w:tr>
      <w:tr w:rsidR="0059625A" w:rsidRPr="006F3733" w:rsidTr="00753E31">
        <w:trPr>
          <w:trHeight w:val="300"/>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2004</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5.240</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345.068.558,55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2005</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5.489</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387.892.188,71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2006</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5.589</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349.156.353,77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2007</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6.327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569.024.377,39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2008</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7.380</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1.029.568.855,78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2009</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8.443</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1.176.529.216,17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2010</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8.098</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1.024.091.084,70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2011</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8.408</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1.084.542.795,67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2012</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8.884</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1.374.827.159,39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2013</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8.453</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963.361.567,13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2014</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7.635</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806.773.672,97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2015</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6.997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604.078.266,17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2016</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6.576</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621.240.202,98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2017</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6.355</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507.913.013,80 </w:t>
            </w:r>
          </w:p>
        </w:tc>
      </w:tr>
      <w:tr w:rsidR="0059625A" w:rsidRPr="006F3733" w:rsidTr="00753E31">
        <w:trPr>
          <w:trHeight w:val="300"/>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2018</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5.984</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423.882.170,70 </w:t>
            </w: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000000" w:fill="F2F2F2"/>
            <w:noWrap/>
            <w:vAlign w:val="bottom"/>
            <w:hideMark/>
          </w:tcPr>
          <w:p w:rsidR="0059625A" w:rsidRPr="006F3733" w:rsidRDefault="0059625A" w:rsidP="006F3733">
            <w:pPr>
              <w:spacing w:line="276" w:lineRule="auto"/>
              <w:jc w:val="right"/>
              <w:rPr>
                <w:rFonts w:ascii="Arial" w:hAnsi="Arial" w:cs="Arial"/>
                <w:b/>
                <w:bCs/>
                <w:color w:val="000000"/>
                <w:sz w:val="18"/>
                <w:szCs w:val="18"/>
              </w:rPr>
            </w:pPr>
            <w:r w:rsidRPr="006F3733">
              <w:rPr>
                <w:rFonts w:ascii="Arial" w:hAnsi="Arial" w:cs="Arial"/>
                <w:b/>
                <w:bCs/>
                <w:color w:val="000000"/>
                <w:sz w:val="18"/>
                <w:szCs w:val="18"/>
              </w:rPr>
              <w:t>-11.267.949.483,88</w:t>
            </w: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right"/>
              <w:rPr>
                <w:rFonts w:ascii="Arial" w:hAnsi="Arial" w:cs="Arial"/>
                <w:b/>
                <w:bCs/>
                <w:color w:val="000000"/>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rPr>
                <w:rFonts w:ascii="Arial" w:hAnsi="Arial" w:cs="Arial"/>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588"/>
        </w:trPr>
        <w:tc>
          <w:tcPr>
            <w:tcW w:w="5040" w:type="dxa"/>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rsidR="0059625A" w:rsidRPr="006F3733" w:rsidRDefault="0059625A" w:rsidP="006F3733">
            <w:pPr>
              <w:spacing w:line="276" w:lineRule="auto"/>
              <w:jc w:val="center"/>
              <w:rPr>
                <w:rFonts w:ascii="Arial" w:hAnsi="Arial" w:cs="Arial"/>
                <w:b/>
                <w:bCs/>
                <w:sz w:val="18"/>
                <w:szCs w:val="18"/>
              </w:rPr>
            </w:pPr>
            <w:bookmarkStart w:id="0" w:name="_GoBack"/>
            <w:r w:rsidRPr="006F3733">
              <w:rPr>
                <w:rFonts w:ascii="Arial" w:hAnsi="Arial" w:cs="Arial"/>
                <w:b/>
                <w:bCs/>
                <w:sz w:val="18"/>
                <w:szCs w:val="18"/>
              </w:rPr>
              <w:t>ANEXO 2: Bases Imponibles Negativas COMPENSADAS</w:t>
            </w:r>
            <w:r w:rsidRPr="006F3733">
              <w:rPr>
                <w:rFonts w:ascii="Arial" w:hAnsi="Arial" w:cs="Arial"/>
                <w:b/>
                <w:bCs/>
                <w:sz w:val="18"/>
                <w:szCs w:val="18"/>
              </w:rPr>
              <w:br/>
            </w:r>
            <w:r w:rsidRPr="006F3733">
              <w:rPr>
                <w:rFonts w:ascii="Arial" w:hAnsi="Arial" w:cs="Arial"/>
                <w:sz w:val="18"/>
                <w:szCs w:val="18"/>
              </w:rPr>
              <w:t xml:space="preserve">TOTAL NAVARRA (Modelos S-90 y 220) </w:t>
            </w:r>
          </w:p>
        </w:tc>
      </w:tr>
      <w:tr w:rsidR="0059625A" w:rsidRPr="006F3733" w:rsidTr="00753E31">
        <w:trPr>
          <w:trHeight w:val="201"/>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b/>
                <w:bCs/>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r>
      <w:tr w:rsidR="0059625A" w:rsidRPr="006F3733" w:rsidTr="00753E31">
        <w:trPr>
          <w:trHeight w:val="300"/>
        </w:trPr>
        <w:tc>
          <w:tcPr>
            <w:tcW w:w="116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rPr>
                <w:rFonts w:ascii="Arial" w:hAnsi="Arial" w:cs="Arial"/>
                <w:sz w:val="18"/>
                <w:szCs w:val="18"/>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sidRPr="006F3733">
              <w:rPr>
                <w:rFonts w:ascii="Arial" w:hAnsi="Arial" w:cs="Arial"/>
                <w:b/>
                <w:bCs/>
                <w:sz w:val="18"/>
                <w:szCs w:val="18"/>
              </w:rPr>
              <w:t>Nº declaraciones</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b/>
                <w:bCs/>
                <w:sz w:val="18"/>
                <w:szCs w:val="18"/>
              </w:rPr>
            </w:pPr>
            <w:r w:rsidRPr="006F3733">
              <w:rPr>
                <w:rFonts w:ascii="Arial" w:hAnsi="Arial" w:cs="Arial"/>
                <w:b/>
                <w:bCs/>
                <w:sz w:val="18"/>
                <w:szCs w:val="18"/>
              </w:rPr>
              <w:t>Importe CR</w:t>
            </w:r>
          </w:p>
        </w:tc>
      </w:tr>
      <w:tr w:rsidR="0059625A" w:rsidRPr="006F3733" w:rsidTr="00753E31">
        <w:trPr>
          <w:trHeight w:val="288"/>
        </w:trPr>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2014</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4.007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222.180.475,10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2015</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4.454</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216.967.126,84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2016</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4.508</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245.838.796,75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000000" w:fill="FFFFFF"/>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2017</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4.450</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244.320.088,07 </w:t>
            </w:r>
          </w:p>
        </w:tc>
      </w:tr>
      <w:tr w:rsidR="0059625A" w:rsidRPr="006F3733" w:rsidTr="00753E31">
        <w:trPr>
          <w:trHeight w:val="288"/>
        </w:trPr>
        <w:tc>
          <w:tcPr>
            <w:tcW w:w="1160" w:type="dxa"/>
            <w:tcBorders>
              <w:top w:val="nil"/>
              <w:left w:val="single" w:sz="4" w:space="0" w:color="auto"/>
              <w:bottom w:val="single" w:sz="4" w:space="0" w:color="auto"/>
              <w:right w:val="single" w:sz="4" w:space="0" w:color="auto"/>
            </w:tcBorders>
            <w:shd w:val="clear" w:color="auto" w:fill="auto"/>
            <w:vAlign w:val="center"/>
            <w:hideMark/>
          </w:tcPr>
          <w:p w:rsidR="0059625A" w:rsidRPr="006F3733" w:rsidRDefault="0059625A" w:rsidP="006F3733">
            <w:pPr>
              <w:spacing w:line="276" w:lineRule="auto"/>
              <w:ind w:firstLineChars="100" w:firstLine="181"/>
              <w:rPr>
                <w:rFonts w:ascii="Arial" w:hAnsi="Arial" w:cs="Arial"/>
                <w:b/>
                <w:bCs/>
                <w:sz w:val="18"/>
                <w:szCs w:val="18"/>
              </w:rPr>
            </w:pPr>
            <w:r w:rsidRPr="006F3733">
              <w:rPr>
                <w:rFonts w:ascii="Arial" w:hAnsi="Arial" w:cs="Arial"/>
                <w:b/>
                <w:bCs/>
                <w:sz w:val="18"/>
                <w:szCs w:val="18"/>
              </w:rPr>
              <w:t>2018</w:t>
            </w:r>
          </w:p>
        </w:tc>
        <w:tc>
          <w:tcPr>
            <w:tcW w:w="170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4.257</w:t>
            </w:r>
          </w:p>
        </w:tc>
        <w:tc>
          <w:tcPr>
            <w:tcW w:w="2180" w:type="dxa"/>
            <w:tcBorders>
              <w:top w:val="nil"/>
              <w:left w:val="nil"/>
              <w:bottom w:val="single" w:sz="4" w:space="0" w:color="auto"/>
              <w:right w:val="single" w:sz="4" w:space="0" w:color="auto"/>
            </w:tcBorders>
            <w:shd w:val="clear" w:color="auto" w:fill="auto"/>
            <w:vAlign w:val="center"/>
            <w:hideMark/>
          </w:tcPr>
          <w:p w:rsidR="0059625A" w:rsidRPr="006F3733" w:rsidRDefault="0059625A" w:rsidP="006F3733">
            <w:pPr>
              <w:spacing w:line="276" w:lineRule="auto"/>
              <w:jc w:val="center"/>
              <w:rPr>
                <w:rFonts w:ascii="Arial" w:hAnsi="Arial" w:cs="Arial"/>
                <w:sz w:val="18"/>
                <w:szCs w:val="18"/>
              </w:rPr>
            </w:pPr>
            <w:r w:rsidRPr="006F3733">
              <w:rPr>
                <w:rFonts w:ascii="Arial" w:hAnsi="Arial" w:cs="Arial"/>
                <w:sz w:val="18"/>
                <w:szCs w:val="18"/>
              </w:rPr>
              <w:t xml:space="preserve">               214.175.123,69 </w:t>
            </w:r>
          </w:p>
        </w:tc>
      </w:tr>
      <w:tr w:rsidR="0059625A" w:rsidRPr="006F3733" w:rsidTr="00753E31">
        <w:trPr>
          <w:trHeight w:val="288"/>
        </w:trPr>
        <w:tc>
          <w:tcPr>
            <w:tcW w:w="1160" w:type="dxa"/>
            <w:tcBorders>
              <w:top w:val="nil"/>
              <w:left w:val="nil"/>
              <w:bottom w:val="nil"/>
              <w:right w:val="nil"/>
            </w:tcBorders>
            <w:shd w:val="clear" w:color="auto" w:fill="auto"/>
            <w:noWrap/>
            <w:vAlign w:val="center"/>
            <w:hideMark/>
          </w:tcPr>
          <w:p w:rsidR="0059625A" w:rsidRPr="006F3733" w:rsidRDefault="0059625A" w:rsidP="006F3733">
            <w:pPr>
              <w:spacing w:line="276" w:lineRule="auto"/>
              <w:jc w:val="center"/>
              <w:rPr>
                <w:rFonts w:ascii="Arial" w:hAnsi="Arial" w:cs="Arial"/>
                <w:sz w:val="18"/>
                <w:szCs w:val="18"/>
              </w:rPr>
            </w:pPr>
          </w:p>
        </w:tc>
        <w:tc>
          <w:tcPr>
            <w:tcW w:w="1700" w:type="dxa"/>
            <w:tcBorders>
              <w:top w:val="nil"/>
              <w:left w:val="nil"/>
              <w:bottom w:val="nil"/>
              <w:right w:val="nil"/>
            </w:tcBorders>
            <w:shd w:val="clear" w:color="auto" w:fill="auto"/>
            <w:noWrap/>
            <w:vAlign w:val="bottom"/>
            <w:hideMark/>
          </w:tcPr>
          <w:p w:rsidR="0059625A" w:rsidRPr="006F3733" w:rsidRDefault="0059625A" w:rsidP="006F3733">
            <w:pPr>
              <w:spacing w:line="276" w:lineRule="auto"/>
              <w:ind w:firstLineChars="100" w:firstLine="180"/>
              <w:rPr>
                <w:rFonts w:ascii="Arial" w:hAnsi="Arial" w:cs="Arial"/>
                <w:sz w:val="18"/>
                <w:szCs w:val="18"/>
              </w:rPr>
            </w:pPr>
          </w:p>
        </w:tc>
        <w:tc>
          <w:tcPr>
            <w:tcW w:w="2180" w:type="dxa"/>
            <w:tcBorders>
              <w:top w:val="nil"/>
              <w:left w:val="nil"/>
              <w:bottom w:val="nil"/>
              <w:right w:val="nil"/>
            </w:tcBorders>
            <w:shd w:val="clear" w:color="000000" w:fill="F2F2F2"/>
            <w:noWrap/>
            <w:vAlign w:val="bottom"/>
            <w:hideMark/>
          </w:tcPr>
          <w:p w:rsidR="0059625A" w:rsidRPr="006F3733" w:rsidRDefault="0059625A" w:rsidP="006F3733">
            <w:pPr>
              <w:spacing w:line="276" w:lineRule="auto"/>
              <w:jc w:val="right"/>
              <w:rPr>
                <w:rFonts w:ascii="Arial" w:hAnsi="Arial" w:cs="Arial"/>
                <w:b/>
                <w:bCs/>
                <w:color w:val="000000"/>
                <w:sz w:val="18"/>
                <w:szCs w:val="18"/>
              </w:rPr>
            </w:pPr>
            <w:r w:rsidRPr="006F3733">
              <w:rPr>
                <w:rFonts w:ascii="Arial" w:hAnsi="Arial" w:cs="Arial"/>
                <w:b/>
                <w:bCs/>
                <w:color w:val="000000"/>
                <w:sz w:val="18"/>
                <w:szCs w:val="18"/>
              </w:rPr>
              <w:t>1.143.481.610,45</w:t>
            </w:r>
          </w:p>
        </w:tc>
      </w:tr>
      <w:bookmarkEnd w:id="0"/>
    </w:tbl>
    <w:p w:rsidR="006F3733" w:rsidRDefault="006F3733" w:rsidP="006F3733">
      <w:pPr>
        <w:spacing w:line="276" w:lineRule="auto"/>
        <w:jc w:val="both"/>
        <w:rPr>
          <w:rFonts w:ascii="Arial" w:hAnsi="Arial" w:cs="Arial"/>
        </w:rPr>
      </w:pPr>
    </w:p>
    <w:p w:rsidR="006F3733" w:rsidRDefault="0059625A" w:rsidP="006F3733">
      <w:pPr>
        <w:spacing w:line="276" w:lineRule="auto"/>
        <w:jc w:val="both"/>
        <w:rPr>
          <w:rFonts w:ascii="Arial" w:hAnsi="Arial" w:cs="Arial"/>
        </w:rPr>
      </w:pPr>
      <w:r w:rsidRPr="0059625A">
        <w:rPr>
          <w:rFonts w:ascii="Arial" w:hAnsi="Arial" w:cs="Arial"/>
        </w:rPr>
        <w:t>Es cuanto tengo el honor de informar en cumplimiento de lo dispuesto en el artículo 194 del Reglamento del Parlamento de Navarra.</w:t>
      </w:r>
    </w:p>
    <w:p w:rsidR="006F3733" w:rsidRDefault="0059625A" w:rsidP="006F3733">
      <w:pPr>
        <w:spacing w:line="276" w:lineRule="auto"/>
        <w:jc w:val="both"/>
        <w:rPr>
          <w:rFonts w:ascii="Arial" w:hAnsi="Arial" w:cs="Arial"/>
        </w:rPr>
      </w:pPr>
      <w:r w:rsidRPr="0059625A">
        <w:rPr>
          <w:rFonts w:ascii="Arial" w:hAnsi="Arial" w:cs="Arial"/>
        </w:rPr>
        <w:t>Pamplona, 28 enero de 2020</w:t>
      </w:r>
      <w:r w:rsidR="006F3733">
        <w:rPr>
          <w:rFonts w:ascii="Arial" w:hAnsi="Arial" w:cs="Arial"/>
        </w:rPr>
        <w:t>.</w:t>
      </w:r>
    </w:p>
    <w:p w:rsidR="0059625A" w:rsidRPr="0059625A" w:rsidRDefault="0059625A" w:rsidP="006F3733">
      <w:pPr>
        <w:spacing w:line="276" w:lineRule="auto"/>
        <w:jc w:val="center"/>
        <w:rPr>
          <w:rFonts w:ascii="Arial" w:hAnsi="Arial" w:cs="Arial"/>
        </w:rPr>
      </w:pPr>
      <w:r w:rsidRPr="0059625A">
        <w:rPr>
          <w:rFonts w:ascii="Arial" w:hAnsi="Arial" w:cs="Arial"/>
        </w:rPr>
        <w:t xml:space="preserve">La Consejera de </w:t>
      </w:r>
      <w:proofErr w:type="spellStart"/>
      <w:r w:rsidRPr="0059625A">
        <w:rPr>
          <w:rFonts w:ascii="Arial" w:hAnsi="Arial" w:cs="Arial"/>
        </w:rPr>
        <w:t>Economia</w:t>
      </w:r>
      <w:proofErr w:type="spellEnd"/>
      <w:r w:rsidRPr="0059625A">
        <w:rPr>
          <w:rFonts w:ascii="Arial" w:hAnsi="Arial" w:cs="Arial"/>
        </w:rPr>
        <w:t xml:space="preserve"> y Hacienda</w:t>
      </w:r>
      <w:r w:rsidR="006F3733">
        <w:rPr>
          <w:rFonts w:ascii="Arial" w:hAnsi="Arial" w:cs="Arial"/>
        </w:rPr>
        <w:t xml:space="preserve">: </w:t>
      </w:r>
      <w:proofErr w:type="spellStart"/>
      <w:r w:rsidRPr="0059625A">
        <w:rPr>
          <w:rFonts w:ascii="Arial" w:hAnsi="Arial" w:cs="Arial"/>
        </w:rPr>
        <w:t>Elma</w:t>
      </w:r>
      <w:proofErr w:type="spellEnd"/>
      <w:r w:rsidRPr="0059625A">
        <w:rPr>
          <w:rFonts w:ascii="Arial" w:hAnsi="Arial" w:cs="Arial"/>
        </w:rPr>
        <w:t xml:space="preserve"> Saiz Delgado</w:t>
      </w:r>
    </w:p>
    <w:sectPr w:rsidR="0059625A" w:rsidRPr="0059625A" w:rsidSect="006F3733">
      <w:headerReference w:type="first" r:id="rId8"/>
      <w:pgSz w:w="11906" w:h="16838" w:code="9"/>
      <w:pgMar w:top="2268" w:right="1418" w:bottom="142" w:left="1418" w:header="851" w:footer="709" w:gutter="0"/>
      <w:paperSrc w:firs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E31" w:rsidRDefault="00753E31">
      <w:r>
        <w:separator/>
      </w:r>
    </w:p>
  </w:endnote>
  <w:endnote w:type="continuationSeparator" w:id="0">
    <w:p w:rsidR="00753E31" w:rsidRDefault="0075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E31" w:rsidRDefault="00753E31">
      <w:r>
        <w:separator/>
      </w:r>
    </w:p>
  </w:footnote>
  <w:footnote w:type="continuationSeparator" w:id="0">
    <w:p w:rsidR="00753E31" w:rsidRDefault="0075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783" w:rsidRDefault="00287783" w:rsidP="008F42F9">
    <w:pPr>
      <w:pStyle w:val="Encabezado"/>
      <w:ind w:left="-76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B5222"/>
    <w:multiLevelType w:val="hybridMultilevel"/>
    <w:tmpl w:val="4F722936"/>
    <w:lvl w:ilvl="0" w:tplc="6F86F6D0">
      <w:start w:val="1"/>
      <w:numFmt w:val="bullet"/>
      <w:lvlText w:val="-"/>
      <w:lvlJc w:val="left"/>
      <w:pPr>
        <w:ind w:left="720" w:hanging="360"/>
      </w:pPr>
      <w:rPr>
        <w:rFonts w:ascii="Arial" w:hAnsi="Arial" w:hint="default"/>
        <w:color w:val="auto"/>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40C4CBD"/>
    <w:multiLevelType w:val="hybridMultilevel"/>
    <w:tmpl w:val="9C028A2C"/>
    <w:lvl w:ilvl="0" w:tplc="F882577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DCE0F4D"/>
    <w:multiLevelType w:val="hybridMultilevel"/>
    <w:tmpl w:val="C3D420F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B057104"/>
    <w:multiLevelType w:val="hybridMultilevel"/>
    <w:tmpl w:val="296E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784"/>
    <w:rsid w:val="00034604"/>
    <w:rsid w:val="000E4A33"/>
    <w:rsid w:val="001356D8"/>
    <w:rsid w:val="001861B5"/>
    <w:rsid w:val="001D0436"/>
    <w:rsid w:val="001E3FB5"/>
    <w:rsid w:val="001E7275"/>
    <w:rsid w:val="00205437"/>
    <w:rsid w:val="00287783"/>
    <w:rsid w:val="002D1038"/>
    <w:rsid w:val="002E36EF"/>
    <w:rsid w:val="003326DB"/>
    <w:rsid w:val="00355E3F"/>
    <w:rsid w:val="003737A4"/>
    <w:rsid w:val="00377B13"/>
    <w:rsid w:val="003B6B5E"/>
    <w:rsid w:val="003C04F6"/>
    <w:rsid w:val="00437DEA"/>
    <w:rsid w:val="005332E5"/>
    <w:rsid w:val="00556C67"/>
    <w:rsid w:val="0059625A"/>
    <w:rsid w:val="006B7E82"/>
    <w:rsid w:val="006D16AF"/>
    <w:rsid w:val="006F3733"/>
    <w:rsid w:val="00753E31"/>
    <w:rsid w:val="00885D63"/>
    <w:rsid w:val="00891965"/>
    <w:rsid w:val="008B423E"/>
    <w:rsid w:val="008F42F9"/>
    <w:rsid w:val="009C012B"/>
    <w:rsid w:val="009C19CF"/>
    <w:rsid w:val="00A95C02"/>
    <w:rsid w:val="00B819BB"/>
    <w:rsid w:val="00BA45A1"/>
    <w:rsid w:val="00BC6038"/>
    <w:rsid w:val="00DF6784"/>
    <w:rsid w:val="00E06B7E"/>
    <w:rsid w:val="00F44D88"/>
    <w:rsid w:val="00F65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link w:val="Mapadeldocumento"/>
    <w:rsid w:val="001421C6"/>
    <w:rPr>
      <w:rFonts w:ascii="Lucida Grande" w:hAnsi="Lucida Grande"/>
      <w:sz w:val="24"/>
      <w:szCs w:val="24"/>
      <w:lang w:val="es-ES" w:eastAsia="es-ES"/>
    </w:rPr>
  </w:style>
  <w:style w:type="paragraph" w:customStyle="1" w:styleId="ANUEVO">
    <w:name w:val="A.NUEVO"/>
    <w:basedOn w:val="Normal"/>
    <w:link w:val="ANUEVOCar"/>
    <w:rsid w:val="000E4A33"/>
    <w:pPr>
      <w:widowControl w:val="0"/>
      <w:overflowPunct w:val="0"/>
      <w:autoSpaceDE w:val="0"/>
      <w:autoSpaceDN w:val="0"/>
      <w:adjustRightInd w:val="0"/>
      <w:jc w:val="both"/>
      <w:textAlignment w:val="baseline"/>
    </w:pPr>
    <w:rPr>
      <w:rFonts w:ascii="Arial" w:hAnsi="Arial"/>
      <w:i/>
      <w:color w:val="0000FF"/>
      <w:sz w:val="17"/>
      <w:szCs w:val="20"/>
    </w:rPr>
  </w:style>
  <w:style w:type="character" w:customStyle="1" w:styleId="ANUEVOCar">
    <w:name w:val="A.NUEVO Car"/>
    <w:link w:val="ANUEVO"/>
    <w:rsid w:val="000E4A33"/>
    <w:rPr>
      <w:rFonts w:ascii="Arial" w:hAnsi="Arial"/>
      <w:i/>
      <w:color w:val="0000FF"/>
      <w:sz w:val="17"/>
    </w:rPr>
  </w:style>
  <w:style w:type="paragraph" w:styleId="Prrafodelista">
    <w:name w:val="List Paragraph"/>
    <w:basedOn w:val="Normal"/>
    <w:uiPriority w:val="34"/>
    <w:qFormat/>
    <w:rsid w:val="000E4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641</Words>
  <Characters>4139</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lpstr>
    </vt:vector>
  </TitlesOfParts>
  <Company>Gobierno de Navarra</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4</cp:revision>
  <cp:lastPrinted>2006-05-15T11:01:00Z</cp:lastPrinted>
  <dcterms:created xsi:type="dcterms:W3CDTF">2020-01-31T11:47:00Z</dcterms:created>
  <dcterms:modified xsi:type="dcterms:W3CDTF">2020-02-13T13:38:00Z</dcterms:modified>
</cp:coreProperties>
</file>