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abril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impacto de la crisis del Covid19 en las convocatorias que Navarra gestiona a través de la Eurorregión,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abril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para que sea respondida en el Pleno del próximo 30 de abril por la Consejera de Relaciones Ciudadanas del Gobierno de Navarra.</w:t>
      </w:r>
    </w:p>
    <w:p>
      <w:pPr>
        <w:pStyle w:val="0"/>
        <w:suppressAutoHyphens w:val="false"/>
        <w:rPr>
          <w:rStyle w:val="1"/>
        </w:rPr>
      </w:pPr>
      <w:r>
        <w:rPr>
          <w:rStyle w:val="1"/>
        </w:rPr>
        <w:t xml:space="preserve">¿Cuál es el impacto de la crisis del Covid19 en las convocatorias que Navarra gestiona a través de la Eurorregión?</w:t>
      </w:r>
    </w:p>
    <w:p>
      <w:pPr>
        <w:pStyle w:val="0"/>
        <w:suppressAutoHyphens w:val="false"/>
        <w:rPr>
          <w:rStyle w:val="1"/>
        </w:rPr>
      </w:pPr>
      <w:r>
        <w:rPr>
          <w:rStyle w:val="1"/>
        </w:rPr>
        <w:t xml:space="preserve">Pamplona-lruña a 26 de abril de 2020</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