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las siguientes interpelaciones presentadas por miembros del Grupo Parlamentario Navarra Suma: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10-20/ITP-00001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10-20/ITP-00002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10-20/ITP-00003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10-20/ITP-00007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10-20/ITP-00008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10-20/ITP-00009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