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mayo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las siguientes mociones presentadas por miembros de diferentes grupos parlamentarios: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10-19/MOC-00045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10-19/MOC-00064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10-19/MOC-00065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10-19/MOC-00066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10-19/MOC-00073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10-19/MOC-00084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10-19/MOC-00085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10-19/MOC-00086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10-19/MOC-00087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10-19/MOC-00104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10-19/MOC-00106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10-19/MOC-00107</w:t>
        <w:t xml:space="preserve">�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10-20/MOC-00004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10-20/MOC-00020</w:t>
      </w:r>
    </w:p>
    <w:p>
      <w:pPr>
        <w:pStyle w:val="0"/>
        <w:spacing w:after="56.693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10-20/MOC-00031</w:t>
      </w:r>
    </w:p>
    <w:p>
      <w:pPr>
        <w:pStyle w:val="0"/>
        <w:spacing w:after="113.386" w:before="0" w:line="210" w:lineRule="exact"/>
        <w:suppressAutoHyphens w:val="false"/>
        <w:rPr>
          <w:rStyle w:val="1"/>
        </w:rPr>
      </w:pPr>
      <w:r>
        <w:rPr>
          <w:rStyle w:val="1"/>
        </w:rPr>
        <w:t xml:space="preserve">10-20/MOC-00039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mayo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