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adaptadas a Navarra que se van a tomar durante el proceso de desescalada,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del próximo 28 de mayo por la Consejera de Salud del Gobierno de Navarra.</w:t>
      </w:r>
    </w:p>
    <w:p>
      <w:pPr>
        <w:pStyle w:val="0"/>
        <w:suppressAutoHyphens w:val="false"/>
        <w:rPr>
          <w:rStyle w:val="1"/>
        </w:rPr>
      </w:pPr>
      <w:r>
        <w:rPr>
          <w:rStyle w:val="1"/>
        </w:rPr>
        <w:t xml:space="preserve">¿Qué medidas adaptadas a Navarra se van a tomar durante el proceso de desescalada? Si entre ellas se incluye el control de casos a nuevos grupos, ¿con qué criterios?</w:t>
      </w:r>
    </w:p>
    <w:p>
      <w:pPr>
        <w:pStyle w:val="0"/>
        <w:suppressAutoHyphens w:val="false"/>
        <w:rPr>
          <w:rStyle w:val="1"/>
        </w:rPr>
      </w:pPr>
      <w:r>
        <w:rPr>
          <w:rStyle w:val="1"/>
        </w:rPr>
        <w:t xml:space="preserve">Pamplona-lruña a 21 de mayo de 2020</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