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hace un llamamiento para que sea la palabra y la cortesía parlamentaria la que presida los debates políticos frente a la descalificación y la violencia observadas en las últimas semanas en el ámbito nacional.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se reafirma en la defensa de la pluralidad de las diferentes visiones políticas de nuestra comunidad y las considera enriquecedoras desde todos los puntos de vista.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Que los llamamientos a la criminalización sobre diferentes identidades políticas suponen un evidente riesgo para la convivencia pacífica a nivel nacional, autonómico y municipal y deberían desterrarse del debate político” (10-20/DEC-00036).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junio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