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gestiones ha realizado el Gobierno de Navarra en relación al recurso del Gobierno de España contra la reforma del Fuero Nuevo de Navarra,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Juan Luis Sánchez de Muniáin Lacasia, miembro de las Cortes de Navarra, adscrito al Grupo Parlamentario Navarra Suma, al amparo de lo dispuesto en los artículos 190, 191 y 192 del Reglamento de la Cámara, realiza la siguiente pregunta a la Presidenta del Gobierno de Navarra para su respuesta oral en el próximo Pleno:</w:t>
      </w:r>
    </w:p>
    <w:p>
      <w:pPr>
        <w:pStyle w:val="0"/>
        <w:suppressAutoHyphens w:val="false"/>
        <w:rPr>
          <w:rStyle w:val="1"/>
        </w:rPr>
      </w:pPr>
      <w:r>
        <w:rPr>
          <w:rStyle w:val="1"/>
        </w:rPr>
        <w:t xml:space="preserve">¿Qué gestiones ha realizado su Gobierno (aparte de la obligada personación jurídica en el procedimiento) en relación con el recurso del Gobierno de España contra la reforma del Fuero Nuevo de Navarra?</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Parlamentario Foral: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