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598" w:rsidRDefault="00047598" w:rsidP="00047598">
      <w:pPr>
        <w:pStyle w:val="Estilo"/>
        <w:spacing w:after="200" w:line="320" w:lineRule="exact"/>
        <w:rPr>
          <w:rFonts w:asciiTheme="minorHAnsi" w:hAnsiTheme="minorHAnsi"/>
          <w:sz w:val="28"/>
          <w:szCs w:val="28"/>
        </w:rPr>
      </w:pPr>
      <w:bookmarkStart w:id="0" w:name="_GoBack"/>
      <w:r>
        <w:rPr>
          <w:rFonts w:asciiTheme="minorHAnsi" w:hAnsiTheme="minorHAnsi"/>
          <w:sz w:val="28"/>
          <w:szCs w:val="28"/>
        </w:rPr>
        <w:t>PES-00068</w:t>
      </w:r>
    </w:p>
    <w:p w:rsidR="00047598" w:rsidRDefault="00047598" w:rsidP="00047598">
      <w:pPr>
        <w:pStyle w:val="Estilo"/>
        <w:spacing w:after="200" w:line="320" w:lineRule="exact"/>
        <w:rPr>
          <w:rFonts w:asciiTheme="minorHAnsi" w:hAnsiTheme="minorHAnsi"/>
          <w:sz w:val="28"/>
          <w:szCs w:val="28"/>
        </w:rPr>
      </w:pPr>
      <w:r>
        <w:rPr>
          <w:rFonts w:asciiTheme="minorHAnsi" w:hAnsiTheme="minorHAnsi"/>
          <w:sz w:val="28"/>
          <w:szCs w:val="28"/>
        </w:rPr>
        <w:t>EH Bildu Nafarroa talde parlamentarioari atxikitako foru parlamentari Bakartxo Ruiz Jaso andreak idatzizko galdera egin du (20PES-00068), zeinean informazioa eskatzen baitu “COVID-19aren pandemian zehar zentro pribatuetara deribatutako gaixoei eta deribazio horien ezaugarri eta fakturazio-moduari buruz”. Honako hau da Nafarroako Gobernuko Osasuneko kontseilariak horri buruz ematen dion informazioa:</w:t>
      </w:r>
    </w:p>
    <w:p w:rsidR="00047598" w:rsidRPr="00767509" w:rsidRDefault="00047598" w:rsidP="00047598">
      <w:pPr>
        <w:pStyle w:val="Estilo"/>
        <w:spacing w:after="200" w:line="320" w:lineRule="exact"/>
        <w:rPr>
          <w:rFonts w:asciiTheme="minorHAnsi" w:hAnsiTheme="minorHAnsi"/>
          <w:sz w:val="28"/>
          <w:szCs w:val="28"/>
        </w:rPr>
      </w:pPr>
      <w:r>
        <w:rPr>
          <w:rFonts w:asciiTheme="minorHAnsi" w:hAnsiTheme="minorHAnsi"/>
          <w:sz w:val="28"/>
          <w:szCs w:val="28"/>
        </w:rPr>
        <w:t xml:space="preserve">1. Martxoan eta apirilean </w:t>
      </w:r>
      <w:proofErr w:type="spellStart"/>
      <w:r>
        <w:rPr>
          <w:rFonts w:asciiTheme="minorHAnsi" w:hAnsiTheme="minorHAnsi"/>
          <w:sz w:val="28"/>
          <w:szCs w:val="28"/>
        </w:rPr>
        <w:t>O-NOZek</w:t>
      </w:r>
      <w:proofErr w:type="spellEnd"/>
      <w:r>
        <w:rPr>
          <w:rFonts w:asciiTheme="minorHAnsi" w:hAnsiTheme="minorHAnsi"/>
          <w:sz w:val="28"/>
          <w:szCs w:val="28"/>
        </w:rPr>
        <w:t xml:space="preserve"> zentro pribatuetara egindako deribazioak, COVID-19aren gaixoenak (maiatzean jada ez da bat bera ere deribatu), honako hauek dira: </w:t>
      </w:r>
    </w:p>
    <w:tbl>
      <w:tblPr>
        <w:tblW w:w="0" w:type="auto"/>
        <w:tblInd w:w="1281" w:type="dxa"/>
        <w:tblLayout w:type="fixed"/>
        <w:tblCellMar>
          <w:left w:w="0" w:type="dxa"/>
          <w:right w:w="0" w:type="dxa"/>
        </w:tblCellMar>
        <w:tblLook w:val="0000" w:firstRow="0" w:lastRow="0" w:firstColumn="0" w:lastColumn="0" w:noHBand="0" w:noVBand="0"/>
      </w:tblPr>
      <w:tblGrid>
        <w:gridCol w:w="1229"/>
        <w:gridCol w:w="1701"/>
        <w:gridCol w:w="1701"/>
        <w:gridCol w:w="1701"/>
      </w:tblGrid>
      <w:tr w:rsidR="00047598" w:rsidRPr="00767509" w:rsidTr="00750A4F">
        <w:trPr>
          <w:trHeight w:val="20"/>
        </w:trPr>
        <w:tc>
          <w:tcPr>
            <w:tcW w:w="1229" w:type="dxa"/>
            <w:tcBorders>
              <w:bottom w:val="single" w:sz="4" w:space="0" w:color="auto"/>
              <w:right w:val="single" w:sz="4" w:space="0" w:color="auto"/>
            </w:tcBorders>
            <w:vAlign w:val="center"/>
          </w:tcPr>
          <w:p w:rsidR="00047598" w:rsidRPr="0028480F" w:rsidRDefault="00047598" w:rsidP="00750A4F">
            <w:pPr>
              <w:pStyle w:val="Estilo"/>
              <w:spacing w:before="20" w:after="20"/>
              <w:jc w:val="center"/>
              <w:rPr>
                <w:rFonts w:asciiTheme="minorHAnsi" w:hAnsiTheme="minorHAnsi"/>
                <w:sz w:val="19"/>
                <w:szCs w:val="19"/>
              </w:rPr>
            </w:pP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047598" w:rsidRPr="00767509" w:rsidRDefault="00047598" w:rsidP="00750A4F">
            <w:pPr>
              <w:pStyle w:val="Estilo"/>
              <w:spacing w:before="20" w:after="20"/>
              <w:jc w:val="center"/>
              <w:rPr>
                <w:rFonts w:asciiTheme="minorHAnsi" w:hAnsiTheme="minorHAnsi"/>
                <w:b/>
                <w:sz w:val="19"/>
                <w:szCs w:val="19"/>
              </w:rPr>
            </w:pPr>
            <w:r>
              <w:rPr>
                <w:rFonts w:asciiTheme="minorHAnsi" w:hAnsiTheme="minorHAnsi"/>
                <w:b/>
                <w:sz w:val="19"/>
                <w:szCs w:val="19"/>
              </w:rPr>
              <w:t>Gaixoak</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047598" w:rsidRPr="00767509" w:rsidRDefault="00047598" w:rsidP="00750A4F">
            <w:pPr>
              <w:pStyle w:val="Estilo"/>
              <w:spacing w:before="20" w:after="20"/>
              <w:jc w:val="center"/>
              <w:rPr>
                <w:rFonts w:asciiTheme="minorHAnsi" w:hAnsiTheme="minorHAnsi"/>
                <w:b/>
                <w:sz w:val="19"/>
                <w:szCs w:val="19"/>
              </w:rPr>
            </w:pPr>
            <w:r>
              <w:rPr>
                <w:rFonts w:asciiTheme="minorHAnsi" w:hAnsiTheme="minorHAnsi"/>
                <w:b/>
                <w:sz w:val="19"/>
                <w:szCs w:val="19"/>
              </w:rPr>
              <w:t xml:space="preserve">Gaixoak </w:t>
            </w:r>
            <w:proofErr w:type="spellStart"/>
            <w:r>
              <w:rPr>
                <w:rFonts w:asciiTheme="minorHAnsi" w:hAnsiTheme="minorHAnsi"/>
                <w:b/>
                <w:sz w:val="19"/>
                <w:szCs w:val="19"/>
              </w:rPr>
              <w:t>ZIUn</w:t>
            </w:r>
            <w:proofErr w:type="spellEnd"/>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047598" w:rsidRPr="00767509" w:rsidRDefault="00047598" w:rsidP="00750A4F">
            <w:pPr>
              <w:pStyle w:val="Estilo"/>
              <w:spacing w:before="20" w:after="20"/>
              <w:jc w:val="center"/>
              <w:rPr>
                <w:rFonts w:asciiTheme="minorHAnsi" w:hAnsiTheme="minorHAnsi"/>
                <w:b/>
                <w:sz w:val="19"/>
                <w:szCs w:val="19"/>
              </w:rPr>
            </w:pPr>
            <w:r>
              <w:rPr>
                <w:rFonts w:asciiTheme="minorHAnsi" w:hAnsiTheme="minorHAnsi"/>
                <w:b/>
                <w:sz w:val="19"/>
                <w:szCs w:val="19"/>
              </w:rPr>
              <w:t xml:space="preserve">Gaixoak, </w:t>
            </w:r>
            <w:proofErr w:type="spellStart"/>
            <w:r>
              <w:rPr>
                <w:rFonts w:asciiTheme="minorHAnsi" w:hAnsiTheme="minorHAnsi"/>
                <w:b/>
                <w:sz w:val="19"/>
                <w:szCs w:val="19"/>
              </w:rPr>
              <w:t>ZIUtik</w:t>
            </w:r>
            <w:proofErr w:type="spellEnd"/>
            <w:r>
              <w:rPr>
                <w:rFonts w:asciiTheme="minorHAnsi" w:hAnsiTheme="minorHAnsi"/>
                <w:b/>
                <w:sz w:val="19"/>
                <w:szCs w:val="19"/>
              </w:rPr>
              <w:t xml:space="preserve"> kanpo</w:t>
            </w:r>
          </w:p>
        </w:tc>
      </w:tr>
      <w:tr w:rsidR="00047598" w:rsidRPr="00767509" w:rsidTr="00750A4F">
        <w:trPr>
          <w:trHeight w:val="20"/>
        </w:trPr>
        <w:tc>
          <w:tcPr>
            <w:tcW w:w="1229"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CUN</w:t>
            </w: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154</w:t>
            </w: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23</w:t>
            </w: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131</w:t>
            </w:r>
          </w:p>
        </w:tc>
      </w:tr>
      <w:tr w:rsidR="00047598" w:rsidRPr="00767509" w:rsidTr="00750A4F">
        <w:trPr>
          <w:trHeight w:val="20"/>
        </w:trPr>
        <w:tc>
          <w:tcPr>
            <w:tcW w:w="1229"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SMK</w:t>
            </w: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52</w:t>
            </w: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8</w:t>
            </w: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44</w:t>
            </w:r>
          </w:p>
        </w:tc>
      </w:tr>
      <w:tr w:rsidR="00047598" w:rsidRPr="00767509" w:rsidTr="00750A4F">
        <w:trPr>
          <w:trHeight w:val="20"/>
        </w:trPr>
        <w:tc>
          <w:tcPr>
            <w:tcW w:w="1229"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SJDO</w:t>
            </w: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147</w:t>
            </w: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o</w:t>
            </w: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rPr>
            </w:pPr>
            <w:r>
              <w:rPr>
                <w:rFonts w:asciiTheme="minorHAnsi" w:hAnsiTheme="minorHAnsi"/>
                <w:sz w:val="19"/>
                <w:szCs w:val="19"/>
              </w:rPr>
              <w:t>147</w:t>
            </w:r>
          </w:p>
        </w:tc>
      </w:tr>
      <w:tr w:rsidR="00047598" w:rsidRPr="00767509" w:rsidTr="00750A4F">
        <w:trPr>
          <w:trHeight w:val="20"/>
        </w:trPr>
        <w:tc>
          <w:tcPr>
            <w:tcW w:w="1229"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sz w:val="19"/>
                <w:szCs w:val="19"/>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b/>
                <w:sz w:val="19"/>
                <w:szCs w:val="19"/>
              </w:rPr>
            </w:pPr>
            <w:r>
              <w:rPr>
                <w:rFonts w:asciiTheme="minorHAnsi" w:hAnsiTheme="minorHAnsi"/>
                <w:b/>
                <w:sz w:val="19"/>
                <w:szCs w:val="19"/>
              </w:rPr>
              <w:t>353</w:t>
            </w: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b/>
                <w:sz w:val="19"/>
                <w:szCs w:val="19"/>
              </w:rPr>
            </w:pPr>
            <w:r>
              <w:rPr>
                <w:rFonts w:asciiTheme="minorHAnsi" w:hAnsiTheme="minorHAnsi"/>
                <w:b/>
                <w:sz w:val="19"/>
                <w:szCs w:val="19"/>
              </w:rPr>
              <w:t>31</w:t>
            </w:r>
          </w:p>
        </w:tc>
        <w:tc>
          <w:tcPr>
            <w:tcW w:w="1701" w:type="dxa"/>
            <w:tcBorders>
              <w:top w:val="single" w:sz="4" w:space="0" w:color="auto"/>
              <w:left w:val="single" w:sz="4" w:space="0" w:color="auto"/>
              <w:bottom w:val="single" w:sz="4" w:space="0" w:color="auto"/>
              <w:right w:val="single" w:sz="4" w:space="0" w:color="auto"/>
            </w:tcBorders>
            <w:vAlign w:val="center"/>
          </w:tcPr>
          <w:p w:rsidR="00047598" w:rsidRPr="00767509" w:rsidRDefault="00047598" w:rsidP="00750A4F">
            <w:pPr>
              <w:pStyle w:val="Estilo"/>
              <w:spacing w:before="20" w:after="20"/>
              <w:jc w:val="center"/>
              <w:rPr>
                <w:rFonts w:asciiTheme="minorHAnsi" w:hAnsiTheme="minorHAnsi"/>
                <w:b/>
                <w:sz w:val="19"/>
                <w:szCs w:val="19"/>
              </w:rPr>
            </w:pPr>
            <w:r>
              <w:rPr>
                <w:rFonts w:asciiTheme="minorHAnsi" w:hAnsiTheme="minorHAnsi"/>
                <w:b/>
                <w:sz w:val="19"/>
                <w:szCs w:val="19"/>
              </w:rPr>
              <w:t>321</w:t>
            </w:r>
          </w:p>
        </w:tc>
      </w:tr>
    </w:tbl>
    <w:p w:rsidR="00047598" w:rsidRDefault="00047598" w:rsidP="00047598">
      <w:pPr>
        <w:pStyle w:val="Estilo"/>
        <w:spacing w:after="200" w:line="320" w:lineRule="exact"/>
        <w:rPr>
          <w:rFonts w:asciiTheme="minorHAnsi" w:hAnsiTheme="minorHAnsi"/>
          <w:sz w:val="28"/>
          <w:szCs w:val="28"/>
        </w:rPr>
      </w:pPr>
      <w:r>
        <w:rPr>
          <w:rFonts w:asciiTheme="minorHAnsi" w:hAnsiTheme="minorHAnsi"/>
          <w:sz w:val="28"/>
          <w:szCs w:val="28"/>
        </w:rPr>
        <w:t xml:space="preserve">Horiei arreta emateko protokoloak, bai eta proba diagnostikoak, tratamendua eta ospitaleratze-irizpideak ere, bai solairuan, bai </w:t>
      </w:r>
      <w:proofErr w:type="spellStart"/>
      <w:r>
        <w:rPr>
          <w:rFonts w:asciiTheme="minorHAnsi" w:hAnsiTheme="minorHAnsi"/>
          <w:sz w:val="28"/>
          <w:szCs w:val="28"/>
        </w:rPr>
        <w:t>ZIUra</w:t>
      </w:r>
      <w:proofErr w:type="spellEnd"/>
      <w:r>
        <w:rPr>
          <w:rFonts w:asciiTheme="minorHAnsi" w:hAnsiTheme="minorHAnsi"/>
          <w:sz w:val="28"/>
          <w:szCs w:val="28"/>
        </w:rPr>
        <w:t xml:space="preserve"> sartzeko irizpideak berdinak izan dira ospitale guztietan, eta Nafarroako </w:t>
      </w:r>
      <w:proofErr w:type="spellStart"/>
      <w:r>
        <w:rPr>
          <w:rFonts w:asciiTheme="minorHAnsi" w:hAnsiTheme="minorHAnsi"/>
          <w:sz w:val="28"/>
          <w:szCs w:val="28"/>
        </w:rPr>
        <w:t>Ospitaleguneko</w:t>
      </w:r>
      <w:proofErr w:type="spellEnd"/>
      <w:r>
        <w:rPr>
          <w:rFonts w:asciiTheme="minorHAnsi" w:hAnsiTheme="minorHAnsi"/>
          <w:sz w:val="28"/>
          <w:szCs w:val="28"/>
        </w:rPr>
        <w:t xml:space="preserve"> kudeatzailearen eta Nafarroako </w:t>
      </w:r>
      <w:proofErr w:type="spellStart"/>
      <w:r>
        <w:rPr>
          <w:rFonts w:asciiTheme="minorHAnsi" w:hAnsiTheme="minorHAnsi"/>
          <w:sz w:val="28"/>
          <w:szCs w:val="28"/>
        </w:rPr>
        <w:t>Ospitaleguneko</w:t>
      </w:r>
      <w:proofErr w:type="spellEnd"/>
      <w:r>
        <w:rPr>
          <w:rFonts w:asciiTheme="minorHAnsi" w:hAnsiTheme="minorHAnsi"/>
          <w:sz w:val="28"/>
          <w:szCs w:val="28"/>
        </w:rPr>
        <w:t xml:space="preserve"> </w:t>
      </w:r>
      <w:proofErr w:type="spellStart"/>
      <w:r>
        <w:rPr>
          <w:rFonts w:asciiTheme="minorHAnsi" w:hAnsiTheme="minorHAnsi"/>
          <w:sz w:val="28"/>
          <w:szCs w:val="28"/>
        </w:rPr>
        <w:t>ZIUko</w:t>
      </w:r>
      <w:proofErr w:type="spellEnd"/>
      <w:r>
        <w:rPr>
          <w:rFonts w:asciiTheme="minorHAnsi" w:hAnsiTheme="minorHAnsi"/>
          <w:sz w:val="28"/>
          <w:szCs w:val="28"/>
        </w:rPr>
        <w:t xml:space="preserve"> zerbitzuburuaren aginte bakarrarekin koordinatu dira.</w:t>
      </w:r>
    </w:p>
    <w:p w:rsidR="00047598" w:rsidRDefault="00047598" w:rsidP="00047598">
      <w:pPr>
        <w:pStyle w:val="Estilo"/>
        <w:spacing w:after="200" w:line="320" w:lineRule="exact"/>
        <w:rPr>
          <w:rFonts w:asciiTheme="minorHAnsi" w:hAnsiTheme="minorHAnsi"/>
          <w:sz w:val="28"/>
          <w:szCs w:val="28"/>
        </w:rPr>
      </w:pPr>
      <w:proofErr w:type="spellStart"/>
      <w:r>
        <w:rPr>
          <w:rFonts w:asciiTheme="minorHAnsi" w:hAnsiTheme="minorHAnsi"/>
          <w:sz w:val="28"/>
          <w:szCs w:val="28"/>
        </w:rPr>
        <w:t>ZIUko</w:t>
      </w:r>
      <w:proofErr w:type="spellEnd"/>
      <w:r>
        <w:rPr>
          <w:rFonts w:asciiTheme="minorHAnsi" w:hAnsiTheme="minorHAnsi"/>
          <w:sz w:val="28"/>
          <w:szCs w:val="28"/>
        </w:rPr>
        <w:t xml:space="preserve"> batez besteko egonaldia 25 egunekoa izan da, eta ospitaleratzeen batez besteko egonaldia, berriz, 12 egunekoa, salbu San Juan de Dios Ospitaleko pazienteena, horien batez besteko egonaldia 20 egunekoa izan baita (San Juan de Dios Ospitaleak ez du </w:t>
      </w:r>
      <w:proofErr w:type="spellStart"/>
      <w:r>
        <w:rPr>
          <w:rFonts w:asciiTheme="minorHAnsi" w:hAnsiTheme="minorHAnsi"/>
          <w:sz w:val="28"/>
          <w:szCs w:val="28"/>
        </w:rPr>
        <w:t>ZIUrik</w:t>
      </w:r>
      <w:proofErr w:type="spellEnd"/>
      <w:r>
        <w:rPr>
          <w:rFonts w:asciiTheme="minorHAnsi" w:hAnsiTheme="minorHAnsi"/>
          <w:sz w:val="28"/>
          <w:szCs w:val="28"/>
        </w:rPr>
        <w:t>).</w:t>
      </w:r>
    </w:p>
    <w:p w:rsidR="00047598" w:rsidRDefault="00047598" w:rsidP="00047598">
      <w:pPr>
        <w:pStyle w:val="Estilo"/>
        <w:spacing w:after="200" w:line="320" w:lineRule="exact"/>
        <w:rPr>
          <w:rFonts w:asciiTheme="minorHAnsi" w:hAnsiTheme="minorHAnsi"/>
          <w:sz w:val="28"/>
          <w:szCs w:val="28"/>
        </w:rPr>
      </w:pPr>
      <w:r>
        <w:rPr>
          <w:rFonts w:asciiTheme="minorHAnsi" w:hAnsiTheme="minorHAnsi"/>
          <w:sz w:val="28"/>
          <w:szCs w:val="28"/>
        </w:rPr>
        <w:t xml:space="preserve">2. </w:t>
      </w:r>
      <w:proofErr w:type="spellStart"/>
      <w:r>
        <w:rPr>
          <w:rFonts w:asciiTheme="minorHAnsi" w:hAnsiTheme="minorHAnsi"/>
          <w:sz w:val="28"/>
          <w:szCs w:val="28"/>
        </w:rPr>
        <w:t>O-NOZek</w:t>
      </w:r>
      <w:proofErr w:type="spellEnd"/>
      <w:r>
        <w:rPr>
          <w:rFonts w:asciiTheme="minorHAnsi" w:hAnsiTheme="minorHAnsi"/>
          <w:sz w:val="28"/>
          <w:szCs w:val="28"/>
        </w:rPr>
        <w:t xml:space="preserve"> Nafarroako </w:t>
      </w:r>
      <w:proofErr w:type="spellStart"/>
      <w:r>
        <w:rPr>
          <w:rFonts w:asciiTheme="minorHAnsi" w:hAnsiTheme="minorHAnsi"/>
          <w:sz w:val="28"/>
          <w:szCs w:val="28"/>
        </w:rPr>
        <w:t>Ospitaleguneko</w:t>
      </w:r>
      <w:proofErr w:type="spellEnd"/>
      <w:r>
        <w:rPr>
          <w:rFonts w:asciiTheme="minorHAnsi" w:hAnsiTheme="minorHAnsi"/>
          <w:sz w:val="28"/>
          <w:szCs w:val="28"/>
        </w:rPr>
        <w:t xml:space="preserve"> </w:t>
      </w:r>
      <w:proofErr w:type="spellStart"/>
      <w:r>
        <w:rPr>
          <w:rFonts w:asciiTheme="minorHAnsi" w:hAnsiTheme="minorHAnsi"/>
          <w:sz w:val="28"/>
          <w:szCs w:val="28"/>
        </w:rPr>
        <w:t>ZIUko</w:t>
      </w:r>
      <w:proofErr w:type="spellEnd"/>
      <w:r>
        <w:rPr>
          <w:rFonts w:asciiTheme="minorHAnsi" w:hAnsiTheme="minorHAnsi"/>
          <w:sz w:val="28"/>
          <w:szCs w:val="28"/>
        </w:rPr>
        <w:t xml:space="preserve"> edo ospitaleratze arrunteko egonaldiek izandako kostu errealaren arabera  ordainduko die  zentro pribatuei.</w:t>
      </w:r>
    </w:p>
    <w:p w:rsidR="00047598" w:rsidRDefault="00047598" w:rsidP="00047598">
      <w:pPr>
        <w:pStyle w:val="Estilo"/>
        <w:spacing w:after="200" w:line="320" w:lineRule="exact"/>
        <w:rPr>
          <w:rFonts w:asciiTheme="minorHAnsi" w:hAnsiTheme="minorHAnsi"/>
          <w:sz w:val="28"/>
          <w:szCs w:val="28"/>
        </w:rPr>
      </w:pPr>
      <w:r>
        <w:rPr>
          <w:rFonts w:asciiTheme="minorHAnsi" w:hAnsiTheme="minorHAnsi"/>
          <w:sz w:val="28"/>
          <w:szCs w:val="28"/>
        </w:rPr>
        <w:t xml:space="preserve">Batez besteko kostu erreala kalkulatzeko, </w:t>
      </w:r>
      <w:proofErr w:type="spellStart"/>
      <w:r>
        <w:rPr>
          <w:rFonts w:asciiTheme="minorHAnsi" w:hAnsiTheme="minorHAnsi"/>
          <w:sz w:val="28"/>
          <w:szCs w:val="28"/>
        </w:rPr>
        <w:t>O-NOZeko</w:t>
      </w:r>
      <w:proofErr w:type="spellEnd"/>
      <w:r>
        <w:rPr>
          <w:rFonts w:asciiTheme="minorHAnsi" w:hAnsiTheme="minorHAnsi"/>
          <w:sz w:val="28"/>
          <w:szCs w:val="28"/>
        </w:rPr>
        <w:t xml:space="preserve"> Kudeaketa Ekonomikoaren eta Zerbitzu Orokorren Zuzendaritzako Kostuaren Kontrol eta Analisirako Zerbitzua zehatz samar kalkulatzen ari da COVID-19 duen gaixo baten batez besteko gastua, eta gastu hori izanen da Nafarroako </w:t>
      </w:r>
      <w:proofErr w:type="spellStart"/>
      <w:r>
        <w:rPr>
          <w:rFonts w:asciiTheme="minorHAnsi" w:hAnsiTheme="minorHAnsi"/>
          <w:sz w:val="28"/>
          <w:szCs w:val="28"/>
        </w:rPr>
        <w:t>Ospitaleguneko</w:t>
      </w:r>
      <w:proofErr w:type="spellEnd"/>
      <w:r>
        <w:rPr>
          <w:rFonts w:asciiTheme="minorHAnsi" w:hAnsiTheme="minorHAnsi"/>
          <w:sz w:val="28"/>
          <w:szCs w:val="28"/>
        </w:rPr>
        <w:t xml:space="preserve"> </w:t>
      </w:r>
      <w:proofErr w:type="spellStart"/>
      <w:r>
        <w:rPr>
          <w:rFonts w:asciiTheme="minorHAnsi" w:hAnsiTheme="minorHAnsi"/>
          <w:sz w:val="28"/>
          <w:szCs w:val="28"/>
        </w:rPr>
        <w:t>ZIUko</w:t>
      </w:r>
      <w:proofErr w:type="spellEnd"/>
      <w:r>
        <w:rPr>
          <w:rFonts w:asciiTheme="minorHAnsi" w:hAnsiTheme="minorHAnsi"/>
          <w:sz w:val="28"/>
          <w:szCs w:val="28"/>
        </w:rPr>
        <w:t xml:space="preserve"> eta ospitaleratze arrunteko erreferentzia osasun zentro pribatuei fakturatzeko.</w:t>
      </w:r>
    </w:p>
    <w:p w:rsidR="00047598" w:rsidRDefault="00047598" w:rsidP="00047598">
      <w:pPr>
        <w:pStyle w:val="Estilo"/>
        <w:spacing w:after="200" w:line="320" w:lineRule="exact"/>
        <w:rPr>
          <w:rFonts w:asciiTheme="minorHAnsi" w:hAnsiTheme="minorHAnsi"/>
          <w:sz w:val="28"/>
          <w:szCs w:val="28"/>
        </w:rPr>
      </w:pPr>
      <w:r>
        <w:rPr>
          <w:rFonts w:asciiTheme="minorHAnsi" w:hAnsiTheme="minorHAnsi"/>
          <w:sz w:val="28"/>
          <w:szCs w:val="28"/>
        </w:rPr>
        <w:t>Hori guztia jakinarazten dizut, Nafarroako Parlamentuko Erregelamenduaren 194. artikulua betez.</w:t>
      </w:r>
    </w:p>
    <w:p w:rsidR="00047598" w:rsidRDefault="00047598" w:rsidP="00047598">
      <w:pPr>
        <w:pStyle w:val="Estilo"/>
        <w:spacing w:after="200" w:line="320" w:lineRule="exact"/>
        <w:rPr>
          <w:rFonts w:asciiTheme="minorHAnsi" w:hAnsiTheme="minorHAnsi"/>
          <w:sz w:val="28"/>
          <w:szCs w:val="28"/>
        </w:rPr>
      </w:pPr>
      <w:r>
        <w:rPr>
          <w:rFonts w:asciiTheme="minorHAnsi" w:hAnsiTheme="minorHAnsi"/>
          <w:sz w:val="28"/>
          <w:szCs w:val="28"/>
        </w:rPr>
        <w:t>Iruñean, 2020ko maiatzaren 22an</w:t>
      </w:r>
    </w:p>
    <w:p w:rsidR="005D6830" w:rsidRDefault="00047598" w:rsidP="00047598">
      <w:r>
        <w:rPr>
          <w:rFonts w:asciiTheme="minorHAnsi" w:hAnsiTheme="minorHAnsi"/>
          <w:sz w:val="28"/>
          <w:szCs w:val="28"/>
        </w:rPr>
        <w:t xml:space="preserve">Osasuneko kontseilaria: Santos </w:t>
      </w:r>
      <w:proofErr w:type="spellStart"/>
      <w:r>
        <w:rPr>
          <w:rFonts w:asciiTheme="minorHAnsi" w:hAnsiTheme="minorHAnsi"/>
          <w:sz w:val="28"/>
          <w:szCs w:val="28"/>
        </w:rPr>
        <w:t>Induráin</w:t>
      </w:r>
      <w:proofErr w:type="spellEnd"/>
      <w:r>
        <w:rPr>
          <w:rFonts w:asciiTheme="minorHAnsi" w:hAnsiTheme="minorHAnsi"/>
          <w:sz w:val="28"/>
          <w:szCs w:val="28"/>
        </w:rPr>
        <w:t xml:space="preserve"> Orduna</w:t>
      </w:r>
      <w:bookmarkEnd w:id="0"/>
    </w:p>
    <w:sectPr w:rsidR="005D6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598"/>
    <w:rsid w:val="00047598"/>
    <w:rsid w:val="000957E2"/>
    <w:rsid w:val="0028480F"/>
    <w:rsid w:val="004D7F0B"/>
    <w:rsid w:val="005D6830"/>
    <w:rsid w:val="00F62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98"/>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047598"/>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98"/>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047598"/>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Iñaki De Santiago</cp:lastModifiedBy>
  <cp:revision>2</cp:revision>
  <dcterms:created xsi:type="dcterms:W3CDTF">2020-07-22T10:20:00Z</dcterms:created>
  <dcterms:modified xsi:type="dcterms:W3CDTF">2020-07-22T10:20:00Z</dcterms:modified>
</cp:coreProperties>
</file>