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acuerdo entre la Federación Española de Municipios y Provincias y el Gobierno de España relativo a la prórroga del procedimiento de ejecución de inversiones financieramente sostenibles, formulada por la Ilma. Sra. D.ª Yolanda Ibáñez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Yolanda Ibáñez Pérez, miembro de las Cortes de Navarra, adscrita al Grupo Parlamentario de Navarra Suma, al amparo de lo dispuesto en el Reglamento de la Cámara, realiza la siguiente pregunta escrita. </w:t>
      </w:r>
    </w:p>
    <w:p>
      <w:pPr>
        <w:pStyle w:val="0"/>
        <w:suppressAutoHyphens w:val="false"/>
        <w:rPr>
          <w:rStyle w:val="1"/>
        </w:rPr>
      </w:pPr>
      <w:r>
        <w:rPr>
          <w:rStyle w:val="1"/>
        </w:rPr>
        <w:t xml:space="preserve">En relación con el acuerdo entre la FEMP (Federación Española de Municipios y Provincias) y el Gobierno de España en el que dice: “Décimo.- Se permitirá, excepcionalmente, prorrogar el procedimiento de ejecución de inversiones financieramente sostenibles cuyos proyectos se iniciaron en 2019 y que se están financiando con superávit de 2018, siempre que en 2020 ejecuten la fase de disposición o compromiso dentro del procedimiento de ejecución del gasto”, ¿cuál es la postura del Gobierno de Navarra? </w:t>
      </w:r>
    </w:p>
    <w:p>
      <w:pPr>
        <w:pStyle w:val="0"/>
        <w:suppressAutoHyphens w:val="false"/>
        <w:rPr>
          <w:rStyle w:val="1"/>
        </w:rPr>
      </w:pPr>
      <w:r>
        <w:rPr>
          <w:rStyle w:val="1"/>
        </w:rPr>
        <w:t xml:space="preserve">Pamplona, 12 de agosto de 2020 </w:t>
      </w:r>
    </w:p>
    <w:p>
      <w:pPr>
        <w:pStyle w:val="0"/>
        <w:suppressAutoHyphens w:val="false"/>
        <w:rPr>
          <w:rStyle w:val="1"/>
        </w:rPr>
      </w:pPr>
      <w:r>
        <w:rPr>
          <w:rStyle w:val="1"/>
        </w:rPr>
        <w:t xml:space="preserve">La Parlamentaria Foral: Yolanda lbáñez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