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PES-00131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EH Bildu Nafarroa talde parlamentarioko kide eta foru parlamentari Laura Aznal Sagasti andreak idatziz erantzuteko 10-20 PES-00131 galdera egin du. Hona hemen Nafarroako Gobernuko Lurralde Kohesioko kontseilari Bernardo Ciriza Pérez jaunak horri buruz informatu beharrekoa: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1.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Garraioaren Eskualde Komitearen deialdiari dagokionez, uste dugu Garraio Kontseilua aipatu nahi dela.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Kasu horretan, argitu behar dut aurreikusita dagoela komitea urteko bigarren seihilekoan biltzeko deia egitea.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2.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COVID-19ak Nafarroako garraioaren sektorean izan duen eraginaren garrantzia balioesteari dagokionez, jakinarazi nahi dut COVID-19ak eragin handia izan duela errepideko bidaiarien garraioaren sektorean.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Alarma egoerak pertsonen zirkulazio askatasuna mugatu izanak bidaiari kopurua izugarri murriztea eragin du.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Ongi dakizunez, Espainiako Gobernuak onetsitako 463/2020 Errege Dekretuak herritarrei etxetik ateratzeko aukera ematen zien soilik lan egiteko edo funtsezko kudeaketak egiteko; beraz, Nafarroako Gobernuak linea bakoitzeko espedizio-kopurua garraio-behar berrietara egokitu zuen.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Gainera, pandemiaren aurka borrokatzeko, eta Osasun eta Garraio Ministerioen zehaztapenekin bat etorriz, bidaiarien artean utzi beharreko tartea handitu zen, eta horrek autobus bakoitzeko plaza-kopurua murriztea ekarri zuen, eta ibilgailuen higiene- eta desinfekzio-neurriak ezarri ziren egunero.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Neurri horien guztien ondorioz, errepide bidezko bidaiarien hiriarteko garraio erregularraren sektoreak galerak izan zituen alarma egoerak iraun zuen bitartean. Nafarroako Gobernuaren kalkuluen arabera 2.024.422 eurokoak izan dira galera horiek.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Hori dela eta, eta garraio-zerbitzu horiek ematen dituzten enpresentzako konpentsazio ekonomiko gisa, Nafarroako Gobernuak foru lege-dekretu bidez onetsi du 2 milioi euro bideratzea errepideko bidaiarien hiriarteko garraioaren sektorean alarma-egoeraren indarraldian izandako defizita konpentsatzeko.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Gainera, Espainiako Gobernuak aurre egin dien enplegu-erregulazioko espedienteen kostua eta ICO laguntzak aipatu nahi ditut.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Bestalde, COVID-19aren inpaktuaren kudeaketari/ikuskapenari dagokionez, ezin da kostu ekonomiko gisa adierazi, baina egia da, ordea, lanbide-gaitasunaren ziurtagiriaren azterketak (apirilaren 24an eta ekainaren 19an) eta lanbide-gaikuntzaren ziurtagiriaren azterketa etetea (maiatzaren 9an) ekarri zuela.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Ikuskapenaren esparruan, zaila da kalkulatzea zehapenen ondoriozko diru-sarreren murrizketan izanen duen eragin ekonomikoa, baina igarotako denboragatik 300.000 euro ingurukoa izan daitekeela kalkulatzen da.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Salgaien garraioari dagokionez, Garraioko Zuzendaritza Nagusiak harreman estua izan du aldi horretan salgaien garraioko elkarteekin (ANET eta Tradisna).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Une honetan, sektoreak zerbitzu-murrizketa bat badu oraindik, zeina % 70ekoa izatera iritsi baitzen martxoaren 30etik apirilaren 5era bitarteko astean, bertan funtsezko zerbitzuez besterik ez baitzen eman.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Antzeman den arazo nagusietako bat da salgaiekin kargatutako bidaiak itzultzea lortzea zailagoa dela, eta horrek onurak murriztea eragiten duela.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3.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Garraiolariek orain Barne Ministerioarekin egin behar dituzten kudeaketak egiteari utzi izanaren ondorioz Departamentuarentzat zenbatetsi den aurrezpen ekonomikoari dagokionez, jakinarazi nahi dut garraio-baimenen kudeaketa eta arlo horretako zehapen-ahalmena, Estatuaren eskumena bada ere, autonomia-erkidegoei eskumenak eskuordetzan ematearen bidez gauzatzen dela, Estatuaren Ahalmenak Autonomia Erkidegoei Eskuordetzeari buruzko Lege Organikoaren bitartez.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Zehazki, Nafarroako Foru Komunitatean, garraioen arloan eskumena duen zerbitzuari dagokio, zeina gaur egun, Ikuskapen, Kudeaketa, Garraio Antolaketa eta Mugikortasun Zerbitzua baita.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Lurreko Garraioen Antolamenduari buruzko Legea (LOTL) aldatzen duen uztailaren 4ko 9/2013 Legearen bidez, izapidetze telematikoaren betebeharra ezarri zen garraio-baimenen esparruan egin beharreko izapide guztietarako. Izapidetze modu hori pixkanaka ezarri da, baina kudeaketa autonomia-erkidegoek egiten jarraitzen dute, aipatutako eskuordetzaren arabera.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Baimenak telematikoki izapidetzeak partikularrek aurkeztu beharreko dokumentazioa sinplifikatzea ekarri du.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Hala ere, egin beharreko lanak ez dira murriztu, aldatu baino ez dira egin.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Adibide gisa aipatuko ditugu beste erakunde edo erregistro publiko batzuen datuen barne-kontsultak, interesdunen aldez aurreko baimenarekin dagokion funtzionarioak egin behar dituenak eta aurkeztu behar ez diren agiriak ordezten dituztenak, edo modu iraunkorrean egiten den informazio- eta laguntza-lana.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Azken batean, garraio-baimenen eta zehapen-espedienteen kudeaketa telematikoak ez dakar garraiolariak zuzeneko izapidetzea egitea Garraio, Mugikortasun eta Hiri Agendaren Ministerioarekin, eta espediente guztiak Ikuskapen, Kudeaketa, Garraio Antolamendu eta Mugikortasun Zerbitzuan ebazten dira; beraz, aldaketa horrek ez dio aurrezpen ekonomikorik ekarri Lurralde Kohesioko Departamentuari.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Hori jakinarazten dizut, Nafarroako Parlamentuko Erregelamenduaren 194. artikuluan xedatutakoa betetzeko.</w:t>
      </w:r>
    </w:p>
    <w:p w:rsidR="00E563A6" w:rsidRDefault="00E563A6" w:rsidP="00E563A6">
      <w:pPr>
        <w:pStyle w:val="Estilo"/>
        <w:spacing w:after="200" w:line="320" w:lineRule="exact"/>
        <w:rPr>
          <w:sz w:val="28"/>
          <w:szCs w:val="28"/>
          <w:rFonts w:asciiTheme="minorHAnsi" w:hAnsiTheme="minorHAnsi"/>
        </w:rPr>
      </w:pPr>
      <w:r>
        <w:rPr>
          <w:sz w:val="28"/>
          <w:szCs w:val="28"/>
          <w:rFonts w:asciiTheme="minorHAnsi" w:hAnsiTheme="minorHAnsi"/>
        </w:rPr>
        <w:t xml:space="preserve">Iruñean, 2020ko abuztuaren 3an</w:t>
      </w:r>
    </w:p>
    <w:p w:rsidR="005D6830" w:rsidRDefault="00E563A6" w:rsidP="00E563A6">
      <w:r>
        <w:rPr>
          <w:sz w:val="28"/>
          <w:szCs w:val="28"/>
          <w:rFonts w:asciiTheme="minorHAnsi" w:hAnsiTheme="minorHAnsi"/>
        </w:rPr>
        <w:t xml:space="preserve">Lurralde Kohesiorako kontseilaria:</w:t>
      </w:r>
      <w:r>
        <w:rPr>
          <w:sz w:val="28"/>
          <w:szCs w:val="28"/>
          <w:rFonts w:asciiTheme="minorHAnsi" w:hAnsiTheme="minorHAnsi"/>
        </w:rPr>
        <w:t xml:space="preserve"> </w:t>
      </w:r>
      <w:r>
        <w:rPr>
          <w:sz w:val="28"/>
          <w:szCs w:val="28"/>
          <w:rFonts w:asciiTheme="minorHAnsi" w:hAnsiTheme="minorHAnsi"/>
        </w:rPr>
        <w:t xml:space="preserve">Bernardo Ciriza Pérez</w:t>
      </w:r>
    </w:p>
    <w:sectPr w:rsidR="005D6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A6"/>
    <w:rsid w:val="000957E2"/>
    <w:rsid w:val="004D7F0B"/>
    <w:rsid w:val="005D6830"/>
    <w:rsid w:val="007806C6"/>
    <w:rsid w:val="00E563A6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A6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E56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A6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E56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Iñaki De Santiago</cp:lastModifiedBy>
  <cp:revision>1</cp:revision>
  <dcterms:created xsi:type="dcterms:W3CDTF">2020-08-05T07:07:00Z</dcterms:created>
  <dcterms:modified xsi:type="dcterms:W3CDTF">2020-08-05T07:07:00Z</dcterms:modified>
</cp:coreProperties>
</file>