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0A" w:rsidRPr="003D460A" w:rsidRDefault="003D460A" w:rsidP="00453A73">
      <w:pPr>
        <w:spacing w:line="360" w:lineRule="auto"/>
        <w:ind w:left="426"/>
        <w:jc w:val="both"/>
        <w:rPr>
          <w:rFonts w:ascii="Arial" w:hAnsi="Arial" w:cs="Arial"/>
          <w:sz w:val="22"/>
          <w:szCs w:val="22"/>
          <w:lang w:val="es-ES_tradnl"/>
        </w:rPr>
      </w:pPr>
      <w:r w:rsidRPr="003D460A">
        <w:rPr>
          <w:rFonts w:ascii="Arial" w:hAnsi="Arial" w:cs="Arial"/>
          <w:sz w:val="22"/>
          <w:szCs w:val="22"/>
          <w:lang w:val="es-ES_tradnl"/>
        </w:rPr>
        <w:t>9 de septiembre</w:t>
      </w:r>
    </w:p>
    <w:p w:rsidR="003D460A" w:rsidRPr="003D460A" w:rsidRDefault="00AC00D4" w:rsidP="0005536F">
      <w:pPr>
        <w:spacing w:line="360" w:lineRule="auto"/>
        <w:ind w:left="426"/>
        <w:jc w:val="both"/>
        <w:rPr>
          <w:rFonts w:ascii="Arial" w:hAnsi="Arial" w:cs="Arial"/>
          <w:sz w:val="22"/>
          <w:szCs w:val="22"/>
        </w:rPr>
      </w:pPr>
      <w:r w:rsidRPr="003D460A">
        <w:rPr>
          <w:rFonts w:ascii="Arial" w:hAnsi="Arial" w:cs="Arial"/>
          <w:sz w:val="22"/>
          <w:szCs w:val="22"/>
        </w:rPr>
        <w:t>El</w:t>
      </w:r>
      <w:r w:rsidR="00453A73" w:rsidRPr="003D460A">
        <w:rPr>
          <w:rFonts w:ascii="Arial" w:hAnsi="Arial" w:cs="Arial"/>
          <w:sz w:val="22"/>
          <w:szCs w:val="22"/>
        </w:rPr>
        <w:t xml:space="preserve"> Consejer</w:t>
      </w:r>
      <w:r w:rsidRPr="003D460A">
        <w:rPr>
          <w:rFonts w:ascii="Arial" w:hAnsi="Arial" w:cs="Arial"/>
          <w:sz w:val="22"/>
          <w:szCs w:val="22"/>
        </w:rPr>
        <w:t>o</w:t>
      </w:r>
      <w:r w:rsidR="00453A73" w:rsidRPr="003D460A">
        <w:rPr>
          <w:rFonts w:ascii="Arial" w:hAnsi="Arial" w:cs="Arial"/>
          <w:sz w:val="22"/>
          <w:szCs w:val="22"/>
        </w:rPr>
        <w:t xml:space="preserve"> de </w:t>
      </w:r>
      <w:r w:rsidRPr="003D460A">
        <w:rPr>
          <w:rFonts w:ascii="Arial" w:hAnsi="Arial" w:cs="Arial"/>
          <w:sz w:val="22"/>
          <w:szCs w:val="22"/>
        </w:rPr>
        <w:t>Cohesión Territorial</w:t>
      </w:r>
      <w:r w:rsidR="00453A73" w:rsidRPr="003D460A">
        <w:rPr>
          <w:rFonts w:ascii="Arial" w:hAnsi="Arial" w:cs="Arial"/>
          <w:sz w:val="22"/>
          <w:szCs w:val="22"/>
        </w:rPr>
        <w:t xml:space="preserve"> del Gobierno de Navarra, en relación con la pregunta para su contestación por escrito </w:t>
      </w:r>
      <w:r w:rsidRPr="003D460A">
        <w:rPr>
          <w:rFonts w:ascii="Arial" w:hAnsi="Arial" w:cs="Arial"/>
          <w:sz w:val="22"/>
          <w:szCs w:val="22"/>
        </w:rPr>
        <w:t>10-19/PES-001</w:t>
      </w:r>
      <w:r w:rsidR="00F75878" w:rsidRPr="003D460A">
        <w:rPr>
          <w:rFonts w:ascii="Arial" w:hAnsi="Arial" w:cs="Arial"/>
          <w:sz w:val="22"/>
          <w:szCs w:val="22"/>
        </w:rPr>
        <w:t>5</w:t>
      </w:r>
      <w:r w:rsidR="004105B7" w:rsidRPr="003D460A">
        <w:rPr>
          <w:rFonts w:ascii="Arial" w:hAnsi="Arial" w:cs="Arial"/>
          <w:sz w:val="22"/>
          <w:szCs w:val="22"/>
        </w:rPr>
        <w:t>7</w:t>
      </w:r>
      <w:r w:rsidRPr="003D460A">
        <w:rPr>
          <w:rFonts w:ascii="Arial" w:hAnsi="Arial" w:cs="Arial"/>
          <w:sz w:val="22"/>
          <w:szCs w:val="22"/>
        </w:rPr>
        <w:t xml:space="preserve"> </w:t>
      </w:r>
      <w:r w:rsidR="00453A73" w:rsidRPr="003D460A">
        <w:rPr>
          <w:rFonts w:ascii="Arial" w:hAnsi="Arial" w:cs="Arial"/>
          <w:sz w:val="22"/>
          <w:szCs w:val="22"/>
        </w:rPr>
        <w:t xml:space="preserve">formulada por </w:t>
      </w:r>
      <w:r w:rsidRPr="003D460A">
        <w:rPr>
          <w:rFonts w:ascii="Arial" w:hAnsi="Arial" w:cs="Arial"/>
          <w:sz w:val="22"/>
          <w:szCs w:val="22"/>
        </w:rPr>
        <w:t>la</w:t>
      </w:r>
      <w:r w:rsidR="00453A73" w:rsidRPr="003D460A">
        <w:rPr>
          <w:rFonts w:ascii="Arial" w:hAnsi="Arial" w:cs="Arial"/>
          <w:sz w:val="22"/>
          <w:szCs w:val="22"/>
        </w:rPr>
        <w:t xml:space="preserve"> Parlamentari</w:t>
      </w:r>
      <w:r w:rsidR="002C5CF9" w:rsidRPr="003D460A">
        <w:rPr>
          <w:rFonts w:ascii="Arial" w:hAnsi="Arial" w:cs="Arial"/>
          <w:sz w:val="22"/>
          <w:szCs w:val="22"/>
        </w:rPr>
        <w:t>a</w:t>
      </w:r>
      <w:r w:rsidR="00453A73" w:rsidRPr="003D460A">
        <w:rPr>
          <w:rFonts w:ascii="Arial" w:hAnsi="Arial" w:cs="Arial"/>
          <w:sz w:val="22"/>
          <w:szCs w:val="22"/>
        </w:rPr>
        <w:t xml:space="preserve"> Foral Ilm</w:t>
      </w:r>
      <w:r w:rsidRPr="003D460A">
        <w:rPr>
          <w:rFonts w:ascii="Arial" w:hAnsi="Arial" w:cs="Arial"/>
          <w:sz w:val="22"/>
          <w:szCs w:val="22"/>
        </w:rPr>
        <w:t>a</w:t>
      </w:r>
      <w:r w:rsidR="00453A73" w:rsidRPr="003D460A">
        <w:rPr>
          <w:rFonts w:ascii="Arial" w:hAnsi="Arial" w:cs="Arial"/>
          <w:sz w:val="22"/>
          <w:szCs w:val="22"/>
        </w:rPr>
        <w:t>. Sr</w:t>
      </w:r>
      <w:r w:rsidRPr="003D460A">
        <w:rPr>
          <w:rFonts w:ascii="Arial" w:hAnsi="Arial" w:cs="Arial"/>
          <w:sz w:val="22"/>
          <w:szCs w:val="22"/>
        </w:rPr>
        <w:t>a</w:t>
      </w:r>
      <w:r w:rsidR="00453A73" w:rsidRPr="003D460A">
        <w:rPr>
          <w:rFonts w:ascii="Arial" w:hAnsi="Arial" w:cs="Arial"/>
          <w:sz w:val="22"/>
          <w:szCs w:val="22"/>
        </w:rPr>
        <w:t>. D</w:t>
      </w:r>
      <w:r w:rsidR="003D460A" w:rsidRPr="003D460A">
        <w:rPr>
          <w:rFonts w:ascii="Arial" w:hAnsi="Arial" w:cs="Arial"/>
          <w:sz w:val="22"/>
          <w:szCs w:val="22"/>
        </w:rPr>
        <w:t>.</w:t>
      </w:r>
      <w:r w:rsidRPr="003D460A">
        <w:rPr>
          <w:rFonts w:ascii="Arial" w:hAnsi="Arial" w:cs="Arial"/>
          <w:sz w:val="22"/>
          <w:szCs w:val="22"/>
        </w:rPr>
        <w:t>ª</w:t>
      </w:r>
      <w:r w:rsidR="00453A73" w:rsidRPr="003D460A">
        <w:rPr>
          <w:rFonts w:ascii="Arial" w:hAnsi="Arial" w:cs="Arial"/>
          <w:sz w:val="22"/>
          <w:szCs w:val="22"/>
        </w:rPr>
        <w:t xml:space="preserve"> </w:t>
      </w:r>
      <w:r w:rsidR="00417186" w:rsidRPr="003D460A">
        <w:rPr>
          <w:rFonts w:ascii="Arial" w:hAnsi="Arial" w:cs="Arial"/>
          <w:sz w:val="22"/>
          <w:szCs w:val="22"/>
        </w:rPr>
        <w:t xml:space="preserve">Yolanda Ibáñez Pérez, </w:t>
      </w:r>
      <w:r w:rsidR="00453A73" w:rsidRPr="003D460A">
        <w:rPr>
          <w:rFonts w:ascii="Arial" w:hAnsi="Arial" w:cs="Arial"/>
          <w:sz w:val="22"/>
          <w:szCs w:val="22"/>
        </w:rPr>
        <w:t>adscrit</w:t>
      </w:r>
      <w:r w:rsidR="00417186" w:rsidRPr="003D460A">
        <w:rPr>
          <w:rFonts w:ascii="Arial" w:hAnsi="Arial" w:cs="Arial"/>
          <w:sz w:val="22"/>
          <w:szCs w:val="22"/>
        </w:rPr>
        <w:t>a</w:t>
      </w:r>
      <w:r w:rsidR="00453A73" w:rsidRPr="003D460A">
        <w:rPr>
          <w:rFonts w:ascii="Arial" w:hAnsi="Arial" w:cs="Arial"/>
          <w:sz w:val="22"/>
          <w:szCs w:val="22"/>
        </w:rPr>
        <w:t xml:space="preserve"> al Grupo Parlamentario</w:t>
      </w:r>
      <w:r w:rsidRPr="003D460A">
        <w:rPr>
          <w:rFonts w:ascii="Arial" w:hAnsi="Arial" w:cs="Arial"/>
          <w:sz w:val="22"/>
          <w:szCs w:val="22"/>
        </w:rPr>
        <w:t xml:space="preserve"> </w:t>
      </w:r>
      <w:r w:rsidR="002C5CF9" w:rsidRPr="003D460A">
        <w:rPr>
          <w:rFonts w:ascii="Arial" w:hAnsi="Arial" w:cs="Arial"/>
          <w:sz w:val="22"/>
          <w:szCs w:val="22"/>
        </w:rPr>
        <w:t>de Navarra Suma</w:t>
      </w:r>
      <w:r w:rsidR="003D460A" w:rsidRPr="003D460A">
        <w:rPr>
          <w:rFonts w:ascii="Arial" w:hAnsi="Arial" w:cs="Arial"/>
          <w:sz w:val="22"/>
          <w:szCs w:val="22"/>
        </w:rPr>
        <w:t xml:space="preserve">, acuerdo entre la </w:t>
      </w:r>
      <w:r w:rsidR="003D460A" w:rsidRPr="003D460A">
        <w:rPr>
          <w:rFonts w:ascii="Arial" w:hAnsi="Arial" w:cs="Arial"/>
          <w:sz w:val="22"/>
          <w:szCs w:val="22"/>
        </w:rPr>
        <w:t>Federación Española de Municipio</w:t>
      </w:r>
      <w:r w:rsidR="003D460A" w:rsidRPr="003D460A">
        <w:rPr>
          <w:rFonts w:ascii="Arial" w:hAnsi="Arial" w:cs="Arial"/>
          <w:sz w:val="22"/>
          <w:szCs w:val="22"/>
        </w:rPr>
        <w:t xml:space="preserve">s y Provincias y el Gobierno de </w:t>
      </w:r>
      <w:r w:rsidR="003D460A" w:rsidRPr="003D460A">
        <w:rPr>
          <w:rFonts w:ascii="Arial" w:hAnsi="Arial" w:cs="Arial"/>
          <w:sz w:val="22"/>
          <w:szCs w:val="22"/>
        </w:rPr>
        <w:t>España relativo a la prórroga de</w:t>
      </w:r>
      <w:r w:rsidR="003D460A" w:rsidRPr="003D460A">
        <w:rPr>
          <w:rFonts w:ascii="Arial" w:hAnsi="Arial" w:cs="Arial"/>
          <w:sz w:val="22"/>
          <w:szCs w:val="22"/>
        </w:rPr>
        <w:t xml:space="preserve">l procedimiento de ejecución de </w:t>
      </w:r>
      <w:r w:rsidR="003D460A" w:rsidRPr="003D460A">
        <w:rPr>
          <w:rFonts w:ascii="Arial" w:hAnsi="Arial" w:cs="Arial"/>
          <w:sz w:val="22"/>
          <w:szCs w:val="22"/>
        </w:rPr>
        <w:t>inversiones financieramente sostenibles</w:t>
      </w:r>
      <w:r w:rsidR="003D460A" w:rsidRPr="003D460A">
        <w:rPr>
          <w:rFonts w:ascii="Arial" w:hAnsi="Arial" w:cs="Arial"/>
          <w:sz w:val="22"/>
          <w:szCs w:val="22"/>
        </w:rPr>
        <w:t xml:space="preserve">, </w:t>
      </w:r>
      <w:r w:rsidR="0020264B" w:rsidRPr="003D460A">
        <w:rPr>
          <w:rFonts w:ascii="Arial" w:hAnsi="Arial" w:cs="Arial"/>
          <w:sz w:val="22"/>
          <w:szCs w:val="22"/>
        </w:rPr>
        <w:t>tiene el honor de in</w:t>
      </w:r>
      <w:r w:rsidR="00F75878" w:rsidRPr="003D460A">
        <w:rPr>
          <w:rFonts w:ascii="Arial" w:hAnsi="Arial" w:cs="Arial"/>
          <w:sz w:val="22"/>
          <w:szCs w:val="22"/>
        </w:rPr>
        <w:t xml:space="preserve">formar </w:t>
      </w:r>
      <w:r w:rsidR="0005536F" w:rsidRPr="003D460A">
        <w:rPr>
          <w:rFonts w:ascii="Arial" w:hAnsi="Arial" w:cs="Arial"/>
          <w:sz w:val="22"/>
          <w:szCs w:val="22"/>
        </w:rPr>
        <w:t>que el acuerdo mencionado entre la Federación Española de Municipios y Provincias y el Gobierno de España se encuentra recogido en el Art.</w:t>
      </w:r>
      <w:r w:rsidR="003D460A" w:rsidRPr="003D460A">
        <w:rPr>
          <w:rFonts w:ascii="Arial" w:hAnsi="Arial" w:cs="Arial"/>
          <w:sz w:val="22"/>
          <w:szCs w:val="22"/>
        </w:rPr>
        <w:t xml:space="preserve"> </w:t>
      </w:r>
      <w:r w:rsidR="0005536F" w:rsidRPr="003D460A">
        <w:rPr>
          <w:rFonts w:ascii="Arial" w:hAnsi="Arial" w:cs="Arial"/>
          <w:sz w:val="22"/>
          <w:szCs w:val="22"/>
        </w:rPr>
        <w:t xml:space="preserve">2 del Real Decreto Ley 27/2020 de medidas financieras de carácter extraordinario y urgente aplicables a las entidades locales, en vigor desde su publicación en BOE de 5 de agosto de 2020. </w:t>
      </w:r>
    </w:p>
    <w:p w:rsidR="003D460A" w:rsidRPr="003D460A" w:rsidRDefault="0005536F" w:rsidP="0005536F">
      <w:pPr>
        <w:spacing w:line="360" w:lineRule="auto"/>
        <w:ind w:left="426"/>
        <w:jc w:val="both"/>
        <w:rPr>
          <w:rFonts w:ascii="Arial" w:hAnsi="Arial" w:cs="Arial"/>
          <w:sz w:val="22"/>
          <w:szCs w:val="22"/>
        </w:rPr>
      </w:pPr>
      <w:r w:rsidRPr="003D460A">
        <w:rPr>
          <w:rFonts w:ascii="Arial" w:hAnsi="Arial" w:cs="Arial"/>
          <w:sz w:val="22"/>
          <w:szCs w:val="22"/>
        </w:rPr>
        <w:t>En virtud de este artículo, las entidades locales de Navarra que aprobaron inversiones financieramente sostenibles en 2019 financiadas con superávit de 2018, tienen un mayor plazo para la ejecución de las mismas, ya que pueden finalizarlas en 2021 en lugar de 2020.</w:t>
      </w:r>
    </w:p>
    <w:p w:rsidR="003D460A" w:rsidRPr="003D460A" w:rsidRDefault="0005536F" w:rsidP="0005536F">
      <w:pPr>
        <w:spacing w:line="360" w:lineRule="auto"/>
        <w:ind w:left="426"/>
        <w:jc w:val="both"/>
        <w:rPr>
          <w:rFonts w:ascii="Arial" w:hAnsi="Arial" w:cs="Arial"/>
          <w:sz w:val="22"/>
          <w:szCs w:val="22"/>
        </w:rPr>
      </w:pPr>
      <w:r w:rsidRPr="003D460A">
        <w:rPr>
          <w:rFonts w:ascii="Arial" w:hAnsi="Arial" w:cs="Arial"/>
          <w:sz w:val="22"/>
          <w:szCs w:val="22"/>
        </w:rPr>
        <w:t>Para ello las inversiones deben estar obligatoriam</w:t>
      </w:r>
      <w:bookmarkStart w:id="0" w:name="_GoBack"/>
      <w:bookmarkEnd w:id="0"/>
      <w:r w:rsidRPr="003D460A">
        <w:rPr>
          <w:rFonts w:ascii="Arial" w:hAnsi="Arial" w:cs="Arial"/>
          <w:sz w:val="22"/>
          <w:szCs w:val="22"/>
        </w:rPr>
        <w:t>ente autorizadas en 2019 y comprometidas en su totalidad en 2020. La parte del gasto que se ejecute en 2021 se financiará con remanente de tesorería para gastos generales del cierre de 2020, quedando afecto a esta finalidad, no pudiendo incurrir la entidad en déficit en la liquidación del presupuesto 2021.</w:t>
      </w:r>
    </w:p>
    <w:p w:rsidR="003D460A" w:rsidRPr="003D460A" w:rsidRDefault="0005536F" w:rsidP="0005536F">
      <w:pPr>
        <w:spacing w:line="360" w:lineRule="auto"/>
        <w:ind w:left="426"/>
        <w:jc w:val="both"/>
        <w:rPr>
          <w:rFonts w:ascii="Arial" w:hAnsi="Arial" w:cs="Arial"/>
          <w:sz w:val="22"/>
          <w:szCs w:val="22"/>
        </w:rPr>
      </w:pPr>
      <w:r w:rsidRPr="003D460A">
        <w:rPr>
          <w:rFonts w:ascii="Arial" w:hAnsi="Arial" w:cs="Arial"/>
          <w:sz w:val="22"/>
          <w:szCs w:val="22"/>
        </w:rPr>
        <w:t>Se trata de inversiones de las entidades locales financiadas con cargo a su superávit y, por lo tanto, se desconoce si en Navarra hay alguna entidad local en esta situación, es decir, con Inversiones Financieramente Sostenibles, financiadas con cargo al superávit del año 2018 y que no se vayan a terminar en el año 2020.</w:t>
      </w:r>
    </w:p>
    <w:p w:rsidR="003D460A" w:rsidRPr="003D460A" w:rsidRDefault="0005536F" w:rsidP="0005536F">
      <w:pPr>
        <w:spacing w:line="360" w:lineRule="auto"/>
        <w:ind w:left="426"/>
        <w:jc w:val="both"/>
        <w:rPr>
          <w:rFonts w:ascii="Arial" w:hAnsi="Arial" w:cs="Arial"/>
          <w:sz w:val="22"/>
          <w:szCs w:val="22"/>
        </w:rPr>
      </w:pPr>
      <w:r w:rsidRPr="003D460A">
        <w:rPr>
          <w:rFonts w:ascii="Arial" w:hAnsi="Arial" w:cs="Arial"/>
          <w:sz w:val="22"/>
          <w:szCs w:val="22"/>
        </w:rPr>
        <w:t xml:space="preserve">Por lo tanto, se trata de una medida que no afecta al Gobierno de Navarra y deberán ser las entidades locales en esta situación las que hagan una valoración de la misma, pero en principio parece que se trata de una medida que facilita la gestión presupuestaria de proyectos locales que se han podido ver retrasados en su ejecución como consecuencia de la situación generada por el </w:t>
      </w:r>
      <w:proofErr w:type="spellStart"/>
      <w:r w:rsidRPr="003D460A">
        <w:rPr>
          <w:rFonts w:ascii="Arial" w:hAnsi="Arial" w:cs="Arial"/>
          <w:sz w:val="22"/>
          <w:szCs w:val="22"/>
        </w:rPr>
        <w:t>Covid</w:t>
      </w:r>
      <w:proofErr w:type="spellEnd"/>
      <w:r w:rsidRPr="003D460A">
        <w:rPr>
          <w:rFonts w:ascii="Arial" w:hAnsi="Arial" w:cs="Arial"/>
          <w:sz w:val="22"/>
          <w:szCs w:val="22"/>
        </w:rPr>
        <w:t>-19.</w:t>
      </w:r>
    </w:p>
    <w:p w:rsidR="003D460A" w:rsidRPr="003D460A" w:rsidRDefault="00453A73" w:rsidP="00453A73">
      <w:pPr>
        <w:spacing w:line="360" w:lineRule="auto"/>
        <w:ind w:left="426"/>
        <w:jc w:val="both"/>
        <w:rPr>
          <w:rFonts w:ascii="Arial" w:hAnsi="Arial" w:cs="Arial"/>
          <w:sz w:val="22"/>
          <w:szCs w:val="22"/>
        </w:rPr>
      </w:pPr>
      <w:r w:rsidRPr="003D460A">
        <w:rPr>
          <w:rFonts w:ascii="Arial" w:hAnsi="Arial" w:cs="Arial"/>
          <w:sz w:val="22"/>
          <w:szCs w:val="22"/>
        </w:rPr>
        <w:t>Es cuanto informo en cumplimiento de lo dispuesto en el artículo 194 del Reglamento del Parlamento de Navarra.</w:t>
      </w:r>
    </w:p>
    <w:p w:rsidR="003D460A" w:rsidRPr="003D460A" w:rsidRDefault="00B60C30" w:rsidP="00B60C30">
      <w:pPr>
        <w:spacing w:line="360" w:lineRule="auto"/>
        <w:jc w:val="center"/>
        <w:rPr>
          <w:rFonts w:ascii="Arial" w:hAnsi="Arial" w:cs="Arial"/>
          <w:sz w:val="22"/>
          <w:szCs w:val="22"/>
        </w:rPr>
      </w:pPr>
      <w:r w:rsidRPr="003D460A">
        <w:rPr>
          <w:rFonts w:ascii="Arial" w:hAnsi="Arial" w:cs="Arial"/>
          <w:sz w:val="22"/>
          <w:szCs w:val="22"/>
        </w:rPr>
        <w:t xml:space="preserve">Pamplona-Iruña, a </w:t>
      </w:r>
      <w:r w:rsidR="00E709AB" w:rsidRPr="003D460A">
        <w:rPr>
          <w:rFonts w:ascii="Arial" w:hAnsi="Arial" w:cs="Arial"/>
          <w:sz w:val="22"/>
          <w:szCs w:val="22"/>
        </w:rPr>
        <w:t>7</w:t>
      </w:r>
      <w:r w:rsidRPr="003D460A">
        <w:rPr>
          <w:rFonts w:ascii="Arial" w:hAnsi="Arial" w:cs="Arial"/>
          <w:sz w:val="22"/>
          <w:szCs w:val="22"/>
        </w:rPr>
        <w:t xml:space="preserve"> de </w:t>
      </w:r>
      <w:r w:rsidR="00B30B0D" w:rsidRPr="003D460A">
        <w:rPr>
          <w:rFonts w:ascii="Arial" w:hAnsi="Arial" w:cs="Arial"/>
          <w:sz w:val="22"/>
          <w:szCs w:val="22"/>
        </w:rPr>
        <w:t>septiembre</w:t>
      </w:r>
      <w:r w:rsidRPr="003D460A">
        <w:rPr>
          <w:rFonts w:ascii="Arial" w:hAnsi="Arial" w:cs="Arial"/>
          <w:sz w:val="22"/>
          <w:szCs w:val="22"/>
        </w:rPr>
        <w:t xml:space="preserve"> de 2020</w:t>
      </w:r>
    </w:p>
    <w:p w:rsidR="00B60C30" w:rsidRPr="003D460A" w:rsidRDefault="003D460A" w:rsidP="00B60C30">
      <w:pPr>
        <w:spacing w:line="360" w:lineRule="auto"/>
        <w:jc w:val="center"/>
        <w:rPr>
          <w:rFonts w:ascii="Arial" w:hAnsi="Arial" w:cs="Arial"/>
          <w:sz w:val="22"/>
          <w:szCs w:val="22"/>
        </w:rPr>
      </w:pPr>
      <w:r w:rsidRPr="003D460A">
        <w:rPr>
          <w:rFonts w:ascii="Arial" w:hAnsi="Arial" w:cs="Arial"/>
          <w:sz w:val="22"/>
          <w:szCs w:val="22"/>
        </w:rPr>
        <w:t>El Consejero de Cohesión Territorial</w:t>
      </w:r>
      <w:r w:rsidRPr="003D460A">
        <w:rPr>
          <w:rFonts w:ascii="Arial" w:hAnsi="Arial" w:cs="Arial"/>
          <w:sz w:val="22"/>
          <w:szCs w:val="22"/>
        </w:rPr>
        <w:t>:</w:t>
      </w:r>
      <w:r w:rsidRPr="003D460A">
        <w:rPr>
          <w:rFonts w:ascii="Arial" w:hAnsi="Arial" w:cs="Arial"/>
          <w:sz w:val="22"/>
          <w:szCs w:val="22"/>
        </w:rPr>
        <w:t xml:space="preserve"> </w:t>
      </w:r>
      <w:r w:rsidR="00B60C30" w:rsidRPr="003D460A">
        <w:rPr>
          <w:rFonts w:ascii="Arial" w:hAnsi="Arial" w:cs="Arial"/>
          <w:sz w:val="22"/>
          <w:szCs w:val="22"/>
        </w:rPr>
        <w:t xml:space="preserve">Bernardo </w:t>
      </w:r>
      <w:proofErr w:type="spellStart"/>
      <w:r w:rsidR="00B60C30" w:rsidRPr="003D460A">
        <w:rPr>
          <w:rFonts w:ascii="Arial" w:hAnsi="Arial" w:cs="Arial"/>
          <w:sz w:val="22"/>
          <w:szCs w:val="22"/>
        </w:rPr>
        <w:t>Ciriza</w:t>
      </w:r>
      <w:proofErr w:type="spellEnd"/>
      <w:r w:rsidR="00B60C30" w:rsidRPr="003D460A">
        <w:rPr>
          <w:rFonts w:ascii="Arial" w:hAnsi="Arial" w:cs="Arial"/>
          <w:sz w:val="22"/>
          <w:szCs w:val="22"/>
        </w:rPr>
        <w:t xml:space="preserve"> Pérez</w:t>
      </w:r>
    </w:p>
    <w:sectPr w:rsidR="00B60C30" w:rsidRPr="003D460A" w:rsidSect="003D460A">
      <w:headerReference w:type="default" r:id="rId8"/>
      <w:footerReference w:type="default" r:id="rId9"/>
      <w:headerReference w:type="first" r:id="rId10"/>
      <w:footerReference w:type="first" r:id="rId11"/>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D9" w:rsidRDefault="009D16D9">
      <w:r>
        <w:separator/>
      </w:r>
    </w:p>
  </w:endnote>
  <w:endnote w:type="continuationSeparator" w:id="0">
    <w:p w:rsidR="009D16D9" w:rsidRDefault="009D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3D460A">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D9" w:rsidRDefault="009D16D9">
      <w:r>
        <w:separator/>
      </w:r>
    </w:p>
  </w:footnote>
  <w:footnote w:type="continuationSeparator" w:id="0">
    <w:p w:rsidR="009D16D9" w:rsidRDefault="009D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39E01EB0" wp14:editId="660624DF">
          <wp:simplePos x="0" y="0"/>
          <wp:positionH relativeFrom="page">
            <wp:align>left</wp:align>
          </wp:positionH>
          <wp:positionV relativeFrom="page">
            <wp:align>top</wp:align>
          </wp:positionV>
          <wp:extent cx="7569186" cy="1803058"/>
          <wp:effectExtent l="25400" t="0" r="14" b="0"/>
          <wp:wrapNone/>
          <wp:docPr id="32" name="Imagen 3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5536F"/>
    <w:rsid w:val="00056C6D"/>
    <w:rsid w:val="000729E0"/>
    <w:rsid w:val="0008748A"/>
    <w:rsid w:val="0009463A"/>
    <w:rsid w:val="000B64A1"/>
    <w:rsid w:val="000C0E3A"/>
    <w:rsid w:val="00192C26"/>
    <w:rsid w:val="001D7D86"/>
    <w:rsid w:val="0020264B"/>
    <w:rsid w:val="002168BE"/>
    <w:rsid w:val="00231772"/>
    <w:rsid w:val="0023497D"/>
    <w:rsid w:val="00272573"/>
    <w:rsid w:val="00277C9A"/>
    <w:rsid w:val="00291E79"/>
    <w:rsid w:val="002C5CF9"/>
    <w:rsid w:val="00355B58"/>
    <w:rsid w:val="00376269"/>
    <w:rsid w:val="0039690D"/>
    <w:rsid w:val="003D460A"/>
    <w:rsid w:val="003F1206"/>
    <w:rsid w:val="004031A8"/>
    <w:rsid w:val="004105B7"/>
    <w:rsid w:val="00417186"/>
    <w:rsid w:val="00423C29"/>
    <w:rsid w:val="00426486"/>
    <w:rsid w:val="00442615"/>
    <w:rsid w:val="00453A73"/>
    <w:rsid w:val="004C58DB"/>
    <w:rsid w:val="004F4088"/>
    <w:rsid w:val="00524782"/>
    <w:rsid w:val="005367EB"/>
    <w:rsid w:val="00560A6B"/>
    <w:rsid w:val="00597336"/>
    <w:rsid w:val="005B095B"/>
    <w:rsid w:val="00610AAA"/>
    <w:rsid w:val="006764C1"/>
    <w:rsid w:val="00696F6F"/>
    <w:rsid w:val="006A22CB"/>
    <w:rsid w:val="006A5952"/>
    <w:rsid w:val="0072622D"/>
    <w:rsid w:val="00780CA4"/>
    <w:rsid w:val="00793F61"/>
    <w:rsid w:val="007B31B4"/>
    <w:rsid w:val="007E640E"/>
    <w:rsid w:val="007E69EC"/>
    <w:rsid w:val="00832136"/>
    <w:rsid w:val="008B621E"/>
    <w:rsid w:val="008B62B9"/>
    <w:rsid w:val="009226EF"/>
    <w:rsid w:val="009603A5"/>
    <w:rsid w:val="00994342"/>
    <w:rsid w:val="009D16D9"/>
    <w:rsid w:val="009D73FA"/>
    <w:rsid w:val="009E202F"/>
    <w:rsid w:val="009E381E"/>
    <w:rsid w:val="00A02C59"/>
    <w:rsid w:val="00A117E7"/>
    <w:rsid w:val="00A2145B"/>
    <w:rsid w:val="00A73621"/>
    <w:rsid w:val="00AC00D4"/>
    <w:rsid w:val="00AC4069"/>
    <w:rsid w:val="00B053EE"/>
    <w:rsid w:val="00B17CCC"/>
    <w:rsid w:val="00B30B0D"/>
    <w:rsid w:val="00B46857"/>
    <w:rsid w:val="00B60C30"/>
    <w:rsid w:val="00BD6A02"/>
    <w:rsid w:val="00C7645D"/>
    <w:rsid w:val="00CA2943"/>
    <w:rsid w:val="00CC186C"/>
    <w:rsid w:val="00CC44C6"/>
    <w:rsid w:val="00D27CE0"/>
    <w:rsid w:val="00DA6D6E"/>
    <w:rsid w:val="00DB144D"/>
    <w:rsid w:val="00DB3E41"/>
    <w:rsid w:val="00DD19DF"/>
    <w:rsid w:val="00DF6784"/>
    <w:rsid w:val="00E21BF7"/>
    <w:rsid w:val="00E43CED"/>
    <w:rsid w:val="00E709AB"/>
    <w:rsid w:val="00E80C19"/>
    <w:rsid w:val="00E9578F"/>
    <w:rsid w:val="00EA1306"/>
    <w:rsid w:val="00ED5CA9"/>
    <w:rsid w:val="00F323EB"/>
    <w:rsid w:val="00F75878"/>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8B62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8B6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cp:revision>
  <cp:lastPrinted>2015-10-05T06:52:00Z</cp:lastPrinted>
  <dcterms:created xsi:type="dcterms:W3CDTF">2020-09-07T19:22:00Z</dcterms:created>
  <dcterms:modified xsi:type="dcterms:W3CDTF">2020-09-10T10:07:00Z</dcterms:modified>
</cp:coreProperties>
</file>