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ratios de atención establecidas para cada persona orientadora de las Agencias de Empleo del Servicio Navarro de Empleo,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D.ª María Isabel García Malo, parlamentaria foral adscrita al grupo parlamentario Navarra Suma, realiza la siguiente pregunta escrita dirigida a la Consejera de Derechos Sociales: </w:t>
      </w:r>
    </w:p>
    <w:p>
      <w:pPr>
        <w:pStyle w:val="0"/>
        <w:suppressAutoHyphens w:val="false"/>
        <w:rPr>
          <w:rStyle w:val="1"/>
        </w:rPr>
      </w:pPr>
      <w:r>
        <w:rPr>
          <w:rStyle w:val="1"/>
        </w:rPr>
        <w:t xml:space="preserve">¿Qué ratio de atención está establecida para cada persona orientadora de las Agencias de Empleo del SNE? ¿Con base en qué criterios? </w:t>
      </w:r>
    </w:p>
    <w:p>
      <w:pPr>
        <w:pStyle w:val="0"/>
        <w:suppressAutoHyphens w:val="false"/>
        <w:rPr>
          <w:rStyle w:val="1"/>
        </w:rPr>
      </w:pPr>
      <w:r>
        <w:rPr>
          <w:rStyle w:val="1"/>
        </w:rPr>
        <w:t xml:space="preserve">Pamplona, a 12 de noviembre de 2020.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