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plazos de respuesta de las prestaciones de la Cartera de Servicios Sociales,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Derechos Sociales.</w:t>
      </w:r>
    </w:p>
    <w:p>
      <w:pPr>
        <w:pStyle w:val="0"/>
        <w:suppressAutoHyphens w:val="false"/>
        <w:rPr>
          <w:rStyle w:val="1"/>
        </w:rPr>
      </w:pPr>
      <w:r>
        <w:rPr>
          <w:rStyle w:val="1"/>
        </w:rPr>
        <w:t xml:space="preserve">Pamplona, 23 de noviembre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Marta Álvarez Alonso, miembro de las Cortes de Navarra, adscrita al Grupo Parlamentario Navarra Suma, realiza la siguiente pregunta oral dirigida a la consejera de Derechos Sociales para su contestación en la Comisión de Derechos Sociales: </w:t>
      </w:r>
    </w:p>
    <w:p>
      <w:pPr>
        <w:pStyle w:val="0"/>
        <w:suppressAutoHyphens w:val="false"/>
        <w:rPr>
          <w:rStyle w:val="1"/>
        </w:rPr>
      </w:pPr>
      <w:r>
        <w:rPr>
          <w:rStyle w:val="1"/>
        </w:rPr>
        <w:t xml:space="preserve">A la vista de lo declarado en Comisión por la Consejera de Derechos Sociales de que se modificó la Cartera de Servicios Sociales quitando el compromiso de dar una plaza pública en 6 meses a las personas perceptoras de una Prestación Vinculada al Servicio porque no se cumplía con dicho compromiso, ¿piensa la Consejera modificar la Cartera ampliando plazos de respuesta en todas aquellas prestaciones en las que no cumple con los plazos de la misma? </w:t>
      </w:r>
    </w:p>
    <w:p>
      <w:pPr>
        <w:pStyle w:val="0"/>
        <w:suppressAutoHyphens w:val="false"/>
        <w:rPr>
          <w:rStyle w:val="1"/>
        </w:rPr>
      </w:pPr>
      <w:r>
        <w:rPr>
          <w:rStyle w:val="1"/>
        </w:rPr>
        <w:t xml:space="preserve">Pamplona, 17 de noviembre de 2020 </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