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criterios de inversión en la Red de Carreteras de Navarra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para su contestación en Comisión:</w:t>
      </w:r>
    </w:p>
    <w:p>
      <w:pPr>
        <w:pStyle w:val="0"/>
        <w:suppressAutoHyphens w:val="false"/>
        <w:rPr>
          <w:rStyle w:val="1"/>
        </w:rPr>
      </w:pPr>
      <w:r>
        <w:rPr>
          <w:rStyle w:val="1"/>
        </w:rPr>
        <w:t xml:space="preserve">¿Qué criterio ha seguido el Departamento de Cohesión Territorial para invertir en las diferentes carreteras que configuran la Red de Carreteras de Navarra de cara al próximo año?</w:t>
      </w:r>
    </w:p>
    <w:p>
      <w:pPr>
        <w:pStyle w:val="0"/>
        <w:suppressAutoHyphens w:val="false"/>
        <w:rPr>
          <w:rStyle w:val="1"/>
        </w:rPr>
      </w:pPr>
      <w:r>
        <w:rPr>
          <w:rStyle w:val="1"/>
        </w:rPr>
        <w:t xml:space="preserve">Pamplona, 26 de noviembre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