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b w:val="true"/>
          <w:spacing w:val="0.961"/>
        </w:rPr>
        <w:t xml:space="preserve">1.º</w:t>
      </w:r>
      <w:r>
        <w:rPr>
          <w:rStyle w:val="1"/>
          <w:spacing w:val="0.961"/>
        </w:rPr>
        <w:t xml:space="preserve"> Admitir a trámite la pregunta de máxima actualidad sobre los mecanismos de cogobernanza, control y ejecución presupuestaria y financiera para la atracción de los fondos Next Generation, formulada por la Ilma. Sra. D.ª Ainhoa Unzu Garate.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Unzu Garate, adscrita al Grupo Parlamentario Partido Socialista de Navarra, al amparo de lo establecido en el Reglamento de la Cámara, formula a la Consejera de Economía y Hacienda, para su contestación en el Pleno del día 28 de enero de 2021,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mecanismos de cogobernanza, control y ejecución presupuestaria y financiera va a poner en marcha el Gobierno de Navarra para la atracción de los fondos Next Generation?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21 de enero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Unzu Garate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