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DE" w:rsidRDefault="002820DE" w:rsidP="00BE61DD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Azaroak 18.</w:t>
      </w:r>
    </w:p>
    <w:p w:rsidR="00ED2E75" w:rsidRDefault="00ED2E75" w:rsidP="00BE61DD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2"/>
        </w:rPr>
      </w:pPr>
      <w:proofErr w:type="spellStart"/>
      <w:r>
        <w:rPr>
          <w:rFonts w:asciiTheme="minorHAnsi" w:hAnsiTheme="minorHAnsi"/>
          <w:b/>
          <w:bCs/>
          <w:sz w:val="24"/>
          <w:szCs w:val="22"/>
        </w:rPr>
        <w:t>Podemos-Ahal</w:t>
      </w:r>
      <w:proofErr w:type="spellEnd"/>
      <w:r>
        <w:rPr>
          <w:rFonts w:asciiTheme="minorHAnsi" w:hAnsiTheme="minorHAnsi"/>
          <w:b/>
          <w:bCs/>
          <w:sz w:val="24"/>
          <w:szCs w:val="22"/>
        </w:rPr>
        <w:t xml:space="preserve"> Dugu </w:t>
      </w:r>
      <w:r>
        <w:rPr>
          <w:rFonts w:asciiTheme="minorHAnsi" w:hAnsiTheme="minorHAnsi"/>
          <w:sz w:val="24"/>
          <w:szCs w:val="22"/>
        </w:rPr>
        <w:t xml:space="preserve">talde parlamentarioari atxikitako foru parlamentari </w:t>
      </w:r>
      <w:r>
        <w:rPr>
          <w:rFonts w:asciiTheme="minorHAnsi" w:hAnsiTheme="minorHAnsi"/>
          <w:b/>
          <w:bCs/>
          <w:sz w:val="24"/>
          <w:szCs w:val="22"/>
        </w:rPr>
        <w:t xml:space="preserve">Mikel Buil </w:t>
      </w:r>
      <w:proofErr w:type="spellStart"/>
      <w:r>
        <w:rPr>
          <w:rFonts w:asciiTheme="minorHAnsi" w:hAnsiTheme="minorHAnsi"/>
          <w:b/>
          <w:bCs/>
          <w:sz w:val="24"/>
          <w:szCs w:val="22"/>
        </w:rPr>
        <w:t>García</w:t>
      </w:r>
      <w:r>
        <w:rPr>
          <w:rFonts w:asciiTheme="minorHAnsi" w:hAnsiTheme="minorHAnsi"/>
          <w:sz w:val="24"/>
          <w:szCs w:val="22"/>
        </w:rPr>
        <w:t>k</w:t>
      </w:r>
      <w:proofErr w:type="spellEnd"/>
      <w:r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b/>
          <w:bCs/>
          <w:sz w:val="24"/>
          <w:szCs w:val="22"/>
        </w:rPr>
        <w:t xml:space="preserve">10-20 PES-00222 </w:t>
      </w:r>
      <w:r>
        <w:rPr>
          <w:rFonts w:asciiTheme="minorHAnsi" w:hAnsiTheme="minorHAnsi"/>
          <w:sz w:val="24"/>
          <w:szCs w:val="22"/>
        </w:rPr>
        <w:t xml:space="preserve">idatzizko galdera aurkeztu du; haren bidez jakin nahi du zein diren </w:t>
      </w:r>
      <w:proofErr w:type="spellStart"/>
      <w:r>
        <w:rPr>
          <w:rFonts w:asciiTheme="minorHAnsi" w:hAnsiTheme="minorHAnsi"/>
          <w:sz w:val="24"/>
          <w:szCs w:val="22"/>
        </w:rPr>
        <w:t>Trenasa</w:t>
      </w:r>
      <w:proofErr w:type="spellEnd"/>
      <w:r>
        <w:rPr>
          <w:rFonts w:asciiTheme="minorHAnsi" w:hAnsiTheme="minorHAnsi"/>
          <w:sz w:val="24"/>
          <w:szCs w:val="22"/>
        </w:rPr>
        <w:t xml:space="preserve"> enpresak 2006tik jasotako </w:t>
      </w:r>
      <w:proofErr w:type="spellStart"/>
      <w:r>
        <w:rPr>
          <w:rFonts w:asciiTheme="minorHAnsi" w:hAnsiTheme="minorHAnsi"/>
          <w:sz w:val="24"/>
          <w:szCs w:val="22"/>
        </w:rPr>
        <w:t>dirulaguntza</w:t>
      </w:r>
      <w:proofErr w:type="spellEnd"/>
      <w:r>
        <w:rPr>
          <w:rFonts w:asciiTheme="minorHAnsi" w:hAnsiTheme="minorHAnsi"/>
          <w:sz w:val="24"/>
          <w:szCs w:val="22"/>
        </w:rPr>
        <w:t xml:space="preserve"> publikoak, bai eta </w:t>
      </w:r>
      <w:proofErr w:type="spellStart"/>
      <w:r>
        <w:rPr>
          <w:rFonts w:asciiTheme="minorHAnsi" w:hAnsiTheme="minorHAnsi"/>
          <w:sz w:val="24"/>
          <w:szCs w:val="22"/>
        </w:rPr>
        <w:t>Vectia</w:t>
      </w:r>
      <w:proofErr w:type="spellEnd"/>
      <w:r>
        <w:rPr>
          <w:rFonts w:asciiTheme="minorHAnsi" w:hAnsiTheme="minorHAnsi"/>
          <w:sz w:val="24"/>
          <w:szCs w:val="22"/>
        </w:rPr>
        <w:t xml:space="preserve"> enpresan egindako inbertsio publikoen zenbatekoak ere. Hona hemen Garapen Ekonomiko eta </w:t>
      </w:r>
      <w:proofErr w:type="spellStart"/>
      <w:r>
        <w:rPr>
          <w:rFonts w:asciiTheme="minorHAnsi" w:hAnsiTheme="minorHAnsi"/>
          <w:sz w:val="24"/>
          <w:szCs w:val="22"/>
        </w:rPr>
        <w:t>Enpresarialeko</w:t>
      </w:r>
      <w:proofErr w:type="spellEnd"/>
      <w:r>
        <w:rPr>
          <w:rFonts w:asciiTheme="minorHAnsi" w:hAnsiTheme="minorHAnsi"/>
          <w:sz w:val="24"/>
          <w:szCs w:val="22"/>
        </w:rPr>
        <w:t xml:space="preserve"> kontseilariak horri buruz informatu beharrekoa:</w:t>
      </w:r>
    </w:p>
    <w:p w:rsidR="00ED2E75" w:rsidRPr="00ED2E75" w:rsidRDefault="00ED2E75" w:rsidP="00ED2E7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Lehenik eta behin, adierazi behar da </w:t>
      </w:r>
      <w:proofErr w:type="spellStart"/>
      <w:r>
        <w:rPr>
          <w:rFonts w:asciiTheme="minorHAnsi" w:hAnsiTheme="minorHAnsi"/>
          <w:sz w:val="24"/>
          <w:szCs w:val="24"/>
        </w:rPr>
        <w:t>Trenes</w:t>
      </w:r>
      <w:proofErr w:type="spellEnd"/>
      <w:r>
        <w:rPr>
          <w:rFonts w:asciiTheme="minorHAnsi" w:hAnsiTheme="minorHAnsi"/>
          <w:sz w:val="24"/>
          <w:szCs w:val="24"/>
        </w:rPr>
        <w:t xml:space="preserve"> de Navarra SA (</w:t>
      </w:r>
      <w:proofErr w:type="spellStart"/>
      <w:r>
        <w:rPr>
          <w:rFonts w:asciiTheme="minorHAnsi" w:hAnsiTheme="minorHAnsi"/>
          <w:sz w:val="24"/>
          <w:szCs w:val="24"/>
        </w:rPr>
        <w:t>Trenasa</w:t>
      </w:r>
      <w:proofErr w:type="spellEnd"/>
      <w:r>
        <w:rPr>
          <w:rFonts w:asciiTheme="minorHAnsi" w:hAnsiTheme="minorHAnsi"/>
          <w:sz w:val="24"/>
          <w:szCs w:val="24"/>
        </w:rPr>
        <w:t xml:space="preserve">) CAF taldearen filial bat dela, eta bere jarduera nagusia </w:t>
      </w:r>
      <w:proofErr w:type="spellStart"/>
      <w:r>
        <w:rPr>
          <w:rFonts w:asciiTheme="minorHAnsi" w:hAnsiTheme="minorHAnsi"/>
          <w:sz w:val="24"/>
          <w:szCs w:val="24"/>
        </w:rPr>
        <w:t>CAFerako</w:t>
      </w:r>
      <w:proofErr w:type="spellEnd"/>
      <w:r>
        <w:rPr>
          <w:rFonts w:asciiTheme="minorHAnsi" w:hAnsiTheme="minorHAnsi"/>
          <w:sz w:val="24"/>
          <w:szCs w:val="24"/>
        </w:rPr>
        <w:t xml:space="preserve"> tren-ibilgailuak diseinatu, eraiki, muntatu, konpondu eta probatzea dela, baita autobus elektrikoen </w:t>
      </w:r>
      <w:proofErr w:type="spellStart"/>
      <w:r>
        <w:rPr>
          <w:rFonts w:asciiTheme="minorHAnsi" w:hAnsiTheme="minorHAnsi"/>
          <w:sz w:val="24"/>
          <w:szCs w:val="24"/>
        </w:rPr>
        <w:t>txasisak</w:t>
      </w:r>
      <w:proofErr w:type="spellEnd"/>
      <w:r>
        <w:rPr>
          <w:rFonts w:asciiTheme="minorHAnsi" w:hAnsiTheme="minorHAnsi"/>
          <w:sz w:val="24"/>
          <w:szCs w:val="24"/>
        </w:rPr>
        <w:t xml:space="preserve"> eta azken akaberak egitea ere, CAF taldeko (lehen </w:t>
      </w:r>
      <w:proofErr w:type="spellStart"/>
      <w:r>
        <w:rPr>
          <w:rFonts w:asciiTheme="minorHAnsi" w:hAnsiTheme="minorHAnsi"/>
          <w:sz w:val="24"/>
          <w:szCs w:val="24"/>
        </w:rPr>
        <w:t>Vectia</w:t>
      </w:r>
      <w:proofErr w:type="spellEnd"/>
      <w:r>
        <w:rPr>
          <w:rFonts w:asciiTheme="minorHAnsi" w:hAnsiTheme="minorHAnsi"/>
          <w:sz w:val="24"/>
          <w:szCs w:val="24"/>
        </w:rPr>
        <w:t xml:space="preserve">, orain </w:t>
      </w:r>
      <w:proofErr w:type="spellStart"/>
      <w:r>
        <w:rPr>
          <w:rFonts w:asciiTheme="minorHAnsi" w:hAnsiTheme="minorHAnsi"/>
          <w:sz w:val="24"/>
          <w:szCs w:val="24"/>
        </w:rPr>
        <w:t>Solaris</w:t>
      </w:r>
      <w:proofErr w:type="spellEnd"/>
      <w:r>
        <w:rPr>
          <w:rFonts w:asciiTheme="minorHAnsi" w:hAnsiTheme="minorHAnsi"/>
          <w:sz w:val="24"/>
          <w:szCs w:val="24"/>
        </w:rPr>
        <w:t>) autobusen atalerako.</w:t>
      </w:r>
    </w:p>
    <w:p w:rsidR="00ED2E75" w:rsidRPr="00ED2E75" w:rsidRDefault="00ED2E75" w:rsidP="00ED2E7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Bestalde, CAFen eta Sodenaren partaidetza zuen sozietate bat zen </w:t>
      </w:r>
      <w:proofErr w:type="spellStart"/>
      <w:r>
        <w:rPr>
          <w:rFonts w:asciiTheme="minorHAnsi" w:hAnsiTheme="minorHAnsi"/>
          <w:sz w:val="24"/>
          <w:szCs w:val="24"/>
        </w:rPr>
        <w:t>Vectia</w:t>
      </w:r>
      <w:proofErr w:type="spellEnd"/>
      <w:r>
        <w:rPr>
          <w:rFonts w:asciiTheme="minorHAnsi" w:hAnsiTheme="minorHAnsi"/>
          <w:sz w:val="24"/>
          <w:szCs w:val="24"/>
        </w:rPr>
        <w:t xml:space="preserve">, Castejongo </w:t>
      </w:r>
      <w:proofErr w:type="spellStart"/>
      <w:r>
        <w:rPr>
          <w:rFonts w:asciiTheme="minorHAnsi" w:hAnsiTheme="minorHAnsi"/>
          <w:sz w:val="24"/>
          <w:szCs w:val="24"/>
        </w:rPr>
        <w:t>Trenasaren</w:t>
      </w:r>
      <w:proofErr w:type="spellEnd"/>
      <w:r>
        <w:rPr>
          <w:rFonts w:asciiTheme="minorHAnsi" w:hAnsiTheme="minorHAnsi"/>
          <w:sz w:val="24"/>
          <w:szCs w:val="24"/>
        </w:rPr>
        <w:t xml:space="preserve"> instalazio berberetan kokatua, eta bere jarduera autobus elektrikoak diseinatzea, fabrikatzea eta merkaturatzea zen, bai eta jarduera osagarriak egitea ere, hala nola haiek puntuan jartzea eta mantentzea eta konponketak egitea. 2018an, </w:t>
      </w:r>
      <w:proofErr w:type="spellStart"/>
      <w:r>
        <w:rPr>
          <w:rFonts w:asciiTheme="minorHAnsi" w:hAnsiTheme="minorHAnsi"/>
          <w:sz w:val="24"/>
          <w:szCs w:val="24"/>
        </w:rPr>
        <w:t>CAFek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Solaris</w:t>
      </w:r>
      <w:proofErr w:type="spellEnd"/>
      <w:r>
        <w:rPr>
          <w:rFonts w:asciiTheme="minorHAnsi" w:hAnsiTheme="minorHAnsi"/>
          <w:sz w:val="24"/>
          <w:szCs w:val="24"/>
        </w:rPr>
        <w:t xml:space="preserve"> Bus &amp; </w:t>
      </w:r>
      <w:proofErr w:type="spellStart"/>
      <w:r>
        <w:rPr>
          <w:rFonts w:asciiTheme="minorHAnsi" w:hAnsiTheme="minorHAnsi"/>
          <w:sz w:val="24"/>
          <w:szCs w:val="24"/>
        </w:rPr>
        <w:t>Coach</w:t>
      </w:r>
      <w:proofErr w:type="spellEnd"/>
      <w:r>
        <w:rPr>
          <w:rFonts w:asciiTheme="minorHAnsi" w:hAnsiTheme="minorHAnsi"/>
          <w:sz w:val="24"/>
          <w:szCs w:val="24"/>
        </w:rPr>
        <w:t xml:space="preserve"> erosi zuen, hiriko mugikortasun elektriko jasangarriaren (batez ere hiriko autobus elektrikoak) sektoreko Europako liderra, eta 2019an </w:t>
      </w:r>
      <w:proofErr w:type="spellStart"/>
      <w:r>
        <w:rPr>
          <w:rFonts w:asciiTheme="minorHAnsi" w:hAnsiTheme="minorHAnsi"/>
          <w:sz w:val="24"/>
          <w:szCs w:val="24"/>
        </w:rPr>
        <w:t>Vectia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Solaris</w:t>
      </w:r>
      <w:proofErr w:type="spellEnd"/>
      <w:r>
        <w:rPr>
          <w:rFonts w:asciiTheme="minorHAnsi" w:hAnsiTheme="minorHAnsi"/>
          <w:sz w:val="24"/>
          <w:szCs w:val="24"/>
        </w:rPr>
        <w:t xml:space="preserve"> taldearen barruan sartu zen, </w:t>
      </w:r>
      <w:proofErr w:type="spellStart"/>
      <w:r>
        <w:rPr>
          <w:rFonts w:asciiTheme="minorHAnsi" w:hAnsiTheme="minorHAnsi"/>
          <w:sz w:val="24"/>
          <w:szCs w:val="24"/>
        </w:rPr>
        <w:t>Solaris</w:t>
      </w:r>
      <w:proofErr w:type="spellEnd"/>
      <w:r>
        <w:rPr>
          <w:rFonts w:asciiTheme="minorHAnsi" w:hAnsiTheme="minorHAnsi"/>
          <w:sz w:val="24"/>
          <w:szCs w:val="24"/>
        </w:rPr>
        <w:t xml:space="preserve"> taldearen filial espainiarraren </w:t>
      </w:r>
      <w:proofErr w:type="spellStart"/>
      <w:r>
        <w:rPr>
          <w:rFonts w:asciiTheme="minorHAnsi" w:hAnsiTheme="minorHAnsi"/>
          <w:sz w:val="24"/>
          <w:szCs w:val="24"/>
        </w:rPr>
        <w:t>—Solaris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Ibérica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SAren—</w:t>
      </w:r>
      <w:proofErr w:type="spellEnd"/>
      <w:r>
        <w:rPr>
          <w:rFonts w:asciiTheme="minorHAnsi" w:hAnsiTheme="minorHAnsi"/>
          <w:sz w:val="24"/>
          <w:szCs w:val="24"/>
        </w:rPr>
        <w:t xml:space="preserve"> eta </w:t>
      </w:r>
      <w:proofErr w:type="spellStart"/>
      <w:r>
        <w:rPr>
          <w:rFonts w:asciiTheme="minorHAnsi" w:hAnsiTheme="minorHAnsi"/>
          <w:sz w:val="24"/>
          <w:szCs w:val="24"/>
        </w:rPr>
        <w:t>Vectiaren</w:t>
      </w:r>
      <w:proofErr w:type="spellEnd"/>
      <w:r>
        <w:rPr>
          <w:rFonts w:asciiTheme="minorHAnsi" w:hAnsiTheme="minorHAnsi"/>
          <w:sz w:val="24"/>
          <w:szCs w:val="24"/>
        </w:rPr>
        <w:t xml:space="preserve"> arteko bat-egitearen bidez. Horren ondorioz, </w:t>
      </w:r>
      <w:proofErr w:type="spellStart"/>
      <w:r>
        <w:rPr>
          <w:rFonts w:asciiTheme="minorHAnsi" w:hAnsiTheme="minorHAnsi"/>
          <w:sz w:val="24"/>
          <w:szCs w:val="24"/>
        </w:rPr>
        <w:t>Solaris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Ibérica</w:t>
      </w:r>
      <w:proofErr w:type="spellEnd"/>
      <w:r>
        <w:rPr>
          <w:rFonts w:asciiTheme="minorHAnsi" w:hAnsiTheme="minorHAnsi"/>
          <w:sz w:val="24"/>
          <w:szCs w:val="24"/>
        </w:rPr>
        <w:t xml:space="preserve"> SA berria sortu zen, egoitza Castejonen izaten jarraitzen duena.</w:t>
      </w:r>
    </w:p>
    <w:p w:rsidR="00ED2E75" w:rsidRDefault="00ED2E75" w:rsidP="00ED2E7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Vectia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Mobility</w:t>
      </w:r>
      <w:proofErr w:type="spellEnd"/>
      <w:r>
        <w:rPr>
          <w:rFonts w:asciiTheme="minorHAnsi" w:hAnsiTheme="minorHAnsi"/>
          <w:sz w:val="24"/>
          <w:szCs w:val="24"/>
        </w:rPr>
        <w:t xml:space="preserve"> SL enpresan egindako inbertsio publikoaren xehetasunari dagokionez (</w:t>
      </w:r>
      <w:proofErr w:type="spellStart"/>
      <w:r>
        <w:rPr>
          <w:rFonts w:asciiTheme="minorHAnsi" w:hAnsiTheme="minorHAnsi"/>
          <w:sz w:val="24"/>
          <w:szCs w:val="24"/>
        </w:rPr>
        <w:t>dirulaguntzak</w:t>
      </w:r>
      <w:proofErr w:type="spellEnd"/>
      <w:r>
        <w:rPr>
          <w:rFonts w:asciiTheme="minorHAnsi" w:hAnsiTheme="minorHAnsi"/>
          <w:sz w:val="24"/>
          <w:szCs w:val="24"/>
        </w:rPr>
        <w:t xml:space="preserve">, partaidetzak, abalak), honako hauek dira ordaindutako </w:t>
      </w:r>
      <w:proofErr w:type="spellStart"/>
      <w:r>
        <w:rPr>
          <w:rFonts w:asciiTheme="minorHAnsi" w:hAnsiTheme="minorHAnsi"/>
          <w:sz w:val="24"/>
          <w:szCs w:val="24"/>
        </w:rPr>
        <w:t>dirulaguntzak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2965"/>
        <w:gridCol w:w="1780"/>
        <w:gridCol w:w="2100"/>
      </w:tblGrid>
      <w:tr w:rsidR="00C91D2C" w:rsidRPr="005A572A" w:rsidTr="005A572A">
        <w:trPr>
          <w:trHeight w:val="20"/>
          <w:jc w:val="center"/>
        </w:trPr>
        <w:tc>
          <w:tcPr>
            <w:tcW w:w="1746" w:type="dxa"/>
            <w:shd w:val="clear" w:color="auto" w:fill="auto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Noiz eman den</w:t>
            </w:r>
          </w:p>
        </w:tc>
        <w:tc>
          <w:tcPr>
            <w:tcW w:w="2965" w:type="dxa"/>
            <w:vAlign w:val="center"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Kontzeptua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Ordaindutako zenbatekoa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Ordainketaren data</w:t>
            </w:r>
          </w:p>
        </w:tc>
      </w:tr>
      <w:tr w:rsidR="00C91D2C" w:rsidRPr="005A572A" w:rsidTr="00C91D2C">
        <w:trPr>
          <w:trHeight w:val="20"/>
          <w:jc w:val="center"/>
        </w:trPr>
        <w:tc>
          <w:tcPr>
            <w:tcW w:w="1746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Cs/>
                <w:sz w:val="19"/>
                <w:szCs w:val="19"/>
              </w:rPr>
              <w:t>2017</w:t>
            </w:r>
          </w:p>
        </w:tc>
        <w:tc>
          <w:tcPr>
            <w:tcW w:w="2965" w:type="dxa"/>
          </w:tcPr>
          <w:p w:rsidR="00C91D2C" w:rsidRPr="005A572A" w:rsidRDefault="00C91D2C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Enpresa txiki eta ertainen lehiakortasuna sustatzeko laguntzak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4.500,00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2017/12/28</w:t>
            </w:r>
          </w:p>
        </w:tc>
      </w:tr>
      <w:tr w:rsidR="00C91D2C" w:rsidRPr="005A572A" w:rsidTr="00C91D2C">
        <w:trPr>
          <w:trHeight w:val="20"/>
          <w:jc w:val="center"/>
        </w:trPr>
        <w:tc>
          <w:tcPr>
            <w:tcW w:w="1746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Cs/>
                <w:sz w:val="19"/>
                <w:szCs w:val="19"/>
              </w:rPr>
              <w:t>2017</w:t>
            </w:r>
          </w:p>
        </w:tc>
        <w:tc>
          <w:tcPr>
            <w:tcW w:w="2965" w:type="dxa"/>
          </w:tcPr>
          <w:p w:rsidR="00C91D2C" w:rsidRPr="005A572A" w:rsidRDefault="00C91D2C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Enpresa txiki eta ertainen lehiakortasuna sustatzeko laguntzak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15.383,25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2017/12/28</w:t>
            </w:r>
          </w:p>
        </w:tc>
      </w:tr>
      <w:tr w:rsidR="00C91D2C" w:rsidRPr="005A572A" w:rsidTr="00C91D2C">
        <w:trPr>
          <w:trHeight w:val="20"/>
          <w:jc w:val="center"/>
        </w:trPr>
        <w:tc>
          <w:tcPr>
            <w:tcW w:w="1746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Cs/>
                <w:sz w:val="19"/>
                <w:szCs w:val="19"/>
              </w:rPr>
              <w:t>2018</w:t>
            </w:r>
          </w:p>
        </w:tc>
        <w:tc>
          <w:tcPr>
            <w:tcW w:w="2965" w:type="dxa"/>
          </w:tcPr>
          <w:p w:rsidR="00C91D2C" w:rsidRPr="005A572A" w:rsidRDefault="00C91D2C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Enpresa txiki eta ertainen lehiakortasuna sustatzeko laguntzak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2,101,42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2019/01/30</w:t>
            </w:r>
          </w:p>
        </w:tc>
      </w:tr>
      <w:tr w:rsidR="00C91D2C" w:rsidRPr="005A572A" w:rsidTr="00C91D2C">
        <w:trPr>
          <w:trHeight w:val="20"/>
          <w:jc w:val="center"/>
        </w:trPr>
        <w:tc>
          <w:tcPr>
            <w:tcW w:w="1746" w:type="dxa"/>
            <w:shd w:val="clear" w:color="auto" w:fill="auto"/>
            <w:vAlign w:val="bottom"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</w:p>
        </w:tc>
        <w:tc>
          <w:tcPr>
            <w:tcW w:w="2965" w:type="dxa"/>
          </w:tcPr>
          <w:p w:rsidR="00C91D2C" w:rsidRPr="005A572A" w:rsidRDefault="009C219D" w:rsidP="005A572A">
            <w:pPr>
              <w:spacing w:before="40" w:after="40"/>
              <w:jc w:val="right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sz w:val="19"/>
                <w:szCs w:val="19"/>
              </w:rPr>
              <w:t>GUZTIRA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begin"/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instrText xml:space="preserve"> =SUM(ABOVE) </w:instrText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separate"/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t>19.885,77</w:t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end"/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</w:tr>
    </w:tbl>
    <w:p w:rsidR="00166948" w:rsidRDefault="00166948" w:rsidP="000A1AC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:rsidR="00002952" w:rsidRDefault="00166948" w:rsidP="000A1AC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r>
        <w:t xml:space="preserve">Partaidetzei dagokienez, Sodenak 7.050.000 euroko ekarpena egin dio </w:t>
      </w:r>
      <w:proofErr w:type="spellStart"/>
      <w:r>
        <w:t>VECTIAren</w:t>
      </w:r>
      <w:proofErr w:type="spellEnd"/>
      <w:r>
        <w:t xml:space="preserve"> kapitalari enpresan duen partaidetzagatik, 3,6M euro </w:t>
      </w:r>
      <w:proofErr w:type="spellStart"/>
      <w:r>
        <w:t>Vectia</w:t>
      </w:r>
      <w:proofErr w:type="spellEnd"/>
      <w:r>
        <w:t xml:space="preserve">  R&amp;D, </w:t>
      </w:r>
      <w:proofErr w:type="spellStart"/>
      <w:r>
        <w:t>AIEri</w:t>
      </w:r>
      <w:proofErr w:type="spellEnd"/>
      <w:r>
        <w:t xml:space="preserve"> eta 3,45M euro </w:t>
      </w:r>
      <w:proofErr w:type="spellStart"/>
      <w:r>
        <w:t>Vectia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SLri</w:t>
      </w:r>
      <w:proofErr w:type="spellEnd"/>
      <w:r>
        <w:t>:</w:t>
      </w:r>
    </w:p>
    <w:p w:rsidR="00002952" w:rsidRDefault="00002952" w:rsidP="0000295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2M euro partaidetza hartzeko unean, 2016ko urrian. </w:t>
      </w:r>
    </w:p>
    <w:p w:rsidR="00002952" w:rsidRDefault="00002952" w:rsidP="0000295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2M euro 2017ko lehen hiruhilekoan.</w:t>
      </w:r>
    </w:p>
    <w:p w:rsidR="00166948" w:rsidRDefault="00002952" w:rsidP="0000295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2M euro 2017ko bigarren seihilekoan.</w:t>
      </w:r>
    </w:p>
    <w:p w:rsidR="00002952" w:rsidRDefault="00002952" w:rsidP="0000295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450.000 euro 2018ko ekainean.</w:t>
      </w:r>
    </w:p>
    <w:p w:rsidR="00002952" w:rsidRPr="00002952" w:rsidRDefault="00002952" w:rsidP="0000295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600.000 euro 2018ko urrian.</w:t>
      </w:r>
    </w:p>
    <w:p w:rsidR="000A1AC5" w:rsidRDefault="000A1AC5" w:rsidP="000A1AC5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Trenes</w:t>
      </w:r>
      <w:proofErr w:type="spellEnd"/>
      <w:r>
        <w:rPr>
          <w:rFonts w:asciiTheme="minorHAnsi" w:hAnsiTheme="minorHAnsi"/>
          <w:sz w:val="24"/>
          <w:szCs w:val="24"/>
        </w:rPr>
        <w:t xml:space="preserve"> de Navarra SAri  azken 13 urteetan bideratutako laguntza publikoen xehetasunari dagokionez, honako hau jakinarazten da: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961"/>
        <w:gridCol w:w="1559"/>
        <w:gridCol w:w="1552"/>
      </w:tblGrid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bookmarkStart w:id="0" w:name="_GoBack"/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Noiz eman den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C91D2C" w:rsidRPr="005A572A" w:rsidRDefault="00F14ECF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Kontzeptua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Ordaindutako zenbatekoa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bCs/>
                <w:sz w:val="19"/>
                <w:szCs w:val="19"/>
              </w:rPr>
              <w:t>Ordainketaren data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2007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Enpresentzako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I+G+b proiektuak, patenteak eta bideragarritasun-azterlanak direla eta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466.347,00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2008/01/23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2007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Enpresentzako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I+G+b proiektuak, patenteak eta bideragarritasun-azterlanak direla eta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115.240,00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2008/01/23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2008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Itzuli beharrik gabeko laguntzak, inbertsio eta enpleguagatik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1.091.250,00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2008/11/26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2009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Itzuli beharrik gabeko laguntzak, inbertsio eta enpleguagatik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153.258,00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2009/07/03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2009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Erantzukizun sozial korporatiboa sustatzeko programa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1.000,00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2009/12/30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2010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Enpresentzako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I+G+b proiektuak, patenteak eta bideragarritasun-azterlanak direla eta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13.590,00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2010/11/26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2010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Erantzukizun sozial korporatiboa sustatzeko programa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2.000,00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2010/12/22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2011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Itzuli beharrik gabeko diru-laguntzak, inbertsioarengatik (eremu lagunduko araudi berria)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357.000,00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2011/12/09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2011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Erantzukizun sozial korporatiboa sustatzeko programa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600,00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2011/12/14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2012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Enplegu Plana. Erantzukizun sozial korporatiboa sustatzeko programa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2.400,00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2012/11/21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2013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Itzuli beharrik gabeko diru-laguntzak, inbertsioarengatik (eremu lagunduko araudi berria)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236.386,69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2016/03/26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2016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Ekintzailetza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 xml:space="preserve"> plana. Enpresa txiki eta ertainen lehiakortasunaren sustapena PO FEDER 2014-2020 Nafarroa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15.222,15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2017/01/30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Lan osasunaren plana betetzeko inbertsioak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3.093,00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2017/12/28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Ekintzailetza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 xml:space="preserve"> plana. Enpresa txiki eta ertainen lehiakortasunaren sustapena PO FEDER 2014-2020 Nafarroa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22.725,18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2017/12/28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2018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I+G proiektuetarako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Nafarroako 2014-2020 EGEF PE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5.315,76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2018/12/21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2019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I+G proiektuetarako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Nafarroako 2014-2020 EGEF PE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5.268,66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2019/11/06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2019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I+G proiektuetarako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Nafarroako 2014-2020 EGEF PE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9.183,94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2019/12/30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2020</w:t>
            </w:r>
          </w:p>
        </w:tc>
        <w:tc>
          <w:tcPr>
            <w:tcW w:w="4961" w:type="dxa"/>
          </w:tcPr>
          <w:p w:rsidR="00C91D2C" w:rsidRPr="005A572A" w:rsidRDefault="00F14ECF" w:rsidP="005A572A">
            <w:pPr>
              <w:spacing w:before="40" w:after="40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 xml:space="preserve">I+G proiektuetarako </w:t>
            </w:r>
            <w:proofErr w:type="spellStart"/>
            <w:r w:rsidRPr="005A572A">
              <w:rPr>
                <w:rFonts w:asciiTheme="majorHAnsi" w:hAnsiTheme="majorHAnsi"/>
                <w:sz w:val="19"/>
                <w:szCs w:val="19"/>
              </w:rPr>
              <w:t>dirulaguntzak</w:t>
            </w:r>
            <w:proofErr w:type="spellEnd"/>
            <w:r w:rsidRPr="005A572A">
              <w:rPr>
                <w:rFonts w:asciiTheme="majorHAnsi" w:hAnsiTheme="majorHAnsi"/>
                <w:sz w:val="19"/>
                <w:szCs w:val="19"/>
              </w:rPr>
              <w:t>, Nafarroako 2014-2020 EGEF PE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9.136,84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/>
                <w:sz w:val="19"/>
                <w:szCs w:val="19"/>
              </w:rPr>
              <w:t>Ordaintzeko dago.</w:t>
            </w:r>
          </w:p>
        </w:tc>
      </w:tr>
      <w:tr w:rsidR="00C91D2C" w:rsidRPr="005A572A" w:rsidTr="005A572A">
        <w:trPr>
          <w:trHeight w:val="2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4961" w:type="dxa"/>
          </w:tcPr>
          <w:p w:rsidR="00C91D2C" w:rsidRPr="005A572A" w:rsidRDefault="009C219D" w:rsidP="005A572A">
            <w:pPr>
              <w:spacing w:before="40" w:after="40"/>
              <w:jc w:val="right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5A572A">
              <w:rPr>
                <w:rFonts w:asciiTheme="majorHAnsi" w:hAnsiTheme="majorHAnsi"/>
                <w:b/>
                <w:sz w:val="19"/>
                <w:szCs w:val="19"/>
              </w:rPr>
              <w:t>GUZTIRA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91D2C" w:rsidRPr="005A572A" w:rsidRDefault="00C91D2C" w:rsidP="005A572A">
            <w:pPr>
              <w:spacing w:before="40" w:after="40"/>
              <w:jc w:val="right"/>
              <w:rPr>
                <w:rFonts w:asciiTheme="majorHAnsi" w:hAnsiTheme="majorHAnsi" w:cs="Arial"/>
                <w:sz w:val="19"/>
                <w:szCs w:val="19"/>
              </w:rPr>
            </w:pP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begin"/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instrText xml:space="preserve"> =SUM(ABOVE) </w:instrText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separate"/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t>2.509.017,22</w:t>
            </w:r>
            <w:r w:rsidRPr="005A572A">
              <w:rPr>
                <w:rFonts w:asciiTheme="majorHAnsi" w:hAnsiTheme="majorHAnsi" w:cs="Arial"/>
                <w:sz w:val="19"/>
                <w:szCs w:val="19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C91D2C" w:rsidRPr="005A572A" w:rsidRDefault="00C91D2C" w:rsidP="005A572A">
            <w:pPr>
              <w:spacing w:before="40" w:after="4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</w:tr>
      <w:bookmarkEnd w:id="0"/>
    </w:tbl>
    <w:p w:rsidR="002820DE" w:rsidRDefault="002820DE" w:rsidP="00430997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:rsidR="002820DE" w:rsidRDefault="00ED2E75" w:rsidP="00430997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Hori guztia jakinarazten dizut, Nafarroako Parlamentuko Erregelamenduaren 194. artikulua betez.</w:t>
      </w:r>
    </w:p>
    <w:p w:rsidR="002820DE" w:rsidRDefault="00ED2E75" w:rsidP="00430997">
      <w:pPr>
        <w:spacing w:after="200" w:line="276" w:lineRule="auto"/>
        <w:jc w:val="center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Iruñean, 2020ko azaroaren 13an.</w:t>
      </w:r>
    </w:p>
    <w:p w:rsidR="00ED2E75" w:rsidRPr="00430997" w:rsidRDefault="002820DE" w:rsidP="00430997">
      <w:pPr>
        <w:spacing w:after="200" w:line="276" w:lineRule="auto"/>
        <w:jc w:val="center"/>
        <w:rPr>
          <w:rFonts w:asciiTheme="minorHAnsi" w:eastAsia="Calibr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Garapen Ekonomiko eta </w:t>
      </w:r>
      <w:proofErr w:type="spellStart"/>
      <w:r>
        <w:rPr>
          <w:rFonts w:asciiTheme="minorHAnsi" w:hAnsiTheme="minorHAnsi"/>
          <w:sz w:val="24"/>
          <w:szCs w:val="24"/>
        </w:rPr>
        <w:t>Enpresarialeko</w:t>
      </w:r>
      <w:proofErr w:type="spellEnd"/>
      <w:r>
        <w:rPr>
          <w:rFonts w:asciiTheme="minorHAnsi" w:hAnsiTheme="minorHAnsi"/>
          <w:sz w:val="24"/>
          <w:szCs w:val="24"/>
        </w:rPr>
        <w:t xml:space="preserve"> kontseilaria: Manu Ayerdi Olaizola</w:t>
      </w:r>
    </w:p>
    <w:sectPr w:rsidR="00ED2E75" w:rsidRPr="00430997" w:rsidSect="005B095B">
      <w:headerReference w:type="first" r:id="rId8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02" w:rsidRDefault="00BD6A02">
      <w:r>
        <w:separator/>
      </w:r>
    </w:p>
  </w:endnote>
  <w:endnote w:type="continuationSeparator" w:id="0">
    <w:p w:rsidR="00BD6A02" w:rsidRDefault="00B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02" w:rsidRDefault="00BD6A02">
      <w:r>
        <w:separator/>
      </w:r>
    </w:p>
  </w:footnote>
  <w:footnote w:type="continuationSeparator" w:id="0">
    <w:p w:rsidR="00BD6A02" w:rsidRDefault="00BD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3E9"/>
    <w:multiLevelType w:val="hybridMultilevel"/>
    <w:tmpl w:val="F566E924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60A60BF7"/>
    <w:multiLevelType w:val="hybridMultilevel"/>
    <w:tmpl w:val="920A005E"/>
    <w:lvl w:ilvl="0" w:tplc="1E66A86A">
      <w:start w:val="19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2952"/>
    <w:rsid w:val="000729E0"/>
    <w:rsid w:val="0009463A"/>
    <w:rsid w:val="000A1AC5"/>
    <w:rsid w:val="000B64A1"/>
    <w:rsid w:val="00166948"/>
    <w:rsid w:val="00277C9A"/>
    <w:rsid w:val="002820DE"/>
    <w:rsid w:val="003F1206"/>
    <w:rsid w:val="00430997"/>
    <w:rsid w:val="005367EB"/>
    <w:rsid w:val="005A572A"/>
    <w:rsid w:val="005B095B"/>
    <w:rsid w:val="005E7EAF"/>
    <w:rsid w:val="006047FB"/>
    <w:rsid w:val="00696F6F"/>
    <w:rsid w:val="006A5952"/>
    <w:rsid w:val="006A7B94"/>
    <w:rsid w:val="00793F61"/>
    <w:rsid w:val="00994342"/>
    <w:rsid w:val="009C219D"/>
    <w:rsid w:val="009E202F"/>
    <w:rsid w:val="009E381E"/>
    <w:rsid w:val="009F79ED"/>
    <w:rsid w:val="00A117E7"/>
    <w:rsid w:val="00A2145B"/>
    <w:rsid w:val="00AB6D65"/>
    <w:rsid w:val="00B46857"/>
    <w:rsid w:val="00B662C6"/>
    <w:rsid w:val="00BD6A02"/>
    <w:rsid w:val="00BE1D70"/>
    <w:rsid w:val="00BE2BD3"/>
    <w:rsid w:val="00BE61DD"/>
    <w:rsid w:val="00C91D2C"/>
    <w:rsid w:val="00CA2943"/>
    <w:rsid w:val="00CC1284"/>
    <w:rsid w:val="00D12877"/>
    <w:rsid w:val="00DF6784"/>
    <w:rsid w:val="00ED2E75"/>
    <w:rsid w:val="00F14ECF"/>
    <w:rsid w:val="00F7752B"/>
    <w:rsid w:val="00FF4C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00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00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2020-11-18T13:42:00Z</cp:lastPrinted>
  <dcterms:created xsi:type="dcterms:W3CDTF">2021-02-01T13:48:00Z</dcterms:created>
  <dcterms:modified xsi:type="dcterms:W3CDTF">2021-02-02T06:33:00Z</dcterms:modified>
</cp:coreProperties>
</file>