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4A" w:rsidRPr="003E7DFE" w:rsidRDefault="003349FC" w:rsidP="00CA544A">
      <w:pPr>
        <w:spacing w:after="120"/>
        <w:rPr>
          <w:rFonts w:cs="Arial"/>
          <w:sz w:val="10"/>
          <w:szCs w:val="12"/>
        </w:rPr>
      </w:pPr>
      <w:r>
        <w:rPr>
          <w:rFonts w:cs="Arial"/>
          <w:sz w:val="10"/>
          <w:szCs w:val="12"/>
        </w:rPr>
        <w:t>q</w:t>
      </w:r>
    </w:p>
    <w:p w:rsidR="003349FC" w:rsidRDefault="00CD4DF7" w:rsidP="00CA544A">
      <w:pPr>
        <w:spacing w:after="120"/>
        <w:rPr>
          <w:rFonts w:cs="Arial"/>
          <w:sz w:val="22"/>
        </w:rPr>
      </w:pPr>
      <w:r w:rsidRPr="003E7DFE">
        <w:rPr>
          <w:rFonts w:cs="Arial"/>
          <w:sz w:val="22"/>
        </w:rPr>
        <w:t>La</w:t>
      </w:r>
      <w:r w:rsidR="0006150C" w:rsidRPr="003E7DFE">
        <w:rPr>
          <w:rFonts w:cs="Arial"/>
          <w:sz w:val="22"/>
        </w:rPr>
        <w:t xml:space="preserve"> </w:t>
      </w:r>
      <w:r w:rsidRPr="003E7DFE">
        <w:rPr>
          <w:rFonts w:cs="Arial"/>
          <w:sz w:val="22"/>
        </w:rPr>
        <w:t>Consejera</w:t>
      </w:r>
      <w:r w:rsidR="0006150C" w:rsidRPr="003E7DFE">
        <w:rPr>
          <w:rFonts w:cs="Arial"/>
          <w:sz w:val="22"/>
        </w:rPr>
        <w:t xml:space="preserve"> de Derechos Sociales </w:t>
      </w:r>
      <w:r w:rsidR="00865890" w:rsidRPr="003E7DFE">
        <w:rPr>
          <w:rFonts w:cs="Arial"/>
          <w:sz w:val="22"/>
        </w:rPr>
        <w:t>del Gobierno de Navarra</w:t>
      </w:r>
      <w:r w:rsidR="0006150C" w:rsidRPr="003E7DFE">
        <w:rPr>
          <w:rFonts w:cs="Arial"/>
          <w:sz w:val="22"/>
        </w:rPr>
        <w:t xml:space="preserve">, en relación </w:t>
      </w:r>
      <w:r w:rsidR="00B67C4B" w:rsidRPr="003E7DFE">
        <w:rPr>
          <w:rFonts w:cs="Arial"/>
          <w:sz w:val="22"/>
        </w:rPr>
        <w:t>con</w:t>
      </w:r>
      <w:r w:rsidR="0006150C" w:rsidRPr="003E7DFE">
        <w:rPr>
          <w:rFonts w:cs="Arial"/>
          <w:sz w:val="22"/>
        </w:rPr>
        <w:t xml:space="preserve"> la </w:t>
      </w:r>
      <w:r w:rsidR="00CB3E16" w:rsidRPr="003E7DFE">
        <w:rPr>
          <w:rFonts w:cs="Arial"/>
          <w:sz w:val="22"/>
        </w:rPr>
        <w:t>p</w:t>
      </w:r>
      <w:r w:rsidR="0095493E" w:rsidRPr="003E7DFE">
        <w:rPr>
          <w:rFonts w:cs="Arial"/>
          <w:sz w:val="22"/>
        </w:rPr>
        <w:t>regunta</w:t>
      </w:r>
      <w:r w:rsidR="0006150C" w:rsidRPr="003E7DFE">
        <w:rPr>
          <w:rFonts w:cs="Arial"/>
          <w:sz w:val="22"/>
        </w:rPr>
        <w:t xml:space="preserve"> </w:t>
      </w:r>
      <w:r w:rsidR="00865890" w:rsidRPr="003E7DFE">
        <w:rPr>
          <w:rFonts w:cs="Arial"/>
          <w:sz w:val="22"/>
        </w:rPr>
        <w:t>formulada</w:t>
      </w:r>
      <w:r w:rsidR="0006150C" w:rsidRPr="003E7DFE">
        <w:rPr>
          <w:rFonts w:cs="Arial"/>
          <w:sz w:val="22"/>
        </w:rPr>
        <w:t xml:space="preserve"> por </w:t>
      </w:r>
      <w:r w:rsidR="00EA2D5B" w:rsidRPr="003E7DFE">
        <w:rPr>
          <w:rFonts w:cs="Arial"/>
          <w:sz w:val="22"/>
        </w:rPr>
        <w:t>la</w:t>
      </w:r>
      <w:r w:rsidR="003860DD" w:rsidRPr="003E7DFE">
        <w:rPr>
          <w:rFonts w:cs="Arial"/>
          <w:sz w:val="22"/>
        </w:rPr>
        <w:t xml:space="preserve"> parlamentari</w:t>
      </w:r>
      <w:r w:rsidR="00EA2D5B" w:rsidRPr="003E7DFE">
        <w:rPr>
          <w:rFonts w:cs="Arial"/>
          <w:sz w:val="22"/>
        </w:rPr>
        <w:t>a</w:t>
      </w:r>
      <w:r w:rsidR="00B67C4B" w:rsidRPr="003E7DFE">
        <w:rPr>
          <w:rFonts w:cs="Arial"/>
          <w:sz w:val="22"/>
        </w:rPr>
        <w:t xml:space="preserve"> d</w:t>
      </w:r>
      <w:r w:rsidR="00EC31C9" w:rsidRPr="003E7DFE">
        <w:rPr>
          <w:rFonts w:cs="Arial"/>
          <w:sz w:val="22"/>
        </w:rPr>
        <w:t>o</w:t>
      </w:r>
      <w:r w:rsidR="00EA2D5B" w:rsidRPr="003E7DFE">
        <w:rPr>
          <w:rFonts w:cs="Arial"/>
          <w:sz w:val="22"/>
        </w:rPr>
        <w:t>ña</w:t>
      </w:r>
      <w:r w:rsidR="0006150C" w:rsidRPr="003E7DFE">
        <w:rPr>
          <w:rFonts w:cs="Arial"/>
          <w:sz w:val="22"/>
        </w:rPr>
        <w:t xml:space="preserve"> </w:t>
      </w:r>
      <w:r w:rsidR="001A1B4A" w:rsidRPr="003E7DFE">
        <w:rPr>
          <w:rFonts w:cs="Arial"/>
          <w:sz w:val="22"/>
        </w:rPr>
        <w:t>Marta Álvarez Alonso</w:t>
      </w:r>
      <w:r w:rsidR="0006150C" w:rsidRPr="003E7DFE">
        <w:rPr>
          <w:rFonts w:cs="Arial"/>
          <w:sz w:val="22"/>
        </w:rPr>
        <w:t>, adscrit</w:t>
      </w:r>
      <w:r w:rsidR="00EA2D5B" w:rsidRPr="003E7DFE">
        <w:rPr>
          <w:rFonts w:cs="Arial"/>
          <w:sz w:val="22"/>
        </w:rPr>
        <w:t>a</w:t>
      </w:r>
      <w:r w:rsidR="0006150C" w:rsidRPr="003E7DFE">
        <w:rPr>
          <w:rFonts w:cs="Arial"/>
          <w:sz w:val="22"/>
        </w:rPr>
        <w:t xml:space="preserve"> al Grupo </w:t>
      </w:r>
      <w:r w:rsidR="00B67C4B" w:rsidRPr="003E7DFE">
        <w:rPr>
          <w:rFonts w:cs="Arial"/>
          <w:sz w:val="22"/>
        </w:rPr>
        <w:t>P</w:t>
      </w:r>
      <w:r w:rsidR="0006150C" w:rsidRPr="003E7DFE">
        <w:rPr>
          <w:rFonts w:cs="Arial"/>
          <w:sz w:val="22"/>
        </w:rPr>
        <w:t xml:space="preserve">arlamentario </w:t>
      </w:r>
      <w:r w:rsidR="001A1B4A" w:rsidRPr="003E7DFE">
        <w:rPr>
          <w:rFonts w:cs="Arial"/>
          <w:sz w:val="22"/>
        </w:rPr>
        <w:t>Navarra Suma</w:t>
      </w:r>
      <w:r w:rsidR="0006150C" w:rsidRPr="003E7DFE">
        <w:rPr>
          <w:rFonts w:cs="Arial"/>
          <w:sz w:val="22"/>
        </w:rPr>
        <w:t xml:space="preserve">, </w:t>
      </w:r>
      <w:r w:rsidR="0068120C" w:rsidRPr="003E7DFE">
        <w:rPr>
          <w:rFonts w:cs="Arial"/>
          <w:sz w:val="22"/>
        </w:rPr>
        <w:t>sobre</w:t>
      </w:r>
      <w:r w:rsidR="00572EC2" w:rsidRPr="00572EC2">
        <w:rPr>
          <w:rFonts w:cs="Arial"/>
          <w:color w:val="333333"/>
          <w:sz w:val="18"/>
          <w:szCs w:val="18"/>
        </w:rPr>
        <w:t xml:space="preserve"> </w:t>
      </w:r>
      <w:r w:rsidR="00572EC2">
        <w:rPr>
          <w:rFonts w:cs="Arial"/>
          <w:sz w:val="22"/>
        </w:rPr>
        <w:t>la f</w:t>
      </w:r>
      <w:r w:rsidR="00572EC2" w:rsidRPr="00572EC2">
        <w:rPr>
          <w:rFonts w:cs="Arial"/>
          <w:sz w:val="22"/>
        </w:rPr>
        <w:t xml:space="preserve">inanciación a las residencias para paliar los gastos extraordinarios causados por la pandemia del COVID 19 </w:t>
      </w:r>
      <w:r w:rsidR="006566C9" w:rsidRPr="003E7DFE">
        <w:rPr>
          <w:rFonts w:cs="Arial"/>
          <w:sz w:val="22"/>
        </w:rPr>
        <w:t>(10</w:t>
      </w:r>
      <w:r w:rsidR="00560F7E" w:rsidRPr="003E7DFE">
        <w:rPr>
          <w:rFonts w:cs="Arial"/>
          <w:sz w:val="22"/>
        </w:rPr>
        <w:t>-20</w:t>
      </w:r>
      <w:r w:rsidR="00BF65B2" w:rsidRPr="003E7DFE">
        <w:rPr>
          <w:rFonts w:cs="Arial"/>
          <w:sz w:val="22"/>
        </w:rPr>
        <w:t>/PE</w:t>
      </w:r>
      <w:r w:rsidR="0095493E" w:rsidRPr="003E7DFE">
        <w:rPr>
          <w:rFonts w:cs="Arial"/>
          <w:sz w:val="22"/>
        </w:rPr>
        <w:t>S</w:t>
      </w:r>
      <w:r w:rsidR="00BF65B2" w:rsidRPr="003E7DFE">
        <w:rPr>
          <w:rFonts w:cs="Arial"/>
          <w:sz w:val="22"/>
        </w:rPr>
        <w:t>-00</w:t>
      </w:r>
      <w:r w:rsidR="0095493E" w:rsidRPr="003E7DFE">
        <w:rPr>
          <w:rFonts w:cs="Arial"/>
          <w:sz w:val="22"/>
        </w:rPr>
        <w:t>27</w:t>
      </w:r>
      <w:r w:rsidR="0011330E">
        <w:rPr>
          <w:rFonts w:cs="Arial"/>
          <w:sz w:val="22"/>
        </w:rPr>
        <w:t>1</w:t>
      </w:r>
      <w:r w:rsidR="00865890" w:rsidRPr="003E7DFE">
        <w:rPr>
          <w:rFonts w:cs="Arial"/>
          <w:sz w:val="22"/>
        </w:rPr>
        <w:t>)</w:t>
      </w:r>
      <w:r w:rsidR="0006150C" w:rsidRPr="003E7DFE">
        <w:rPr>
          <w:rFonts w:cs="Arial"/>
          <w:sz w:val="22"/>
        </w:rPr>
        <w:t xml:space="preserve">, </w:t>
      </w:r>
      <w:r w:rsidR="00CB3E16" w:rsidRPr="003E7DFE">
        <w:rPr>
          <w:rFonts w:cs="Arial"/>
          <w:sz w:val="22"/>
        </w:rPr>
        <w:t>tiene el honor de informarle lo siguiente</w:t>
      </w:r>
      <w:r w:rsidR="00EC3319" w:rsidRPr="003E7DFE">
        <w:rPr>
          <w:rFonts w:cs="Arial"/>
          <w:sz w:val="22"/>
        </w:rPr>
        <w:t>:</w:t>
      </w:r>
    </w:p>
    <w:p w:rsidR="0011330E" w:rsidRPr="00572EC2" w:rsidRDefault="0011330E" w:rsidP="0011330E">
      <w:pPr>
        <w:rPr>
          <w:rFonts w:cs="Arial"/>
          <w:i/>
          <w:sz w:val="22"/>
        </w:rPr>
      </w:pPr>
      <w:r w:rsidRPr="00572EC2">
        <w:rPr>
          <w:rFonts w:cs="Arial"/>
          <w:i/>
          <w:sz w:val="22"/>
        </w:rPr>
        <w:t xml:space="preserve">1.- ¿Ha destinado el Departamento de Derechos Sociales alguna cantidad, en la fecha en que se ha realizado esta pregunta a las residencias para paliar los gastos extraordinarios causados por la pandemia del COVID 19? </w:t>
      </w:r>
    </w:p>
    <w:p w:rsidR="003349FC" w:rsidRDefault="0011330E" w:rsidP="0011330E">
      <w:pPr>
        <w:rPr>
          <w:rFonts w:cs="Arial"/>
          <w:sz w:val="22"/>
          <w:lang w:val="es-ES_tradnl"/>
        </w:rPr>
      </w:pPr>
      <w:r w:rsidRPr="0011330E">
        <w:rPr>
          <w:rFonts w:cs="Arial"/>
          <w:sz w:val="22"/>
          <w:lang w:val="es-ES_tradnl"/>
        </w:rPr>
        <w:t>Sí.</w:t>
      </w:r>
    </w:p>
    <w:p w:rsidR="0011330E" w:rsidRPr="00572EC2" w:rsidRDefault="0011330E" w:rsidP="0011330E">
      <w:pPr>
        <w:rPr>
          <w:rFonts w:cs="Arial"/>
          <w:i/>
          <w:sz w:val="22"/>
        </w:rPr>
      </w:pPr>
      <w:r w:rsidRPr="00572EC2">
        <w:rPr>
          <w:rFonts w:cs="Arial"/>
          <w:i/>
          <w:sz w:val="22"/>
        </w:rPr>
        <w:t xml:space="preserve">2.- De ser así, ¿qué cantidad? </w:t>
      </w:r>
    </w:p>
    <w:p w:rsidR="003349FC" w:rsidRDefault="0011330E" w:rsidP="0011330E">
      <w:pPr>
        <w:rPr>
          <w:rFonts w:cs="Arial"/>
          <w:sz w:val="22"/>
          <w:lang w:val="es-ES_tradnl"/>
        </w:rPr>
      </w:pPr>
      <w:r w:rsidRPr="0011330E">
        <w:rPr>
          <w:rFonts w:cs="Arial"/>
          <w:sz w:val="22"/>
          <w:lang w:val="es-ES_tradnl"/>
        </w:rPr>
        <w:t>A fecha 5 de noviembre de 2020, 2.518.117,20 € (sin tener en cuenta los gastos de los recursos intermedios).</w:t>
      </w:r>
    </w:p>
    <w:p w:rsidR="0011330E" w:rsidRPr="00572EC2" w:rsidRDefault="0011330E" w:rsidP="0011330E">
      <w:pPr>
        <w:rPr>
          <w:rFonts w:cs="Arial"/>
          <w:i/>
          <w:sz w:val="22"/>
        </w:rPr>
      </w:pPr>
      <w:r w:rsidRPr="00572EC2">
        <w:rPr>
          <w:rFonts w:cs="Arial"/>
          <w:i/>
          <w:sz w:val="22"/>
        </w:rPr>
        <w:t xml:space="preserve">3.- De esa cantidad ¿Cuánto ha venido del Fondo extraordinario del Estado y cuanto de fondos propios del Departamento? </w:t>
      </w:r>
    </w:p>
    <w:p w:rsidR="003349FC" w:rsidRDefault="00572EC2" w:rsidP="0011330E">
      <w:pPr>
        <w:rPr>
          <w:rFonts w:cs="Arial"/>
          <w:sz w:val="22"/>
        </w:rPr>
      </w:pPr>
      <w:r>
        <w:rPr>
          <w:rFonts w:cs="Arial"/>
          <w:sz w:val="22"/>
        </w:rPr>
        <w:t>1.100.000 €</w:t>
      </w:r>
      <w:r w:rsidR="0011330E" w:rsidRPr="0011330E">
        <w:rPr>
          <w:rFonts w:cs="Arial"/>
          <w:sz w:val="22"/>
        </w:rPr>
        <w:t xml:space="preserve"> del </w:t>
      </w:r>
      <w:r w:rsidR="00430F1A">
        <w:rPr>
          <w:rFonts w:cs="Arial"/>
          <w:sz w:val="22"/>
        </w:rPr>
        <w:t>F</w:t>
      </w:r>
      <w:r w:rsidR="0011330E" w:rsidRPr="0011330E">
        <w:rPr>
          <w:rFonts w:cs="Arial"/>
          <w:sz w:val="22"/>
        </w:rPr>
        <w:t>ondo extraordinario del Estado, el resto del Departamento.</w:t>
      </w:r>
    </w:p>
    <w:p w:rsidR="0011330E" w:rsidRPr="00C82E11" w:rsidRDefault="0011330E" w:rsidP="0011330E">
      <w:pPr>
        <w:rPr>
          <w:rFonts w:cs="Arial"/>
          <w:i/>
          <w:sz w:val="22"/>
        </w:rPr>
      </w:pPr>
      <w:r w:rsidRPr="00C82E11">
        <w:rPr>
          <w:rFonts w:cs="Arial"/>
          <w:i/>
          <w:sz w:val="22"/>
        </w:rPr>
        <w:t xml:space="preserve">4.- De haberse abonado alguna cantidad, fecha de la resolución o resoluciones de abono y copia de las mismas. </w:t>
      </w:r>
    </w:p>
    <w:p w:rsidR="00501C57" w:rsidRPr="00501C57" w:rsidRDefault="00501C57" w:rsidP="00501C57">
      <w:pPr>
        <w:rPr>
          <w:rFonts w:cs="Arial"/>
          <w:sz w:val="22"/>
          <w:lang w:val="es-ES_tradnl"/>
        </w:rPr>
      </w:pPr>
      <w:r w:rsidRPr="00501C57">
        <w:rPr>
          <w:rFonts w:cs="Arial"/>
          <w:sz w:val="22"/>
          <w:lang w:val="es-ES_tradnl"/>
        </w:rPr>
        <w:t>El abono se ha hecho desde marzo ininterrumpidamente (previa justificación de gasto por parte de las residencias).</w:t>
      </w:r>
    </w:p>
    <w:p w:rsidR="003349FC" w:rsidRDefault="00501C57" w:rsidP="00501C57">
      <w:pPr>
        <w:rPr>
          <w:rFonts w:cs="Arial"/>
          <w:sz w:val="22"/>
          <w:lang w:val="es-ES_tradnl"/>
        </w:rPr>
      </w:pPr>
      <w:r w:rsidRPr="00501C57">
        <w:rPr>
          <w:rFonts w:cs="Arial"/>
          <w:sz w:val="22"/>
          <w:lang w:val="es-ES_tradnl"/>
        </w:rPr>
        <w:t>Constan en este Departamento todas las resoluciones de abono realizadas, las cuales no hay inconveniente en remitírselas si se formula dicha petición de documentación a través de los cauces reglamentarios.</w:t>
      </w:r>
    </w:p>
    <w:p w:rsidR="0011330E" w:rsidRPr="00C82E11" w:rsidRDefault="0011330E" w:rsidP="0011330E">
      <w:pPr>
        <w:rPr>
          <w:rFonts w:cs="Arial"/>
          <w:i/>
          <w:sz w:val="22"/>
        </w:rPr>
      </w:pPr>
      <w:r w:rsidRPr="00C82E11">
        <w:rPr>
          <w:rFonts w:cs="Arial"/>
          <w:i/>
          <w:sz w:val="22"/>
        </w:rPr>
        <w:t xml:space="preserve">5.-De haberse abonado alguna cantidad, ¿cuáles han sido los criterios de reparto? </w:t>
      </w:r>
    </w:p>
    <w:p w:rsidR="0011330E" w:rsidRPr="00C82E11" w:rsidRDefault="0011330E" w:rsidP="0011330E">
      <w:pPr>
        <w:rPr>
          <w:rFonts w:cs="Arial"/>
          <w:iCs/>
          <w:sz w:val="22"/>
          <w:lang w:val="es-ES_tradnl"/>
        </w:rPr>
      </w:pPr>
      <w:r w:rsidRPr="00C82E11">
        <w:rPr>
          <w:rFonts w:cs="Arial"/>
          <w:iCs/>
          <w:sz w:val="22"/>
          <w:lang w:val="es-ES_tradnl"/>
        </w:rPr>
        <w:t>CRITERIOS DE ABONO DE GASTOS COVID</w:t>
      </w:r>
    </w:p>
    <w:p w:rsidR="0011330E" w:rsidRPr="0011330E" w:rsidRDefault="0011330E" w:rsidP="00C82E11">
      <w:pPr>
        <w:numPr>
          <w:ilvl w:val="0"/>
          <w:numId w:val="11"/>
        </w:numPr>
        <w:ind w:left="284" w:hanging="284"/>
        <w:rPr>
          <w:rFonts w:cs="Arial"/>
          <w:sz w:val="22"/>
          <w:lang w:val="es-ES_tradnl"/>
        </w:rPr>
      </w:pPr>
      <w:r w:rsidRPr="0011330E">
        <w:rPr>
          <w:rFonts w:cs="Arial"/>
          <w:sz w:val="22"/>
          <w:lang w:val="es-ES_tradnl"/>
        </w:rPr>
        <w:t>Indemnizaciones de contrato: suspensión total CD:</w:t>
      </w:r>
    </w:p>
    <w:p w:rsidR="0011330E" w:rsidRPr="0011330E" w:rsidRDefault="0011330E" w:rsidP="00C82E11">
      <w:pPr>
        <w:ind w:left="284"/>
        <w:rPr>
          <w:rFonts w:cs="Arial"/>
          <w:sz w:val="22"/>
          <w:lang w:val="es-ES_tradnl"/>
        </w:rPr>
      </w:pPr>
      <w:r w:rsidRPr="0011330E">
        <w:rPr>
          <w:rFonts w:cs="Arial"/>
          <w:sz w:val="22"/>
          <w:lang w:val="es-ES_tradnl"/>
        </w:rPr>
        <w:t>Se han indemnizado, en proporción al porcentaje de plazas concertadas, los gastos que se recogen el art. 2.4 de la Ley Foral 7/2020, de 6 de abril establece que serán indemnizables los siguientes conceptos:</w:t>
      </w:r>
    </w:p>
    <w:p w:rsidR="0011330E" w:rsidRPr="0011330E" w:rsidRDefault="0011330E" w:rsidP="00C82E11">
      <w:pPr>
        <w:numPr>
          <w:ilvl w:val="0"/>
          <w:numId w:val="12"/>
        </w:numPr>
        <w:ind w:left="709" w:hanging="425"/>
        <w:rPr>
          <w:rFonts w:cs="Arial"/>
          <w:sz w:val="22"/>
          <w:lang w:val="es-ES_tradnl"/>
        </w:rPr>
      </w:pPr>
      <w:r w:rsidRPr="0011330E">
        <w:rPr>
          <w:rFonts w:cs="Arial"/>
          <w:sz w:val="22"/>
          <w:lang w:val="es-ES_tradnl"/>
        </w:rPr>
        <w:t>Los gastos salariales que efectivamente abone el contratista al personal adscrito a la ejecución ordinaria del contrato, durante el período de suspensión. A estos efectos, debe entenderse que los gastos salariales incluyen todas las cotizaciones a la Seguridad Social que correspondan.</w:t>
      </w:r>
    </w:p>
    <w:p w:rsidR="0011330E" w:rsidRPr="0011330E" w:rsidRDefault="0011330E" w:rsidP="00C82E11">
      <w:pPr>
        <w:numPr>
          <w:ilvl w:val="0"/>
          <w:numId w:val="12"/>
        </w:numPr>
        <w:ind w:left="709" w:hanging="425"/>
        <w:rPr>
          <w:rFonts w:cs="Arial"/>
          <w:sz w:val="22"/>
          <w:lang w:val="es-ES_tradnl"/>
        </w:rPr>
      </w:pPr>
      <w:r w:rsidRPr="0011330E">
        <w:rPr>
          <w:rFonts w:cs="Arial"/>
          <w:sz w:val="22"/>
          <w:lang w:val="es-ES_tradnl"/>
        </w:rPr>
        <w:t>Los gastos por mantenimiento de la garantía definitiva, relativos al período de suspensión del contrato.</w:t>
      </w:r>
    </w:p>
    <w:p w:rsidR="0011330E" w:rsidRPr="0011330E" w:rsidRDefault="0011330E" w:rsidP="00C82E11">
      <w:pPr>
        <w:numPr>
          <w:ilvl w:val="0"/>
          <w:numId w:val="12"/>
        </w:numPr>
        <w:ind w:left="709" w:hanging="425"/>
        <w:rPr>
          <w:rFonts w:cs="Arial"/>
          <w:sz w:val="22"/>
          <w:lang w:val="es-ES_tradnl"/>
        </w:rPr>
      </w:pPr>
      <w:r w:rsidRPr="0011330E">
        <w:rPr>
          <w:rFonts w:cs="Arial"/>
          <w:sz w:val="22"/>
          <w:lang w:val="es-ES_tradnl"/>
        </w:rPr>
        <w:lastRenderedPageBreak/>
        <w:t>Los gastos de alquileres o costes de mantenimiento de maquinaria, instalaciones y equipos siempre que el contratista acredite que estos medios no pudieron ser empleados para otros fines distintos de la ejecución del contrato suspendido y su importe sea inferior al coste de la resolución de tales contratos de alquiler o mantenimiento de maquinaria, instalaciones y equipos.</w:t>
      </w:r>
    </w:p>
    <w:p w:rsidR="003349FC" w:rsidRDefault="0011330E" w:rsidP="00C82E11">
      <w:pPr>
        <w:numPr>
          <w:ilvl w:val="0"/>
          <w:numId w:val="12"/>
        </w:numPr>
        <w:ind w:left="709" w:hanging="425"/>
        <w:rPr>
          <w:rFonts w:cs="Arial"/>
          <w:sz w:val="22"/>
          <w:lang w:val="es-ES_tradnl"/>
        </w:rPr>
      </w:pPr>
      <w:r w:rsidRPr="0011330E">
        <w:rPr>
          <w:rFonts w:cs="Arial"/>
          <w:sz w:val="22"/>
          <w:lang w:val="es-ES_tradnl"/>
        </w:rPr>
        <w:t>Los gastos correspondientes a las pólizas de seguro previstas en el pliego y vinculadas al objeto del contrato que hayan sido suscritas por el contratista y estén vigentes en el momento de la suspensión del contrato.</w:t>
      </w:r>
    </w:p>
    <w:p w:rsidR="0011330E" w:rsidRPr="00C82E11" w:rsidRDefault="0011330E" w:rsidP="00C82E11">
      <w:pPr>
        <w:numPr>
          <w:ilvl w:val="0"/>
          <w:numId w:val="11"/>
        </w:numPr>
        <w:ind w:left="284" w:hanging="284"/>
        <w:rPr>
          <w:rFonts w:cs="Arial"/>
          <w:sz w:val="22"/>
          <w:lang w:val="es-ES_tradnl"/>
        </w:rPr>
      </w:pPr>
      <w:r w:rsidRPr="00C82E11">
        <w:rPr>
          <w:rFonts w:cs="Arial"/>
          <w:sz w:val="22"/>
          <w:lang w:val="es-ES_tradnl"/>
        </w:rPr>
        <w:t>Discapacidad: Suspensión del servicio de centro de día y Estancias Diurnas</w:t>
      </w:r>
    </w:p>
    <w:p w:rsidR="0011330E" w:rsidRPr="0011330E" w:rsidRDefault="0011330E" w:rsidP="00C82E11">
      <w:pPr>
        <w:ind w:left="284"/>
        <w:rPr>
          <w:rFonts w:cs="Arial"/>
          <w:sz w:val="22"/>
          <w:lang w:val="es-ES_tradnl"/>
        </w:rPr>
      </w:pPr>
      <w:r w:rsidRPr="0011330E">
        <w:rPr>
          <w:rFonts w:cs="Arial"/>
          <w:sz w:val="22"/>
          <w:lang w:val="es-ES_tradnl"/>
        </w:rPr>
        <w:t xml:space="preserve">Se han modificado los contratos por emergencia en Atalaya, Las Hayas, </w:t>
      </w:r>
      <w:proofErr w:type="spellStart"/>
      <w:r w:rsidRPr="0011330E">
        <w:rPr>
          <w:rFonts w:cs="Arial"/>
          <w:sz w:val="22"/>
          <w:lang w:val="es-ES_tradnl"/>
        </w:rPr>
        <w:t>Oncineda</w:t>
      </w:r>
      <w:proofErr w:type="spellEnd"/>
      <w:r w:rsidRPr="0011330E">
        <w:rPr>
          <w:rFonts w:cs="Arial"/>
          <w:sz w:val="22"/>
          <w:lang w:val="es-ES_tradnl"/>
        </w:rPr>
        <w:t>, Valle de Roncal e Infanta Elena y Aspace en el siguiente sentido:</w:t>
      </w:r>
    </w:p>
    <w:p w:rsidR="0011330E" w:rsidRPr="0011330E" w:rsidRDefault="00E64672" w:rsidP="00C82E11">
      <w:pPr>
        <w:ind w:left="284"/>
        <w:rPr>
          <w:rFonts w:cs="Arial"/>
          <w:sz w:val="22"/>
          <w:lang w:val="es-ES_tradnl"/>
        </w:rPr>
      </w:pPr>
      <w:r>
        <w:rPr>
          <w:rFonts w:cs="Arial"/>
          <w:sz w:val="22"/>
          <w:lang w:val="es-ES_tradnl"/>
        </w:rPr>
        <w:t>«</w:t>
      </w:r>
      <w:r w:rsidR="0011330E" w:rsidRPr="0011330E">
        <w:rPr>
          <w:rFonts w:cs="Arial"/>
          <w:sz w:val="22"/>
          <w:lang w:val="es-ES_tradnl"/>
        </w:rPr>
        <w:t>Modificar el pliego de cláusulas administrativas particulares añadiendo el siguiente anexo:</w:t>
      </w:r>
    </w:p>
    <w:p w:rsidR="0011330E" w:rsidRPr="00C82E11" w:rsidRDefault="0011330E" w:rsidP="00C82E11">
      <w:pPr>
        <w:ind w:left="284"/>
        <w:rPr>
          <w:rFonts w:cs="Arial"/>
          <w:sz w:val="22"/>
          <w:lang w:val="es-ES_tradnl"/>
        </w:rPr>
      </w:pPr>
      <w:r w:rsidRPr="00C82E11">
        <w:rPr>
          <w:rFonts w:cs="Arial"/>
          <w:sz w:val="22"/>
          <w:lang w:val="es-ES_tradnl"/>
        </w:rPr>
        <w:t>ANEXO: Suspensión del servicio de centro de día y de estancias diurnas</w:t>
      </w:r>
    </w:p>
    <w:p w:rsidR="0011330E" w:rsidRPr="0011330E" w:rsidRDefault="0011330E" w:rsidP="00C82E11">
      <w:pPr>
        <w:ind w:left="284"/>
        <w:rPr>
          <w:rFonts w:cs="Arial"/>
          <w:sz w:val="22"/>
          <w:lang w:val="es-ES_tradnl"/>
        </w:rPr>
      </w:pPr>
      <w:r w:rsidRPr="0011330E">
        <w:rPr>
          <w:rFonts w:cs="Arial"/>
          <w:sz w:val="22"/>
          <w:lang w:val="es-ES_tradnl"/>
        </w:rPr>
        <w:t>La Agencia Navarra de Autonomía y Desarrollo de las Personas abonará el módulo de reserva de plaza de estancia diurna o centro de día por las plazas concertadas, siempre que la entidad se comprometa a poner el personal de centro de día o estancias diurnas al servicio de la residencia, en los siguientes supuestos:</w:t>
      </w:r>
    </w:p>
    <w:p w:rsidR="0011330E" w:rsidRPr="0011330E" w:rsidRDefault="0011330E" w:rsidP="0011330E">
      <w:pPr>
        <w:numPr>
          <w:ilvl w:val="0"/>
          <w:numId w:val="13"/>
        </w:numPr>
        <w:rPr>
          <w:rFonts w:cs="Arial"/>
          <w:sz w:val="22"/>
          <w:lang w:val="es-ES_tradnl"/>
        </w:rPr>
      </w:pPr>
      <w:r w:rsidRPr="0011330E">
        <w:rPr>
          <w:rFonts w:cs="Arial"/>
          <w:sz w:val="22"/>
          <w:lang w:val="es-ES_tradnl"/>
        </w:rPr>
        <w:t>Una norma obligue a suspender el servicio de estancias diurna o centro de día, o</w:t>
      </w:r>
    </w:p>
    <w:p w:rsidR="003349FC" w:rsidRDefault="0011330E" w:rsidP="0011330E">
      <w:pPr>
        <w:numPr>
          <w:ilvl w:val="0"/>
          <w:numId w:val="13"/>
        </w:numPr>
        <w:rPr>
          <w:rFonts w:cs="Arial"/>
          <w:sz w:val="22"/>
          <w:lang w:val="es-ES_tradnl"/>
        </w:rPr>
      </w:pPr>
      <w:r w:rsidRPr="0011330E">
        <w:rPr>
          <w:rFonts w:cs="Arial"/>
          <w:sz w:val="22"/>
          <w:lang w:val="es-ES_tradnl"/>
        </w:rPr>
        <w:t>Una vez levantada la prohibición, la ANADP considere que un centro no cumple las condiciones para poder prestar dicho ser</w:t>
      </w:r>
      <w:r w:rsidR="00E64672">
        <w:rPr>
          <w:rFonts w:cs="Arial"/>
          <w:sz w:val="22"/>
          <w:lang w:val="es-ES_tradnl"/>
        </w:rPr>
        <w:t>vicio con garantías suficientes</w:t>
      </w:r>
      <w:r w:rsidRPr="0011330E">
        <w:rPr>
          <w:rFonts w:cs="Arial"/>
          <w:sz w:val="22"/>
          <w:lang w:val="es-ES_tradnl"/>
        </w:rPr>
        <w:t>»</w:t>
      </w:r>
      <w:r w:rsidR="00E64672">
        <w:rPr>
          <w:rFonts w:cs="Arial"/>
          <w:sz w:val="22"/>
          <w:lang w:val="es-ES_tradnl"/>
        </w:rPr>
        <w:t>.</w:t>
      </w:r>
      <w:bookmarkStart w:id="0" w:name="_GoBack"/>
      <w:bookmarkEnd w:id="0"/>
    </w:p>
    <w:p w:rsidR="0011330E" w:rsidRPr="0011330E" w:rsidRDefault="0011330E" w:rsidP="00C82E11">
      <w:pPr>
        <w:numPr>
          <w:ilvl w:val="0"/>
          <w:numId w:val="11"/>
        </w:numPr>
        <w:ind w:left="284" w:hanging="284"/>
        <w:rPr>
          <w:rFonts w:cs="Arial"/>
          <w:sz w:val="22"/>
          <w:lang w:val="es-ES_tradnl"/>
        </w:rPr>
      </w:pPr>
      <w:r w:rsidRPr="0011330E">
        <w:rPr>
          <w:rFonts w:cs="Arial"/>
          <w:sz w:val="22"/>
          <w:lang w:val="es-ES_tradnl"/>
        </w:rPr>
        <w:t>Mayores: Suspensión de Estancias Diurnas y Gastos Extraordinarios Acuerdo Marco</w:t>
      </w:r>
    </w:p>
    <w:p w:rsidR="0011330E" w:rsidRPr="0011330E" w:rsidRDefault="0011330E" w:rsidP="00C82E11">
      <w:pPr>
        <w:ind w:left="284"/>
        <w:rPr>
          <w:rFonts w:cs="Arial"/>
          <w:sz w:val="22"/>
          <w:lang w:val="es-ES_tradnl"/>
        </w:rPr>
      </w:pPr>
      <w:r w:rsidRPr="0011330E">
        <w:rPr>
          <w:rFonts w:cs="Arial"/>
          <w:sz w:val="22"/>
          <w:lang w:val="es-ES_tradnl"/>
        </w:rPr>
        <w:t>Se ha modificado el Acuerdo Marco en el siguiente sentido:</w:t>
      </w:r>
    </w:p>
    <w:p w:rsidR="0011330E" w:rsidRPr="0011330E" w:rsidRDefault="0011330E" w:rsidP="00C82E11">
      <w:pPr>
        <w:ind w:left="284"/>
        <w:rPr>
          <w:rFonts w:cs="Arial"/>
          <w:sz w:val="22"/>
          <w:lang w:val="es-ES_tradnl"/>
        </w:rPr>
      </w:pPr>
      <w:r w:rsidRPr="0011330E">
        <w:rPr>
          <w:rFonts w:cs="Arial"/>
          <w:sz w:val="22"/>
          <w:lang w:val="es-ES_tradnl"/>
        </w:rPr>
        <w:t>1º.- Modificar el pliego regulador del Acuerdo Marco para la gestión de plazas residenciales, estancias diurnas y servicios de promoción de la autonomía, incluyendo los siguientes ANEXOS:</w:t>
      </w:r>
    </w:p>
    <w:p w:rsidR="0011330E" w:rsidRPr="00C82E11" w:rsidRDefault="0011330E" w:rsidP="00C82E11">
      <w:pPr>
        <w:ind w:left="284"/>
        <w:rPr>
          <w:rFonts w:cs="Arial"/>
          <w:sz w:val="22"/>
          <w:lang w:val="es-ES_tradnl"/>
        </w:rPr>
      </w:pPr>
      <w:r w:rsidRPr="00C82E11">
        <w:rPr>
          <w:rFonts w:cs="Arial"/>
          <w:sz w:val="22"/>
          <w:lang w:val="es-ES_tradnl"/>
        </w:rPr>
        <w:t>ANEXO IV: SUSPENSIÓN DEL SERVICIO DE ESTANCIAS DIURNAS</w:t>
      </w:r>
    </w:p>
    <w:p w:rsidR="0011330E" w:rsidRPr="0011330E" w:rsidRDefault="0011330E" w:rsidP="00A9708E">
      <w:pPr>
        <w:ind w:left="284"/>
        <w:rPr>
          <w:rFonts w:cs="Arial"/>
          <w:sz w:val="22"/>
          <w:lang w:val="es-ES_tradnl"/>
        </w:rPr>
      </w:pPr>
      <w:r w:rsidRPr="0011330E">
        <w:rPr>
          <w:rFonts w:cs="Arial"/>
          <w:sz w:val="22"/>
          <w:lang w:val="es-ES_tradnl"/>
        </w:rPr>
        <w:t>La ANADP abonará el 100% del módulo de Estancias Diurnas al Centro, siempre que la entidad se comprometa a poner al personal de Estancias Diurnas al servicio de la residencia en los siguientes supuestos:</w:t>
      </w:r>
    </w:p>
    <w:p w:rsidR="0011330E" w:rsidRPr="0011330E" w:rsidRDefault="0011330E" w:rsidP="00A9708E">
      <w:pPr>
        <w:numPr>
          <w:ilvl w:val="0"/>
          <w:numId w:val="13"/>
        </w:numPr>
        <w:rPr>
          <w:rFonts w:cs="Arial"/>
          <w:sz w:val="22"/>
          <w:lang w:val="es-ES_tradnl"/>
        </w:rPr>
      </w:pPr>
      <w:r w:rsidRPr="0011330E">
        <w:rPr>
          <w:rFonts w:cs="Arial"/>
          <w:sz w:val="22"/>
          <w:lang w:val="es-ES_tradnl"/>
        </w:rPr>
        <w:t>Una norma obligue a suspender el servicio de Estancias Diurnas, o</w:t>
      </w:r>
    </w:p>
    <w:p w:rsidR="003349FC" w:rsidRDefault="0011330E" w:rsidP="00A9708E">
      <w:pPr>
        <w:numPr>
          <w:ilvl w:val="0"/>
          <w:numId w:val="13"/>
        </w:numPr>
        <w:rPr>
          <w:rFonts w:cs="Arial"/>
          <w:sz w:val="22"/>
          <w:lang w:val="es-ES_tradnl"/>
        </w:rPr>
      </w:pPr>
      <w:r w:rsidRPr="0011330E">
        <w:rPr>
          <w:rFonts w:cs="Arial"/>
          <w:sz w:val="22"/>
          <w:lang w:val="es-ES_tradnl"/>
        </w:rPr>
        <w:lastRenderedPageBreak/>
        <w:t>una vez levantada la prohibición, la ANADP considere que un centro no cumple las condiciones para poder prestar dicho servicio con garantías suficientes, dado el riesgo que supone la entrada y salida diaria de personas procedentes de su domicilio, para las personas que residen en los centros.</w:t>
      </w:r>
    </w:p>
    <w:p w:rsidR="0011330E" w:rsidRPr="00A9708E" w:rsidRDefault="0011330E" w:rsidP="00A9708E">
      <w:pPr>
        <w:ind w:left="284"/>
        <w:rPr>
          <w:rFonts w:cs="Arial"/>
          <w:sz w:val="22"/>
          <w:lang w:val="es-ES_tradnl"/>
        </w:rPr>
      </w:pPr>
      <w:r w:rsidRPr="00A9708E">
        <w:rPr>
          <w:rFonts w:cs="Arial"/>
          <w:sz w:val="22"/>
          <w:lang w:val="es-ES_tradnl"/>
        </w:rPr>
        <w:t>ANEXO V: REAJUSTE DEL COSTE DE PLAZAS CONCERTADAS POR EL COVID-19.</w:t>
      </w:r>
    </w:p>
    <w:p w:rsidR="0011330E" w:rsidRPr="0011330E" w:rsidRDefault="0011330E" w:rsidP="00A9708E">
      <w:pPr>
        <w:ind w:left="284"/>
        <w:rPr>
          <w:rFonts w:cs="Arial"/>
          <w:sz w:val="22"/>
          <w:lang w:val="es-ES_tradnl"/>
        </w:rPr>
      </w:pPr>
      <w:r w:rsidRPr="0011330E">
        <w:rPr>
          <w:rFonts w:cs="Arial"/>
          <w:sz w:val="22"/>
          <w:lang w:val="es-ES_tradnl"/>
        </w:rPr>
        <w:t>Con el fin de responder al desequilibrio financiero de los centros residenciales provocado por los gastos extraordinarios necesarios para paliar los efectos adversos del COVID 19, se reajustará el coste de las plazas concertadas, en un porcentaje de hasta un 50%, siempre que haya consignación presupuestaria, incluyendo el coste de los siguientes conceptos:</w:t>
      </w:r>
    </w:p>
    <w:p w:rsidR="0011330E" w:rsidRPr="0011330E" w:rsidRDefault="0011330E" w:rsidP="00A9708E">
      <w:pPr>
        <w:numPr>
          <w:ilvl w:val="0"/>
          <w:numId w:val="13"/>
        </w:numPr>
        <w:rPr>
          <w:rFonts w:cs="Arial"/>
          <w:sz w:val="22"/>
          <w:lang w:val="es-ES_tradnl"/>
        </w:rPr>
      </w:pPr>
      <w:r w:rsidRPr="0011330E">
        <w:rPr>
          <w:rFonts w:cs="Arial"/>
          <w:sz w:val="22"/>
          <w:lang w:val="es-ES_tradnl"/>
        </w:rPr>
        <w:t>Disminución de ingresos por desocupación en el periodo comprendido entre el 01/03/2020 y el 31/05/2020.</w:t>
      </w:r>
    </w:p>
    <w:p w:rsidR="0011330E" w:rsidRPr="0011330E" w:rsidRDefault="0011330E" w:rsidP="00A9708E">
      <w:pPr>
        <w:numPr>
          <w:ilvl w:val="0"/>
          <w:numId w:val="13"/>
        </w:numPr>
        <w:rPr>
          <w:rFonts w:cs="Arial"/>
          <w:sz w:val="22"/>
          <w:lang w:val="es-ES_tradnl"/>
        </w:rPr>
      </w:pPr>
      <w:r w:rsidRPr="0011330E">
        <w:rPr>
          <w:rFonts w:cs="Arial"/>
          <w:sz w:val="22"/>
          <w:lang w:val="es-ES_tradnl"/>
        </w:rPr>
        <w:t>Incremento del coste personal producido por el Coste de bajas de personal por COVID-19 y Refuerzos de Personal.</w:t>
      </w:r>
    </w:p>
    <w:p w:rsidR="003349FC" w:rsidRDefault="0011330E" w:rsidP="00A9708E">
      <w:pPr>
        <w:numPr>
          <w:ilvl w:val="0"/>
          <w:numId w:val="13"/>
        </w:numPr>
        <w:rPr>
          <w:rFonts w:cs="Arial"/>
          <w:sz w:val="22"/>
          <w:lang w:val="es-ES_tradnl"/>
        </w:rPr>
      </w:pPr>
      <w:r w:rsidRPr="0011330E">
        <w:rPr>
          <w:rFonts w:cs="Arial"/>
          <w:sz w:val="22"/>
          <w:lang w:val="es-ES_tradnl"/>
        </w:rPr>
        <w:t>Otros gastos extraordinarios necesarios para prevenir y combatir el COVID-19 (EPIS, mascarillas, pantallas protectoras, desinfectantes, limpieza, etc.).</w:t>
      </w:r>
    </w:p>
    <w:p w:rsidR="0011330E" w:rsidRPr="0011330E" w:rsidRDefault="0011330E" w:rsidP="00A9708E">
      <w:pPr>
        <w:numPr>
          <w:ilvl w:val="0"/>
          <w:numId w:val="11"/>
        </w:numPr>
        <w:ind w:left="284" w:hanging="284"/>
        <w:rPr>
          <w:rFonts w:cs="Arial"/>
          <w:sz w:val="22"/>
          <w:lang w:val="es-ES_tradnl"/>
        </w:rPr>
      </w:pPr>
      <w:r w:rsidRPr="0011330E">
        <w:rPr>
          <w:rFonts w:cs="Arial"/>
          <w:sz w:val="22"/>
          <w:lang w:val="es-ES_tradnl"/>
        </w:rPr>
        <w:t>Mayores y TMG : Suspensión CRPS y CD ( Hospitalarias)</w:t>
      </w:r>
    </w:p>
    <w:p w:rsidR="003349FC" w:rsidRDefault="0011330E" w:rsidP="00A9708E">
      <w:pPr>
        <w:ind w:left="284"/>
        <w:rPr>
          <w:rFonts w:cs="Arial"/>
          <w:sz w:val="22"/>
          <w:lang w:val="es-ES_tradnl"/>
        </w:rPr>
      </w:pPr>
      <w:r w:rsidRPr="0011330E">
        <w:rPr>
          <w:rFonts w:cs="Arial"/>
          <w:sz w:val="22"/>
          <w:lang w:val="es-ES_tradnl"/>
        </w:rPr>
        <w:t xml:space="preserve">Se han abonado los costes de personal imputados a CRPS Y CD (servicios suspendidos durante un periodo) en proporción a las plazas concertadas, por no acudir al ERTE y prestar su apoyo en el resto de recursos de Padre </w:t>
      </w:r>
      <w:proofErr w:type="spellStart"/>
      <w:r w:rsidRPr="0011330E">
        <w:rPr>
          <w:rFonts w:cs="Arial"/>
          <w:sz w:val="22"/>
          <w:lang w:val="es-ES_tradnl"/>
        </w:rPr>
        <w:t>Menni</w:t>
      </w:r>
      <w:proofErr w:type="spellEnd"/>
    </w:p>
    <w:p w:rsidR="0011330E" w:rsidRPr="00A9708E" w:rsidRDefault="0011330E" w:rsidP="0011330E">
      <w:pPr>
        <w:rPr>
          <w:rFonts w:cs="Arial"/>
          <w:i/>
          <w:sz w:val="22"/>
        </w:rPr>
      </w:pPr>
      <w:r w:rsidRPr="00A9708E">
        <w:rPr>
          <w:rFonts w:cs="Arial"/>
          <w:i/>
          <w:sz w:val="22"/>
        </w:rPr>
        <w:t>6.-</w:t>
      </w:r>
      <w:r w:rsidR="00A9708E">
        <w:rPr>
          <w:rFonts w:cs="Arial"/>
          <w:i/>
          <w:sz w:val="22"/>
        </w:rPr>
        <w:t xml:space="preserve"> </w:t>
      </w:r>
      <w:r w:rsidRPr="00A9708E">
        <w:rPr>
          <w:rFonts w:cs="Arial"/>
          <w:i/>
          <w:sz w:val="22"/>
        </w:rPr>
        <w:t>¿Tienen esas cantidades algo que ver con los 2,3 millones anunciados por la Consejera para residencias el día 8 de mayo? Si no es así, explicación de por</w:t>
      </w:r>
      <w:r w:rsidR="00A9708E">
        <w:rPr>
          <w:rFonts w:cs="Arial"/>
          <w:i/>
          <w:sz w:val="22"/>
        </w:rPr>
        <w:t xml:space="preserve"> </w:t>
      </w:r>
      <w:r w:rsidRPr="00A9708E">
        <w:rPr>
          <w:rFonts w:cs="Arial"/>
          <w:i/>
          <w:sz w:val="22"/>
        </w:rPr>
        <w:t xml:space="preserve">qué se producen las divergencias. </w:t>
      </w:r>
    </w:p>
    <w:p w:rsidR="003349FC" w:rsidRDefault="0011330E" w:rsidP="0011330E">
      <w:pPr>
        <w:rPr>
          <w:rFonts w:cs="Arial"/>
          <w:sz w:val="22"/>
        </w:rPr>
      </w:pPr>
      <w:r w:rsidRPr="0011330E">
        <w:rPr>
          <w:rFonts w:cs="Arial"/>
          <w:sz w:val="22"/>
        </w:rPr>
        <w:t>Sí, los 2.300.000 euros, es una parte de total que se va a pagar a los centros residenciales, ya que la cantidad total ya es superior a esos 2.300.00. De momento se han pagado a los centros 2.518.117,20 €.</w:t>
      </w:r>
    </w:p>
    <w:p w:rsidR="0011330E" w:rsidRPr="00A9708E" w:rsidRDefault="0011330E" w:rsidP="0011330E">
      <w:pPr>
        <w:rPr>
          <w:rFonts w:cs="Arial"/>
          <w:i/>
          <w:sz w:val="22"/>
        </w:rPr>
      </w:pPr>
      <w:r w:rsidRPr="00A9708E">
        <w:rPr>
          <w:rFonts w:cs="Arial"/>
          <w:i/>
          <w:sz w:val="22"/>
        </w:rPr>
        <w:t>7.-</w:t>
      </w:r>
      <w:r w:rsidR="00A9708E" w:rsidRPr="00A9708E">
        <w:rPr>
          <w:rFonts w:cs="Arial"/>
          <w:i/>
          <w:sz w:val="22"/>
        </w:rPr>
        <w:t xml:space="preserve"> </w:t>
      </w:r>
      <w:r w:rsidRPr="00A9708E">
        <w:rPr>
          <w:rFonts w:cs="Arial"/>
          <w:i/>
          <w:sz w:val="22"/>
        </w:rPr>
        <w:t>¿Para qué se envió un correo por parte del Secretario General Técnico a la Federación Navarra de Municipios y Concejos el día 14 de mayo de 2020 anunciando los datos que se iban a pedir a las EELL para gestionar o las modificaciones o los abonos de servicios en las circunstancias que ha impuesto la crisis sanitaria y/o las medidas para hacerle frente? ¿Se ha derivado alguna acción de dicho correo?</w:t>
      </w:r>
    </w:p>
    <w:p w:rsidR="0011330E" w:rsidRPr="0011330E" w:rsidRDefault="0011330E" w:rsidP="0011330E">
      <w:pPr>
        <w:rPr>
          <w:rFonts w:cs="Arial"/>
          <w:sz w:val="22"/>
        </w:rPr>
      </w:pPr>
      <w:r w:rsidRPr="0011330E">
        <w:rPr>
          <w:rFonts w:cs="Arial"/>
          <w:sz w:val="22"/>
        </w:rPr>
        <w:t>Desde la SGT se envió un correo porque desde l</w:t>
      </w:r>
      <w:r w:rsidR="00430F1A">
        <w:rPr>
          <w:rFonts w:cs="Arial"/>
          <w:sz w:val="22"/>
        </w:rPr>
        <w:t xml:space="preserve">a FNMC se solicitó información </w:t>
      </w:r>
      <w:r w:rsidRPr="0011330E">
        <w:rPr>
          <w:rFonts w:cs="Arial"/>
          <w:sz w:val="22"/>
        </w:rPr>
        <w:t>en una reunión por videoconferencia.</w:t>
      </w:r>
    </w:p>
    <w:p w:rsidR="0011330E" w:rsidRPr="0011330E" w:rsidRDefault="0011330E" w:rsidP="0011330E">
      <w:pPr>
        <w:rPr>
          <w:rFonts w:cs="Arial"/>
          <w:sz w:val="22"/>
        </w:rPr>
      </w:pPr>
      <w:r w:rsidRPr="0011330E">
        <w:rPr>
          <w:rFonts w:cs="Arial"/>
          <w:sz w:val="22"/>
        </w:rPr>
        <w:t xml:space="preserve">La información sirve para aquellas residencias de titularidad local que pudieran beneficiarse de las medidas extraordinarias que se aprobaron por el COVID en materia </w:t>
      </w:r>
      <w:r w:rsidRPr="0011330E">
        <w:rPr>
          <w:rFonts w:cs="Arial"/>
          <w:sz w:val="22"/>
        </w:rPr>
        <w:lastRenderedPageBreak/>
        <w:t>de modificaciones e indemnizaciones y que se acababan de explicar un poco antes a las entidades sociales con las que nos reunimos para conocer su opinión sobre el efecto de la pandemia y resolverles dudas sobre los DDLLFF y LLFF aprobadas para minimizar su impacto.</w:t>
      </w:r>
    </w:p>
    <w:p w:rsidR="0011330E" w:rsidRPr="0011330E" w:rsidRDefault="0011330E" w:rsidP="0011330E">
      <w:pPr>
        <w:rPr>
          <w:rFonts w:cs="Arial"/>
          <w:sz w:val="22"/>
        </w:rPr>
      </w:pPr>
      <w:r w:rsidRPr="0011330E">
        <w:rPr>
          <w:rFonts w:cs="Arial"/>
          <w:sz w:val="22"/>
        </w:rPr>
        <w:t>Se concretaron para ellas, como para el resto de titulares de residencias, los criterios fijados por la Agencia Navarra de Autonomía y Desarrollo de las Personas para modificar contratos o indemnizar por imposibilidad de ejecución y las solicitudes e informaciones que remitieran para aprobar esas modificaciones e indemnizaciones.</w:t>
      </w:r>
    </w:p>
    <w:p w:rsidR="003349FC" w:rsidRDefault="0011330E" w:rsidP="0011330E">
      <w:pPr>
        <w:rPr>
          <w:rFonts w:cs="Arial"/>
          <w:sz w:val="22"/>
        </w:rPr>
      </w:pPr>
      <w:r w:rsidRPr="0011330E">
        <w:rPr>
          <w:rFonts w:cs="Arial"/>
          <w:sz w:val="22"/>
        </w:rPr>
        <w:t>Respecto a la derivación de acciones, con los datos que se han solicitado a las residencias se ha hecho los cálculos para las compensaciones económicas.</w:t>
      </w:r>
    </w:p>
    <w:p w:rsidR="003349FC" w:rsidRDefault="0006150C" w:rsidP="00CA544A">
      <w:pPr>
        <w:spacing w:after="120"/>
        <w:rPr>
          <w:rFonts w:cs="Arial"/>
          <w:sz w:val="22"/>
        </w:rPr>
      </w:pPr>
      <w:r w:rsidRPr="003E7DFE">
        <w:rPr>
          <w:rFonts w:cs="Arial"/>
          <w:sz w:val="22"/>
        </w:rPr>
        <w:t>Es cuanto tengo el honor de informar en cumplimiento del artículo 1</w:t>
      </w:r>
      <w:r w:rsidR="003349FC">
        <w:rPr>
          <w:rFonts w:cs="Arial"/>
          <w:sz w:val="22"/>
        </w:rPr>
        <w:t>9</w:t>
      </w:r>
      <w:r w:rsidRPr="003E7DFE">
        <w:rPr>
          <w:rFonts w:cs="Arial"/>
          <w:sz w:val="22"/>
        </w:rPr>
        <w:t>4 del Reglamento del Parlamento de Navarra.</w:t>
      </w:r>
    </w:p>
    <w:p w:rsidR="0006150C" w:rsidRPr="003E7DFE" w:rsidRDefault="0006150C" w:rsidP="00CA544A">
      <w:pPr>
        <w:spacing w:after="120"/>
        <w:jc w:val="center"/>
        <w:outlineLvl w:val="0"/>
        <w:rPr>
          <w:rFonts w:cs="Arial"/>
          <w:sz w:val="22"/>
        </w:rPr>
      </w:pPr>
      <w:r w:rsidRPr="00AF7BC7">
        <w:rPr>
          <w:rFonts w:cs="Arial"/>
          <w:sz w:val="22"/>
        </w:rPr>
        <w:t>Pamplona</w:t>
      </w:r>
      <w:r w:rsidR="00AF7BC7" w:rsidRPr="00AF7BC7">
        <w:rPr>
          <w:rFonts w:cs="Arial"/>
          <w:sz w:val="22"/>
        </w:rPr>
        <w:t>-Iruña</w:t>
      </w:r>
      <w:r w:rsidRPr="00AF7BC7">
        <w:rPr>
          <w:rFonts w:cs="Arial"/>
          <w:sz w:val="22"/>
        </w:rPr>
        <w:t xml:space="preserve">, </w:t>
      </w:r>
      <w:r w:rsidR="00687DA9">
        <w:rPr>
          <w:rFonts w:cs="Arial"/>
          <w:sz w:val="22"/>
        </w:rPr>
        <w:t>20</w:t>
      </w:r>
      <w:r w:rsidR="00AF7BC7" w:rsidRPr="00AF7BC7">
        <w:rPr>
          <w:rFonts w:cs="Arial"/>
          <w:sz w:val="22"/>
        </w:rPr>
        <w:t xml:space="preserve"> de noviembre</w:t>
      </w:r>
      <w:r w:rsidR="00AA6EA2" w:rsidRPr="00AF7BC7">
        <w:rPr>
          <w:rFonts w:cs="Arial"/>
          <w:sz w:val="22"/>
        </w:rPr>
        <w:t xml:space="preserve"> de 20</w:t>
      </w:r>
      <w:r w:rsidR="003960F4" w:rsidRPr="00AF7BC7">
        <w:rPr>
          <w:rFonts w:cs="Arial"/>
          <w:sz w:val="22"/>
        </w:rPr>
        <w:t>20</w:t>
      </w:r>
    </w:p>
    <w:p w:rsidR="003349FC" w:rsidRPr="003349FC" w:rsidRDefault="00CD4DF7" w:rsidP="003349FC">
      <w:pPr>
        <w:spacing w:after="120"/>
        <w:jc w:val="center"/>
        <w:rPr>
          <w:rFonts w:cs="Arial"/>
          <w:sz w:val="22"/>
        </w:rPr>
      </w:pPr>
      <w:r w:rsidRPr="003E7DFE">
        <w:rPr>
          <w:rFonts w:cs="Arial"/>
          <w:sz w:val="22"/>
        </w:rPr>
        <w:t>La</w:t>
      </w:r>
      <w:r w:rsidR="00D45F8B" w:rsidRPr="003E7DFE">
        <w:rPr>
          <w:rFonts w:cs="Arial"/>
          <w:sz w:val="22"/>
        </w:rPr>
        <w:t xml:space="preserve"> </w:t>
      </w:r>
      <w:r w:rsidR="00F15BE5" w:rsidRPr="003E7DFE">
        <w:rPr>
          <w:rFonts w:cs="Arial"/>
          <w:sz w:val="22"/>
        </w:rPr>
        <w:t>Consejer</w:t>
      </w:r>
      <w:r w:rsidRPr="003E7DFE">
        <w:rPr>
          <w:rFonts w:cs="Arial"/>
          <w:sz w:val="22"/>
        </w:rPr>
        <w:t>a</w:t>
      </w:r>
      <w:r w:rsidR="00D45F8B" w:rsidRPr="003E7DFE">
        <w:rPr>
          <w:rFonts w:cs="Arial"/>
          <w:sz w:val="22"/>
        </w:rPr>
        <w:t xml:space="preserve"> de Derechos Sociales</w:t>
      </w:r>
      <w:r w:rsidR="003349FC">
        <w:rPr>
          <w:rFonts w:cs="Arial"/>
          <w:sz w:val="22"/>
        </w:rPr>
        <w:t xml:space="preserve">: </w:t>
      </w:r>
      <w:r w:rsidRPr="003E7DFE">
        <w:rPr>
          <w:rFonts w:cs="Arial"/>
          <w:sz w:val="22"/>
        </w:rPr>
        <w:t>María Carmen Maeztu Villafranca</w:t>
      </w:r>
    </w:p>
    <w:p w:rsidR="007E0158" w:rsidRPr="003E7DFE" w:rsidRDefault="007E0158" w:rsidP="00CA544A">
      <w:pPr>
        <w:pStyle w:val="Piedepgina"/>
        <w:tabs>
          <w:tab w:val="clear" w:pos="8504"/>
          <w:tab w:val="right" w:pos="9180"/>
        </w:tabs>
        <w:spacing w:after="120"/>
        <w:ind w:left="-720" w:right="-676"/>
        <w:rPr>
          <w:rFonts w:cs="Arial"/>
          <w:sz w:val="20"/>
        </w:rPr>
      </w:pPr>
    </w:p>
    <w:sectPr w:rsidR="007E0158" w:rsidRPr="003E7DFE"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3D" w:rsidRDefault="00F45E3D">
      <w:r>
        <w:separator/>
      </w:r>
    </w:p>
  </w:endnote>
  <w:endnote w:type="continuationSeparator" w:id="0">
    <w:p w:rsidR="00F45E3D" w:rsidRDefault="00F4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3349FC">
    <w:pPr>
      <w:pStyle w:val="Piedepgina"/>
      <w:pBdr>
        <w:top w:val="single" w:sz="4" w:space="0"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3D" w:rsidRDefault="00F45E3D">
      <w:r>
        <w:separator/>
      </w:r>
    </w:p>
  </w:footnote>
  <w:footnote w:type="continuationSeparator" w:id="0">
    <w:p w:rsidR="00F45E3D" w:rsidRDefault="00F45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9D729DF"/>
    <w:multiLevelType w:val="hybridMultilevel"/>
    <w:tmpl w:val="0AD26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4824F8"/>
    <w:multiLevelType w:val="hybridMultilevel"/>
    <w:tmpl w:val="9EA6C212"/>
    <w:lvl w:ilvl="0" w:tplc="6E5C4F66">
      <w:start w:val="1"/>
      <w:numFmt w:val="decimal"/>
      <w:lvlText w:val="%1."/>
      <w:lvlJc w:val="left"/>
      <w:pPr>
        <w:ind w:left="360" w:hanging="360"/>
      </w:pPr>
      <w:rPr>
        <w:color w:val="365F9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6924B82"/>
    <w:multiLevelType w:val="hybridMultilevel"/>
    <w:tmpl w:val="BC50BD72"/>
    <w:lvl w:ilvl="0" w:tplc="0C0A0001">
      <w:start w:val="1"/>
      <w:numFmt w:val="bullet"/>
      <w:lvlText w:val=""/>
      <w:lvlJc w:val="left"/>
      <w:pPr>
        <w:ind w:left="720" w:hanging="360"/>
      </w:pPr>
      <w:rPr>
        <w:rFonts w:ascii="Symbol" w:hAnsi="Symbol" w:hint="default"/>
      </w:rPr>
    </w:lvl>
    <w:lvl w:ilvl="1" w:tplc="6EC28008">
      <w:start w:val="4"/>
      <w:numFmt w:val="bullet"/>
      <w:lvlText w:val="•"/>
      <w:lvlJc w:val="left"/>
      <w:pPr>
        <w:ind w:left="1500" w:hanging="42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7">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C006475"/>
    <w:multiLevelType w:val="hybridMultilevel"/>
    <w:tmpl w:val="DC4A8AB2"/>
    <w:lvl w:ilvl="0" w:tplc="C57EE514">
      <w:start w:val="1"/>
      <w:numFmt w:val="decimal"/>
      <w:lvlText w:val="%1)"/>
      <w:lvlJc w:val="left"/>
      <w:pPr>
        <w:ind w:left="992" w:hanging="708"/>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7"/>
  </w:num>
  <w:num w:numId="4">
    <w:abstractNumId w:val="10"/>
  </w:num>
  <w:num w:numId="5">
    <w:abstractNumId w:val="9"/>
  </w:num>
  <w:num w:numId="6">
    <w:abstractNumId w:val="5"/>
  </w:num>
  <w:num w:numId="7">
    <w:abstractNumId w:val="6"/>
  </w:num>
  <w:num w:numId="8">
    <w:abstractNumId w:val="8"/>
  </w:num>
  <w:num w:numId="9">
    <w:abstractNumId w:val="0"/>
  </w:num>
  <w:num w:numId="10">
    <w:abstractNumId w:val="1"/>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85A58"/>
    <w:rsid w:val="000869FD"/>
    <w:rsid w:val="000B011E"/>
    <w:rsid w:val="000C1114"/>
    <w:rsid w:val="000D11F4"/>
    <w:rsid w:val="001068E7"/>
    <w:rsid w:val="00112842"/>
    <w:rsid w:val="0011330E"/>
    <w:rsid w:val="001207D5"/>
    <w:rsid w:val="0015056C"/>
    <w:rsid w:val="001566D9"/>
    <w:rsid w:val="00194A38"/>
    <w:rsid w:val="0019679B"/>
    <w:rsid w:val="001A1B4A"/>
    <w:rsid w:val="001D2F3E"/>
    <w:rsid w:val="001D6EBA"/>
    <w:rsid w:val="0020411E"/>
    <w:rsid w:val="00225C7D"/>
    <w:rsid w:val="0023789D"/>
    <w:rsid w:val="00241092"/>
    <w:rsid w:val="00252442"/>
    <w:rsid w:val="00305612"/>
    <w:rsid w:val="003200D0"/>
    <w:rsid w:val="00332E76"/>
    <w:rsid w:val="003349FC"/>
    <w:rsid w:val="003575FF"/>
    <w:rsid w:val="00360CD5"/>
    <w:rsid w:val="00361DB9"/>
    <w:rsid w:val="003770D5"/>
    <w:rsid w:val="003860DD"/>
    <w:rsid w:val="003915ED"/>
    <w:rsid w:val="003926A4"/>
    <w:rsid w:val="00394EE0"/>
    <w:rsid w:val="003960F4"/>
    <w:rsid w:val="003B62F5"/>
    <w:rsid w:val="003E7CAB"/>
    <w:rsid w:val="003E7DFE"/>
    <w:rsid w:val="003F5D7D"/>
    <w:rsid w:val="00430F1A"/>
    <w:rsid w:val="004376AA"/>
    <w:rsid w:val="0045070F"/>
    <w:rsid w:val="00462A9A"/>
    <w:rsid w:val="0048239F"/>
    <w:rsid w:val="00493BB2"/>
    <w:rsid w:val="004D3ACF"/>
    <w:rsid w:val="004E50A3"/>
    <w:rsid w:val="004E53CE"/>
    <w:rsid w:val="00501C57"/>
    <w:rsid w:val="005527D6"/>
    <w:rsid w:val="0055627E"/>
    <w:rsid w:val="0056046D"/>
    <w:rsid w:val="00560F7E"/>
    <w:rsid w:val="00572EC2"/>
    <w:rsid w:val="0058384E"/>
    <w:rsid w:val="005D4333"/>
    <w:rsid w:val="005E5A1A"/>
    <w:rsid w:val="005F73CD"/>
    <w:rsid w:val="00625CDC"/>
    <w:rsid w:val="00630D27"/>
    <w:rsid w:val="006345F0"/>
    <w:rsid w:val="00641778"/>
    <w:rsid w:val="00652453"/>
    <w:rsid w:val="006566C9"/>
    <w:rsid w:val="00660977"/>
    <w:rsid w:val="0066390E"/>
    <w:rsid w:val="00666A3F"/>
    <w:rsid w:val="00674ABE"/>
    <w:rsid w:val="0068120C"/>
    <w:rsid w:val="00687DA9"/>
    <w:rsid w:val="006904C3"/>
    <w:rsid w:val="006C7BA3"/>
    <w:rsid w:val="006D20A5"/>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1B66"/>
    <w:rsid w:val="0080339F"/>
    <w:rsid w:val="00807604"/>
    <w:rsid w:val="008230A2"/>
    <w:rsid w:val="00832DA8"/>
    <w:rsid w:val="00842D01"/>
    <w:rsid w:val="008436CF"/>
    <w:rsid w:val="008442C4"/>
    <w:rsid w:val="00865890"/>
    <w:rsid w:val="00872C74"/>
    <w:rsid w:val="008768AC"/>
    <w:rsid w:val="008836AD"/>
    <w:rsid w:val="008A7332"/>
    <w:rsid w:val="008B7359"/>
    <w:rsid w:val="008D7265"/>
    <w:rsid w:val="008F0A77"/>
    <w:rsid w:val="0095493E"/>
    <w:rsid w:val="00970F18"/>
    <w:rsid w:val="00980A6E"/>
    <w:rsid w:val="009A245D"/>
    <w:rsid w:val="009B25C8"/>
    <w:rsid w:val="009C1765"/>
    <w:rsid w:val="009D7AC7"/>
    <w:rsid w:val="009F0400"/>
    <w:rsid w:val="009F57C2"/>
    <w:rsid w:val="00A159EF"/>
    <w:rsid w:val="00A447D7"/>
    <w:rsid w:val="00A45515"/>
    <w:rsid w:val="00A90748"/>
    <w:rsid w:val="00A9708E"/>
    <w:rsid w:val="00AA3582"/>
    <w:rsid w:val="00AA6EA2"/>
    <w:rsid w:val="00AB306A"/>
    <w:rsid w:val="00AE6045"/>
    <w:rsid w:val="00AF1536"/>
    <w:rsid w:val="00AF7BC7"/>
    <w:rsid w:val="00B123A0"/>
    <w:rsid w:val="00B263A6"/>
    <w:rsid w:val="00B6563A"/>
    <w:rsid w:val="00B67C4B"/>
    <w:rsid w:val="00B92A85"/>
    <w:rsid w:val="00BE434C"/>
    <w:rsid w:val="00BF65B2"/>
    <w:rsid w:val="00C01B8F"/>
    <w:rsid w:val="00C46301"/>
    <w:rsid w:val="00C517F4"/>
    <w:rsid w:val="00C703AD"/>
    <w:rsid w:val="00C70D9F"/>
    <w:rsid w:val="00C82E11"/>
    <w:rsid w:val="00C8667E"/>
    <w:rsid w:val="00CA544A"/>
    <w:rsid w:val="00CB0E0F"/>
    <w:rsid w:val="00CB1CBC"/>
    <w:rsid w:val="00CB3E16"/>
    <w:rsid w:val="00CB6B91"/>
    <w:rsid w:val="00CC0679"/>
    <w:rsid w:val="00CD4DF7"/>
    <w:rsid w:val="00CD7DE9"/>
    <w:rsid w:val="00CE4740"/>
    <w:rsid w:val="00CE5F5F"/>
    <w:rsid w:val="00CF3726"/>
    <w:rsid w:val="00D16EAB"/>
    <w:rsid w:val="00D2220A"/>
    <w:rsid w:val="00D2483A"/>
    <w:rsid w:val="00D45F8B"/>
    <w:rsid w:val="00D51F68"/>
    <w:rsid w:val="00D55513"/>
    <w:rsid w:val="00D60EEB"/>
    <w:rsid w:val="00DC2615"/>
    <w:rsid w:val="00DD3F5C"/>
    <w:rsid w:val="00E023C6"/>
    <w:rsid w:val="00E179F4"/>
    <w:rsid w:val="00E20828"/>
    <w:rsid w:val="00E25FCA"/>
    <w:rsid w:val="00E26C41"/>
    <w:rsid w:val="00E37158"/>
    <w:rsid w:val="00E4466D"/>
    <w:rsid w:val="00E46BEC"/>
    <w:rsid w:val="00E56279"/>
    <w:rsid w:val="00E64672"/>
    <w:rsid w:val="00E6542D"/>
    <w:rsid w:val="00E7291A"/>
    <w:rsid w:val="00E81856"/>
    <w:rsid w:val="00EA2D5B"/>
    <w:rsid w:val="00EB1387"/>
    <w:rsid w:val="00EB5135"/>
    <w:rsid w:val="00EC209F"/>
    <w:rsid w:val="00EC31C9"/>
    <w:rsid w:val="00EC3319"/>
    <w:rsid w:val="00EC60D9"/>
    <w:rsid w:val="00ED55BF"/>
    <w:rsid w:val="00ED756F"/>
    <w:rsid w:val="00F009D6"/>
    <w:rsid w:val="00F15BE5"/>
    <w:rsid w:val="00F263F9"/>
    <w:rsid w:val="00F3516B"/>
    <w:rsid w:val="00F45E3D"/>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table" w:styleId="Tablaconcuadrcula">
    <w:name w:val="Table Grid"/>
    <w:basedOn w:val="Tablanormal"/>
    <w:rsid w:val="00C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C7BA3"/>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C7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table" w:styleId="Tablaconcuadrcula">
    <w:name w:val="Table Grid"/>
    <w:basedOn w:val="Tablanormal"/>
    <w:rsid w:val="00C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C7BA3"/>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C7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648441654">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 w:id="17041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2020-11-20T10:35:00Z</cp:lastPrinted>
  <dcterms:created xsi:type="dcterms:W3CDTF">2020-12-09T14:46:00Z</dcterms:created>
  <dcterms:modified xsi:type="dcterms:W3CDTF">2021-02-02T12:30:00Z</dcterms:modified>
</cp:coreProperties>
</file>