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Minbiziaren Estrategia Nazionalaren gaineko mozioaren bigarren puntua betetzeko ekintzei buruzkoa. Galdera 2020ko abenduaren 4ko 136. Nafarroako Parlamentuko Aldizkari Ofizialean argitaratu zen.</w:t>
      </w:r>
    </w:p>
    <w:p>
      <w:pPr>
        <w:pStyle w:val="0"/>
        <w:suppressAutoHyphens w:val="false"/>
        <w:rPr>
          <w:rStyle w:val="1"/>
        </w:rPr>
      </w:pPr>
      <w:r>
        <w:rPr>
          <w:rStyle w:val="1"/>
        </w:rPr>
        <w:t xml:space="preserve">Iruñean, 2021eko urtarrilaren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aurkeztu du (10-20- PES-00323), honako hau jakin nahi baitu: “Zer ekintza zehatz egin ditu eta noiz Osasun Departamentuak, Legebiltzar honek 2019ko abenduan onetsitako Minbiziaren Estrategia Nazionalaren gaineko mozioaren bigarren puntua betetze aldera?”. Hona horri buruz Nafarroako Gobernuko Osasuneko kontseilariak helarazi beharreko informazioa:</w:t>
      </w:r>
    </w:p>
    <w:p>
      <w:pPr>
        <w:pStyle w:val="0"/>
        <w:suppressAutoHyphens w:val="false"/>
        <w:rPr>
          <w:rStyle w:val="1"/>
        </w:rPr>
      </w:pPr>
      <w:r>
        <w:rPr>
          <w:rStyle w:val="1"/>
        </w:rPr>
        <w:t xml:space="preserve">Minbiziaren Estrategia Nazionalari arreta emateko lanak aurrera jarraitzen du Nafarroan. Minbiziaren Estrategia Nazionalaren Jarraipen Taldeko foru-ordezkariaren proposamena, beste autonomia-erkidego batzuekin batera egindakoa, lagungarri gertatu da doitasunezko medikuntzaren eremu garrantzitsua onartzeko eta estatu-mailan sartzeko, bai eta pazienteei medikuntzarako sarbide integrala izateko aukera bermatzeak dakarren lehentasunerako ere.</w:t>
      </w:r>
    </w:p>
    <w:p>
      <w:pPr>
        <w:pStyle w:val="0"/>
        <w:suppressAutoHyphens w:val="false"/>
        <w:rPr>
          <w:rStyle w:val="1"/>
        </w:rPr>
      </w:pPr>
      <w:r>
        <w:rPr>
          <w:rStyle w:val="1"/>
        </w:rPr>
        <w:t xml:space="preserve">Onkologiako diagnosi-prozesua nabarmen aldatzen ari da doitasun-medikuntza finkatu ondoren; izan ere, biomarkatzaileen ebaluazioa behar du, bai pronostikoari dagokionez, bai erantzun terapeutikoaren iragarpenari dagokionez ere. Halakoak diagnostiko patologikoarekin batera erabili behar dira, edo berreritzea edo metastasia gertatzen denean, eta horrek prozesuaren exijentzia eta konplexutasuna areagotzen ditu. Bestalde, markatzaile-multzo hori etengabe hedatzen ari da, eta antolakuntza-arazo berriak planteatzen ditu; hala nola, klinikoki beharrezkoa denean horiek egiteko aukera izateari dagokiona.</w:t>
      </w:r>
    </w:p>
    <w:p>
      <w:pPr>
        <w:pStyle w:val="0"/>
        <w:suppressAutoHyphens w:val="false"/>
        <w:rPr>
          <w:rStyle w:val="1"/>
        </w:rPr>
      </w:pPr>
      <w:r>
        <w:rPr>
          <w:rStyle w:val="1"/>
        </w:rPr>
        <w:t xml:space="preserve">Helburu hori bete dadin, bidezko sarbidea bermatu behar da, bai eta probaren eta emaitzaren interpretazioaren kalitatea ziurtatu ere; horrek esan nahi du aztertu egin behar dela zer abantaila duen haiek kontzentratzeak teknologia eguneratua duten erreferentzia-zentroetan.</w:t>
      </w:r>
    </w:p>
    <w:p>
      <w:pPr>
        <w:pStyle w:val="0"/>
        <w:suppressAutoHyphens w:val="false"/>
        <w:rPr>
          <w:rStyle w:val="1"/>
        </w:rPr>
      </w:pPr>
      <w:r>
        <w:rPr>
          <w:rStyle w:val="1"/>
        </w:rPr>
        <w:t xml:space="preserve">Beste alderdi garrantzitsu bat da erabaki medikoak hartzeko baliagarriak diren biomarkatzaileak eta ikerketa klinikoarekin lotutako analisia duten biomarkatzaileak bereizteko beharra; izan ere, azken horiek baliagarriak dira saiakuntza kliniko baten edo azterketa aurrekliniko baten esparruan. Argi eta garbi dago helburua dela interes klinikoko biomarkatzaileak kalitate egokiarekin egiten direla bermatzea, baina kontuan izan behar da ez dela beti erraza bereizten eta ikerketaren bilakaerak sailkapena oso azkar alda dezakeela; beraz, hurrengo urteetan sor daitezkeen indikazio berrietara azkar egokitzea erraztuko duten estrategiak gauzatu beharko lirateke. Biomarkatzaileak farmako bat emateko erabakiarekin lotuta daudenean, Medikamentuaren Espainiako Agentziak haien indikazioa onartzearen baitan daude.</w:t>
      </w:r>
    </w:p>
    <w:p>
      <w:pPr>
        <w:pStyle w:val="0"/>
        <w:suppressAutoHyphens w:val="false"/>
        <w:rPr>
          <w:rStyle w:val="1"/>
        </w:rPr>
      </w:pPr>
      <w:r>
        <w:rPr>
          <w:rStyle w:val="1"/>
        </w:rPr>
        <w:t xml:space="preserve">Diagnostiko molekularraren garrantzia dela eta, herrialde batzuek ekimen bereziak gauzatu dituzte doitasunezko medikuntza deritzonaren garapenari laguntzeko. Medikuntza horren funtsezko ardatza biomarkatzaile horiek ezagutzea da, eta kasurik interesgarriena Frantziakoa da (ww.inca.fr). Herrialde horretan, Minbiziaren Institutu Nazionalak (INCa) finantzatutako programa bat ezarri da, eta 20 zentroko sare bat sartu da bertan lurralde nazional osorako. Kontzentrazio horri esker, kalitate eta esperientzia kliniko egokia duen biomarkatzaile baten indikazioa duten paziente guztiak sar daitezke, eta, gainera, indartu egiten da ezagutza-mota horri lotutako ikerketa klinikoko programak ezartzeko aukera. Beste herrialde batzuek, hala nola Estatu Batuek edo Erresuma Batuak, ikerketa asistentziala baino interes handiagoa duten ekimenak jarri dituzte abian, doitasunezko medikuntza deritzenak: azpikategorien arabera definitutako pazienteen tratamenduak ezagutza genomikoaren bidez doitzean dautza (National Research Council. Towards precision medicine: Building a knowledge network and a new taxonomy of disease. Washington, DC: National Academy Press, 2011; Mosele F, et al. 2020; Benedikt C, et al. 2020; Institute of Medicine).</w:t>
      </w:r>
    </w:p>
    <w:p>
      <w:pPr>
        <w:pStyle w:val="0"/>
        <w:suppressAutoHyphens w:val="false"/>
        <w:rPr>
          <w:rStyle w:val="1"/>
        </w:rPr>
      </w:pPr>
      <w:r>
        <w:rPr>
          <w:rStyle w:val="1"/>
        </w:rPr>
        <w:t xml:space="preserve">Gaur egun, gure herrialdean ez dago argi osasun-zerbitzuetan doitasunezko onkologia nola ezarri behar den, ez eta biomarkatzaile horien emaitzak ebaluatzeko kalitate-irizpiderik edo finantzaketarik ere. Senatuak egoera horri buruzko txosten bat onetsi zuen. Bestalde, Onkologia Medikoko, Farmaziako eta Anatomia Patologikoko elkarte zientifikoek haiek ezartzeko proposamen bat egin dute (Garrido P, et al. 2017). Argi dago minbiziaren aurkako estrategiaren esparruan, Osasun Sistema Nazionalean doitasunezko onkologia ezartzeko eredu bat definitu behar dela, sarbide-ekitatea eta kalitatea hobetzea eta emaitzak ebaluatzea ahalbidetuko dituena.</w:t>
      </w:r>
    </w:p>
    <w:p>
      <w:pPr>
        <w:pStyle w:val="0"/>
        <w:suppressAutoHyphens w:val="false"/>
        <w:rPr>
          <w:rStyle w:val="1"/>
        </w:rPr>
      </w:pPr>
      <w:r>
        <w:rPr>
          <w:rStyle w:val="1"/>
        </w:rPr>
        <w:t xml:space="preserve">Erakundeen mailan, Minbiziaren Estrategia Nazionalaren Jarraipen Taldeak jakinarazi du azken urtean egindako bileretan aztergai nagusia COVID-19aren pandemiak eragindako egoera izan dela. Ildo horretan, ministerioak inkesta bat egin zien autonomia-erkidegoei, batzorde instituzionalaren bitartez, eta erantzun egin zaio; izan ere, gai horri guztiari eman zaio lehentasuna, estrategiarekin berarekin lotutako beste ekintza batzuen aurretik.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13an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