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marzo de 2021, la Mesa del Parlamento de Navarra adoptó, entre otros, el siguiente Acuerdo:</w:t>
      </w:r>
    </w:p>
    <w:p>
      <w:pPr>
        <w:pStyle w:val="0"/>
        <w:suppressAutoHyphens w:val="false"/>
        <w:rPr>
          <w:rStyle w:val="1"/>
          <w:spacing w:val="-1.919"/>
        </w:rPr>
      </w:pPr>
      <w:r>
        <w:rPr>
          <w:rStyle w:val="1"/>
          <w:spacing w:val="-1.919"/>
        </w:rPr>
        <w:t xml:space="preserve">En ejercicio de la facultad que le reconoce el artículo 21 bis de la Ley Orgánica de Reintegración y Amejoramiento del Régimen Foral de Navarra, el Gobierno de Navarra ha aprobado el Decreto-ley Foral 2/2021, de 24 de febrero, de trasposición de la Directiva (UE) 2017/952 del Consejo de 29 de mayo de 2017, por la que se modifica la Directiva (UE) 2016/1164 en lo que se refiere a las asimetrías híbridas con terceros países, de modificación de los aplazamientos concedidos a clubes deportivos que no participen en competiciones deportivas oficiales de carácter profesional, al amparo de la disposición adicional vigesimoséptima de la Ley Foral General Tributaria, y de modificación de la Ley Foral 16/2006, de 14 de diciembre, del Juego, publicado en el Boletín Oficial de Navarra n.º 46 de 27 de febrero de 2021, que ha remitido al Parlamento de Navarra a efectos de su convalidación.</w:t>
      </w:r>
    </w:p>
    <w:p>
      <w:pPr>
        <w:pStyle w:val="0"/>
        <w:suppressAutoHyphens w:val="false"/>
        <w:rPr>
          <w:rStyle w:val="1"/>
        </w:rPr>
      </w:pPr>
      <w:r>
        <w:rPr>
          <w:rStyle w:val="1"/>
        </w:rPr>
        <w:t xml:space="preserve">En su virtud, de conformidad con lo dispuesto en el artículo 161 del Reglamento de la Cámara, previa audiencia de la Junta de Portavoces, SE ACUERDA:</w:t>
      </w:r>
    </w:p>
    <w:p>
      <w:pPr>
        <w:pStyle w:val="0"/>
        <w:suppressAutoHyphens w:val="false"/>
        <w:rPr>
          <w:rStyle w:val="1"/>
        </w:rPr>
      </w:pPr>
      <w:r>
        <w:rPr>
          <w:rStyle w:val="1"/>
          <w:b w:val="true"/>
        </w:rPr>
        <w:t xml:space="preserve">1.º </w:t>
      </w:r>
      <w:r>
        <w:rPr>
          <w:rStyle w:val="1"/>
        </w:rPr>
        <w:t xml:space="preserve">Disponer que el debate y votación sobre la convalidación o derogación del Decreto-ley Foral 2/2021, de 24 de febrero, de trasposición de la Directiva (UE) 2017/952 del Consejo de 29 de mayo de 2017, por la que se modifica la Directiva (UE) 2016/1164 en lo que se refiere a las asimetrías híbridas con terceros países se realizará en el Pleno del día 18 de marzo de 2021 (10-21/DLF-00002).</w:t>
      </w:r>
    </w:p>
    <w:p>
      <w:pPr>
        <w:pStyle w:val="0"/>
        <w:suppressAutoHyphens w:val="false"/>
        <w:rPr>
          <w:rStyle w:val="1"/>
        </w:rPr>
      </w:pPr>
      <w:r>
        <w:rPr>
          <w:rStyle w:val="1"/>
          <w:b w:val="true"/>
        </w:rPr>
        <w:t xml:space="preserve">2.º</w:t>
      </w:r>
      <w:r>
        <w:rPr>
          <w:rStyle w:val="1"/>
        </w:rPr>
        <w:t xml:space="preserve"> Ordenar la publicación de este Acuerdo y del referido Decreto-ley Foral en el Boletín Oficial del Parlamento de Navarra.</w:t>
      </w:r>
    </w:p>
    <w:p>
      <w:pPr>
        <w:pStyle w:val="0"/>
        <w:suppressAutoHyphens w:val="false"/>
        <w:rPr>
          <w:rStyle w:val="1"/>
        </w:rPr>
      </w:pPr>
      <w:r>
        <w:rPr>
          <w:rStyle w:val="1"/>
        </w:rPr>
        <w:t xml:space="preserve">Pamplona, 1 de marzo de 2021</w:t>
      </w:r>
    </w:p>
    <w:p>
      <w:pPr>
        <w:pStyle w:val="0"/>
        <w:suppressAutoHyphens w:val="false"/>
        <w:rPr>
          <w:rStyle w:val="1"/>
        </w:rPr>
      </w:pPr>
      <w:r>
        <w:rPr>
          <w:rStyle w:val="1"/>
        </w:rPr>
        <w:t xml:space="preserve">El Presidente: Unai Hualde Iglesias</w:t>
      </w:r>
    </w:p>
    <w:p>
      <w:pPr>
        <w:pStyle w:val="2"/>
        <w:suppressAutoHyphens w:val="false"/>
        <w:rPr/>
      </w:pPr>
      <w:r>
        <w:rPr/>
        <w:t xml:space="preserve">Decreto-ley Foral 2/2021, de 24 de febrero, de trasposición de la Directiva (UE) 2017/952 del Consejo de 29 de mayo de 2017, por la que se modifica la Directiva (UE) 2016/1164 en lo que se refiere a las asimetrías híbridas con terceros países, de modificación de los aplazamientos concedidos a clubes deportivos que no participen en competiciones deportivas oficiales de carácter profesional, al amparo de la disposición adicional vigesimoséptima de la Ley Foral General Tributaria, y de modificación de la Ley Foral 16/2006, de 14 de diciembre, del Juego</w:t>
      </w:r>
    </w:p>
    <w:p>
      <w:pPr>
        <w:pStyle w:val="0"/>
        <w:suppressAutoHyphens w:val="false"/>
        <w:rPr>
          <w:rStyle w:val="1"/>
        </w:rPr>
      </w:pPr>
      <w:r>
        <w:rPr>
          <w:rStyle w:val="1"/>
        </w:rPr>
        <w:t xml:space="preserve">La Directiva (UE) 2016/1164, del Consejo, de 12 de julio de 2016, por la que se establecen normas contra las prácticas de elusión fiscal que inciden directamente en el funcionamiento del mercado interior, fue objeto de modificación por la Directiva (UE) 2017/952, del Consejo, de 29 de mayo de 2017, que modifica la Directiva (UE) 2016/1164 en lo que se refiere a las asimetrías híbridas con terceros países. La Directiva (UE) 2016/1164 es objeto de transposición mediante este texto legal en relación con los preceptos sobre asimetrías híbridas que contiene, incorporándose a la Ley Foral 26/2016, de 30 de diciembre, del Impuesto sobre Sociedades, mediante la introducción de un nuevo artículo 23 bis.</w:t>
      </w:r>
    </w:p>
    <w:p>
      <w:pPr>
        <w:pStyle w:val="0"/>
        <w:suppressAutoHyphens w:val="false"/>
        <w:rPr>
          <w:rStyle w:val="1"/>
        </w:rPr>
      </w:pPr>
      <w:r>
        <w:rPr>
          <w:rStyle w:val="1"/>
        </w:rPr>
        <w:t xml:space="preserve">La Directiva (UE) 2017/952, del Consejo, de 29 de mayo, recoge una serie de asimetrías híbridas, basadas en lo establecido en el Informe Final sobre la Acción 2 del Proyecto BEPS de la OCDE, y establece las reglas necesarias para eliminarlas, mediante la regulación de un mandato primario, entendido como la solución que se considera más apropiada para neutralizar cada asimetría híbrida, y de un mandato secundario, que debe ser aplicado en caso de que, en la jurisdicción de que se trate, no se aplique el citado mandato primario, bien porque exista una discrepancia en la trasposición de la directiva, o bien porque la asimetría implique a un tercer Estado que no tenga aprobadas medidas defensivas contra ella.</w:t>
      </w:r>
    </w:p>
    <w:p>
      <w:pPr>
        <w:pStyle w:val="0"/>
        <w:suppressAutoHyphens w:val="false"/>
        <w:rPr>
          <w:rStyle w:val="1"/>
        </w:rPr>
      </w:pPr>
      <w:r>
        <w:rPr>
          <w:rStyle w:val="1"/>
        </w:rPr>
        <w:t xml:space="preserve">Los preceptos sobre asimetrías híbridas objeto de trasposición mediante este decreto-ley foral resultan aplicables cuando existe una relación de asociación entre las partes, o cuando éstas actúan en el marco de un mecanismo estructurado, en ambos casos, en el sentido de lo dispuesto en la Directiva (UE) 2016/1164, del Consejo, de 12 de julio de 2016. Por ello, se incluyen nuevos supuestos de vinculación, circunscritos únicamente a estos efectos de eliminación de las asimetrías híbridas, para, así, cubrir todos los casos de asociación de la Directiva (UE) 2016/1164, del Consejo, de 12 de julio de 2016. Asimismo, se define qué debe entenderse por mecanismo estructurado en este ámbito.</w:t>
      </w:r>
    </w:p>
    <w:p>
      <w:pPr>
        <w:pStyle w:val="0"/>
        <w:suppressAutoHyphens w:val="false"/>
        <w:rPr>
          <w:rStyle w:val="1"/>
        </w:rPr>
      </w:pPr>
      <w:r>
        <w:rPr>
          <w:rStyle w:val="1"/>
        </w:rPr>
        <w:t xml:space="preserve">El decreto-ley foral contiene un artículo único, una disposición adicional y cuatro disposiciones finales.</w:t>
      </w:r>
    </w:p>
    <w:p>
      <w:pPr>
        <w:pStyle w:val="0"/>
        <w:suppressAutoHyphens w:val="false"/>
        <w:rPr>
          <w:rStyle w:val="1"/>
        </w:rPr>
      </w:pPr>
      <w:r>
        <w:rPr>
          <w:rStyle w:val="1"/>
        </w:rPr>
        <w:t xml:space="preserve">El artículo único modifica la Ley Foral del Impuesto sobre Sociedades añadiendo, por un lado, un nuevo artículo 23 bis, en el que, bajo la denominación “asimetrías híbridas”, se regulan los preceptos para neutralizar las asimetrías de instrumentos financieros híbridos, entidades híbridas, establecimientos permanentes híbridos, asimetrías importadas y asimetrías de transferencias híbridas, negando la deducibilidad del gasto en el Impuesto sobre Sociedades, debido a diferencias de calificación o atribución, cuando el correlativo ingreso no tribute o cuando tal gasto sea, asimismo, deducible en otra entidad, o bien disponiendo la integración en la base imponible del ingreso correspondiente a un gasto que haya sido fiscalmente deducible en otro país o territorio en el que no se haya aplicado la regla primaria.</w:t>
      </w:r>
    </w:p>
    <w:p>
      <w:pPr>
        <w:pStyle w:val="0"/>
        <w:suppressAutoHyphens w:val="false"/>
        <w:rPr>
          <w:rStyle w:val="1"/>
        </w:rPr>
      </w:pPr>
      <w:r>
        <w:rPr>
          <w:rStyle w:val="1"/>
        </w:rPr>
        <w:t xml:space="preserve">De igual forma, en dicho artículo se regula el supuesto de establecimiento permanente no computado y la asimetría relacionada con la residencia fiscal. Además, se incorporan, junto a las reglas señaladas, las definiciones necesarias para la transposición de los ámbitos subjetivo y material de la Directiva (UE) 2016/1164.</w:t>
      </w:r>
    </w:p>
    <w:p>
      <w:pPr>
        <w:pStyle w:val="0"/>
        <w:suppressAutoHyphens w:val="false"/>
        <w:rPr>
          <w:rStyle w:val="1"/>
        </w:rPr>
      </w:pPr>
      <w:r>
        <w:rPr>
          <w:rStyle w:val="1"/>
        </w:rPr>
        <w:t xml:space="preserve">Por otro lado, se deroga lo establecido en el artículo 23.1.j) de la Ley Foral del Impuesto sobre Sociedades porque su contenido se incorpora en el apartado 1 del nuevo artículo 23. bis.</w:t>
      </w:r>
    </w:p>
    <w:p>
      <w:pPr>
        <w:pStyle w:val="0"/>
        <w:suppressAutoHyphens w:val="false"/>
        <w:rPr>
          <w:rStyle w:val="1"/>
        </w:rPr>
      </w:pPr>
      <w:r>
        <w:rPr>
          <w:rStyle w:val="1"/>
        </w:rPr>
        <w:t xml:space="preserve">La asimetría de instrumento financiero híbrido a que se refiere la letra a) del primer párrafo del artículo 2.9 de la Directiva (UE) 2016/1164 genera una asimetría en resultados tipo “deducción sin inclusión” consistente en la deducción de un gasto en el país del ordenante del pago sin la correspondiente tributación, en un plazo razonable, del ingreso correlativo en el país del beneficiario o inversor, como consecuencia de diferencias en la calificación del instrumento o del gasto. En virtud de lo dispuesto en el artículo 9.2 de la Directiva (UE) 2016/1164, la neutralización de dicha asimetría tiene como regla primaria la no deducción del gasto en el Impuesto sobre Sociedades del contribuyente residente en territorio español, cuando España sea el país del ordenante, y como regla secundaria la inclusión del ingreso en la base imponible de dicho impuesto sin que proceda su exención, cuando España sea el país del beneficiario o inversor y la deducción del gasto se haya permitido en el país del ordenante, precepto este último regulado en el artículo 35 de la Ley Foral del Impuesto sobre Sociedades.</w:t>
      </w:r>
    </w:p>
    <w:p>
      <w:pPr>
        <w:pStyle w:val="0"/>
        <w:suppressAutoHyphens w:val="false"/>
        <w:rPr>
          <w:rStyle w:val="1"/>
        </w:rPr>
      </w:pPr>
      <w:r>
        <w:rPr>
          <w:rStyle w:val="1"/>
        </w:rPr>
        <w:t xml:space="preserve">En el ámbito de este tipo de asimetría, la letra a) del segundo párrafo del artículo 2.9 de la Directiva (UE) 2016/1164 aclara que no da lugar a una asimetría híbrida el pago del rendimiento subyacente de un instrumento financiero transferido realizado por un operador financiero en el marco de una transferencia híbrida introducida en el mercado, en la medida que no forme parte de un mecanismo estructurado, siempre que la jurisdicción del ordenante obligue al operador financiero a incluir como renta todos los importes percibidos en relación con el instrumento financiero transferido. A tales efectos, la directiva define lo que se entiende por operador financiero y transferencia híbrida introducida en el mercado.</w:t>
      </w:r>
    </w:p>
    <w:p>
      <w:pPr>
        <w:pStyle w:val="0"/>
        <w:suppressAutoHyphens w:val="false"/>
        <w:rPr>
          <w:rStyle w:val="1"/>
        </w:rPr>
      </w:pPr>
      <w:r>
        <w:rPr>
          <w:rStyle w:val="1"/>
        </w:rPr>
        <w:t xml:space="preserve">En este sentido, cuando el ordenante sea contribuyente del Impuesto sobre Sociedades y para las operaciones a que dichos artículos se refieren, la obligación señalada se encuentra regulada en los artículos 35 y 57 de la Ley Foral del Impuesto sobre Sociedades.</w:t>
      </w:r>
    </w:p>
    <w:p>
      <w:pPr>
        <w:pStyle w:val="0"/>
        <w:suppressAutoHyphens w:val="false"/>
        <w:rPr>
          <w:rStyle w:val="1"/>
        </w:rPr>
      </w:pPr>
      <w:r>
        <w:rPr>
          <w:rStyle w:val="1"/>
        </w:rPr>
        <w:t xml:space="preserve">Las entidades híbridas son definidas en la Directiva (UE) 2016/1164 como “toda entidad o mecanismo que sean considerados entidades imponibles en virtud de la legislación de una jurisdicción y cuyas rentas o gastos se consideren rentas o gastos de otro u otros sujetos en virtud de la legislación de otra jurisdicción”.</w:t>
      </w:r>
    </w:p>
    <w:p>
      <w:pPr>
        <w:pStyle w:val="0"/>
        <w:suppressAutoHyphens w:val="false"/>
        <w:rPr>
          <w:rStyle w:val="1"/>
        </w:rPr>
      </w:pPr>
      <w:r>
        <w:rPr>
          <w:rStyle w:val="1"/>
        </w:rPr>
        <w:t xml:space="preserve">En el caso de las entidades híbridas a que se refiere la letra e) del primer párrafo del artículo 2.9 de la Directiva (UE) 2016/1164 que, como consecuencia de una calificación fiscal diferente en la legislación del país o territorio en el que está establecida o registrada la entidad y en la del país del inversor de dicha entidad, dan lugar a una asimetría en resultados del tipo “deducción sin inclusión”, se aplicará, igualmente, como regla primaria la no deducción del gasto en el Impuesto sobre Sociedades del contribuyente residente en territorio español, cuando España sea el país del ordenante (a estos efectos, el país en el que se considere realizado dicho pago) y, como regla secundaria, la inclusión del ingreso en la base imponible del citado contribuyente cuando España sea el país del beneficiario o inversor (a estos efectos, el país en el que se recibe o se considera recibido dicho pago), y el país del ordenante haya permitido la deducibilidad del gasto. Ambas reglas se incorporan a la Ley Foral del Impuesto sobre Sociedades estableciéndose que el gasto que no es deducible por no estar compensado con un ingreso que genere una renta de doble inclusión, podrá serlo en los tres años siguientes a medida que se genere un ingreso que sea renta de doble inclusión que lo compense y que el ingreso integrado en la base imponible podrá minorar dicha base en el mismo plazo, en la medida en que el gasto se compense con un ingreso que sea renta de doble inclusión.</w:t>
      </w:r>
    </w:p>
    <w:p>
      <w:pPr>
        <w:pStyle w:val="0"/>
        <w:suppressAutoHyphens w:val="false"/>
        <w:rPr>
          <w:rStyle w:val="1"/>
        </w:rPr>
      </w:pPr>
      <w:r>
        <w:rPr>
          <w:rStyle w:val="1"/>
        </w:rPr>
        <w:t xml:space="preserve">Por su parte, para el caso de la entidad híbrida inversa a que se refiere la letra b) del primer párrafo del artículo 2.9 de la Directiva (UE) 2016/1164 se transpone, exclusivamente, la regla primaria, haciendo uso de la potestad conferida a los Estados miembros en la letra a) del artículo 9.4 de la Directiva (UE) 2016/1164. En virtud de dicha regla se deniega la deducción del gasto en el contribuyente del Impuesto sobre Sociedades cuando, como consecuencia de la diferente calificación fiscal de la entidad vinculada con la que se realice la operación en el país o territorio de dicha entidad y en el país o territorio del inversor o partícipe en dicha entidad, no se genere un ingreso.</w:t>
      </w:r>
    </w:p>
    <w:p>
      <w:pPr>
        <w:pStyle w:val="0"/>
        <w:suppressAutoHyphens w:val="false"/>
        <w:rPr>
          <w:rStyle w:val="1"/>
        </w:rPr>
      </w:pPr>
      <w:r>
        <w:rPr>
          <w:rStyle w:val="1"/>
        </w:rPr>
        <w:t xml:space="preserve">La misma regla primaria se aplicará en las asimetrías de establecimientos permanentes híbridos que den lugar a un resultado de deducción sin inclusión, esto es, aquellas a que se refieren las letras c) y d) del primer párrafo del artículo 2.9 de la Directiva (UE) 2016/1164. En estos casos, se establece como regla primaria la no consideración como gasto fiscalmente deducible del pago realizado por el contribuyente del Impuesto sobre Sociedades, no siendo objeto de transposición la regla secundaria en uso de la facultad antes referida. En cuanto a la asimetría de establecimiento permanente referida en la letra f) del primer párrafo del artículo 2.9 de la Directiva (UE) 2016/1164, la regla primaria que se establece no permite la deducibilidad del gasto estimado en la medida en que no se compense con un ingreso del establecimiento permanente que genere renta de doble inclusión, con un plazo de tres años para deducir la parte pendiente siempre que se compense con ingresos que generen renta de doble inclusión.</w:t>
      </w:r>
    </w:p>
    <w:p>
      <w:pPr>
        <w:pStyle w:val="0"/>
        <w:suppressAutoHyphens w:val="false"/>
        <w:rPr>
          <w:rStyle w:val="1"/>
        </w:rPr>
      </w:pPr>
      <w:r>
        <w:rPr>
          <w:rStyle w:val="1"/>
        </w:rPr>
        <w:t xml:space="preserve">La asimetría de establecimiento permanente no computado a que se refiere el artículo 9.5 de la Directiva (UE) 2016/1164 se define como aquella en la que existe un establecimiento permanente con arreglo a la legislación del país de la casa central pero no existe tal establecimiento permanente con arreglo a la legislación del otro país o territorio. Esta situación genera una asimetría de “doble no inclusión” en la medida en que las rentas del mencionado establecimiento permanente no estén sujetas a tributación en ninguno de los dos países. En relación con esta asimetría híbrida se incorpora en la Ley Foral del Impuesto sobre Sociedades un precepto para dar cumplimiento al mandato de la directiva.</w:t>
      </w:r>
    </w:p>
    <w:p>
      <w:pPr>
        <w:pStyle w:val="0"/>
        <w:suppressAutoHyphens w:val="false"/>
        <w:rPr>
          <w:rStyle w:val="1"/>
        </w:rPr>
      </w:pPr>
      <w:r>
        <w:rPr>
          <w:rStyle w:val="1"/>
        </w:rPr>
        <w:t xml:space="preserve">Cuando la asimetría en resultados sea del tipo “doble deducción”, referida en la letra g) del primer párrafo del artículo 2.9 de la Directiva (UE) 2016/1164, consistente en que el mismo gasto tiene la consideración de fiscalmente deducible en dos países o territorios, en virtud de lo dispuesto en el artículo 9.1 de la Directiva (UE) 2016/1164, se deniega, como regla primaria, la deducción del gasto en el Impuesto sobre Sociedades cuando España es el país del inversor y, como regla secundaria, se deniega la deducibilidad de tal gasto en el contribuyente que lo haya efectuado cuando España sea el país del ordenante y el país o territorio del inversor no haya negado tal deducción. De acuerdo con lo señalado en la Directiva (UE) 2016/1164, el país del ordenante es en el que se ha originado el pago, se ha generado el gasto o la pérdida o, cuando se trate de pagos realizados por una entidad híbrida o por un establecimiento permanente, el país o territorio en el que estos estén situados, siendo el país del inversor el otro país o territorio.</w:t>
      </w:r>
    </w:p>
    <w:p>
      <w:pPr>
        <w:pStyle w:val="0"/>
        <w:suppressAutoHyphens w:val="false"/>
        <w:rPr>
          <w:rStyle w:val="1"/>
        </w:rPr>
      </w:pPr>
      <w:r>
        <w:rPr>
          <w:rStyle w:val="1"/>
        </w:rPr>
        <w:t xml:space="preserve">La regla establecida para las asimetrías importadas reguladas en el artículo 9.3 de la Directiva (UE) 2016/1164 dispone que deberá denegarse la “deducción por un pago realizado por un contribuyente cuando dicho pago financie, directa o indirectamente, gastos deducibles que den lugar a una asimetría híbrida mediante una transacción o una serie de transacciones realizadas entre empresas asociadas o acordadas en el marco de un mecanismo estructurado, excepto cuando una de las jurisdicciones afectadas por las transacciones o series de transacciones haya realizado un ajuste equivalente respecto de dicha asimetría híbrida”. En estos casos, la asimetría híbrida no tiene lugar en el territorio de aplicación del Impuesto sobre Sociedades, sino en terceros países o territorios que no aplican reglas para evitar las asimetrías híbridas como las reguladas en la Directiva (UE) 2016/1164 si bien, mediante un gasto que tiene la consideración de fiscalmente deducible en un contribuyente de dicho impuesto, se financia alguna de las asimetrías a que se refiere la Directiva (UE) 2016/1164. La norma dictada en transposición del precepto citado niega la deducibilidad del mencionado gasto en el contribuyente del Impuesto sobre Sociedades.</w:t>
      </w:r>
    </w:p>
    <w:p>
      <w:pPr>
        <w:pStyle w:val="0"/>
        <w:suppressAutoHyphens w:val="false"/>
        <w:rPr>
          <w:rStyle w:val="1"/>
        </w:rPr>
      </w:pPr>
      <w:r>
        <w:rPr>
          <w:rStyle w:val="1"/>
        </w:rPr>
        <w:t xml:space="preserve">Otra de las asimetrías reguladas es la denominada “asimetría relacionada con la residencia fiscal” para la que el artículo 9 ter de la Directiva (UE) 2016/1164 diferencia si tiene lugar con terceros países o entre Estados miembros con convenio para evitar la doble imposición. En el primer caso, en virtud de lo dispuesto en dicho artículo, se niega la deducibilidad del gasto en el contribuyente del Impuesto sobre Sociedades si tal deducibilidad es permitida en el otro país compensándose con ingresos que no generen renta de doble inclusión y, en el segundo caso, el gasto solo será deducible en el Impuesto sobre Sociedades si, de acuerdo con dicho convenio para evitar la doble imposición, el contribuyente es residente fiscal en territorio español.</w:t>
      </w:r>
    </w:p>
    <w:p>
      <w:pPr>
        <w:pStyle w:val="0"/>
        <w:suppressAutoHyphens w:val="false"/>
        <w:rPr>
          <w:rStyle w:val="1"/>
        </w:rPr>
      </w:pPr>
      <w:r>
        <w:rPr>
          <w:rStyle w:val="1"/>
        </w:rPr>
        <w:t xml:space="preserve">En relación con las asimetrías de transferencias híbridas generadas por una doble utilización de retenciones, la Ley Foral del Impuesto sobre Sociedades dispone de preceptos que impiden una parte de los efectos de dichas asimetrías por lo que solo resulta necesario transponer el precepto regulado en el artículo 9.6 de la Directiva (UE) 2016/1164 en lo atinente a las retenciones a cuenta del Impuesto sobre Sociedades, lo que se lleva a cabo en conexión con la recomendación contenida en el considerando 23 de la Directiva (UE) 2017/952.</w:t>
      </w:r>
    </w:p>
    <w:p>
      <w:pPr>
        <w:pStyle w:val="0"/>
        <w:suppressAutoHyphens w:val="false"/>
        <w:rPr>
          <w:rStyle w:val="1"/>
        </w:rPr>
      </w:pPr>
      <w:r>
        <w:rPr>
          <w:rStyle w:val="1"/>
        </w:rPr>
        <w:t xml:space="preserve">En otro orden de cosas, la disposición adicional única del presente decreto-ley foral incluye una medida de carácter excepcional en relación con determinados aplazamientos de deudas tributarias, que se enmarca dentro de las medidas adoptadas para paliar los efectos de la crisis derivada del coronavirus. La disposición adicional vigesimoséptima de la Ley Foral 13/2000, de 14 de diciembre, General Tributaria, estableció unas condiciones especiales de aplazamiento en 2017 para los clubes deportivos que no participen en competiciones deportivas oficiales de carácter profesional. Con motivo de la disminución de ingresos derivados de la caída de patrocinios y de la imposibilidad de acceso de público a las instalaciones, se posibilita en 2021, previa solicitud, la concesión de doce meses de carencia para los mencionados aplazamientos, sin ampliar el plazo máximo de los mismos, es decir, prorrateando las cuotas que no se van a pagar en los próximos doce meses entre los meses que queden hasta la extinción del calendario de pagos original.</w:t>
      </w:r>
    </w:p>
    <w:p>
      <w:pPr>
        <w:pStyle w:val="0"/>
        <w:suppressAutoHyphens w:val="false"/>
        <w:rPr>
          <w:rStyle w:val="1"/>
        </w:rPr>
      </w:pPr>
      <w:r>
        <w:rPr>
          <w:rStyle w:val="1"/>
        </w:rPr>
        <w:t xml:space="preserve">En la disposición final primera se pone de manifiesto la incorporación mediante el decreto-ley foral, del derecho de la Unión Europea al ordenamiento tributario foral de Navarra.</w:t>
      </w:r>
    </w:p>
    <w:p>
      <w:pPr>
        <w:pStyle w:val="0"/>
        <w:suppressAutoHyphens w:val="false"/>
        <w:rPr>
          <w:rStyle w:val="1"/>
        </w:rPr>
      </w:pPr>
      <w:r>
        <w:rPr>
          <w:rStyle w:val="1"/>
        </w:rPr>
        <w:t xml:space="preserve">La disposición final segunda modifica la Ley Foral 16/2006, de 14 de diciembre, del Juego, en particular su disposición transitoria tercera que regula la suspensión de la concesión de autorizaciones para la apertura de nuevos establecimientos de apuestas, salones de juego y bingos en la Comunidad Foral de Navarra. Dicha suspensión se estableció inicialmente hasta el 31 de julio del 2020, o hasta la entrada en vigor de la modificación de la Ley Foral del Juego si ésta se producía con anterioridad. Con motivo de la crisis de la COVID-19 se han tenido que realizar sucesivas prórrogas de la mencionada suspensión, la última de las cuales finalizaba el 17 de marzo de 2021.</w:t>
      </w:r>
    </w:p>
    <w:p>
      <w:pPr>
        <w:pStyle w:val="0"/>
        <w:suppressAutoHyphens w:val="false"/>
        <w:rPr>
          <w:rStyle w:val="1"/>
        </w:rPr>
      </w:pPr>
      <w:r>
        <w:rPr>
          <w:rStyle w:val="1"/>
        </w:rPr>
        <w:t xml:space="preserve">Las circunstancias por las que ha atravesado la Comunidad Foral de Navarra en relación con la crisis sanitaria y la imposibilidad de realizar los trabajos de elaboración del nuevo texto legal con respeto de los principios de participación y negociación con un sector fuertemente afectado por las limitaciones de funcionamiento durante la época de nueva normalidad hacen necesario un nuevo escenario temporal más amplio. Por ello, mediante el presente decreto-ley foral se amplía el periodo de suspensión hasta el 30 de septiembre de 2021.</w:t>
      </w:r>
    </w:p>
    <w:p>
      <w:pPr>
        <w:pStyle w:val="0"/>
        <w:suppressAutoHyphens w:val="false"/>
        <w:rPr>
          <w:rStyle w:val="1"/>
        </w:rPr>
      </w:pPr>
      <w:r>
        <w:rPr>
          <w:rStyle w:val="1"/>
        </w:rPr>
        <w:t xml:space="preserve">Por su parte, las disposiciones finales tercera y cuarta regulan, respectivamente, la remisión al Parlamento de Navarra del presente decreto-ley foral a efectos de su convalidación, conforme a lo establecido en el artículo 21 bis. 2 de la Ley Orgánica 13/1982, de 10 de agosto, de Reintegración y Amejoramiento del Régimen Foral de Navarra, y su entrada en vigor.</w:t>
      </w:r>
    </w:p>
    <w:p>
      <w:pPr>
        <w:pStyle w:val="0"/>
        <w:suppressAutoHyphens w:val="false"/>
        <w:rPr>
          <w:rStyle w:val="1"/>
        </w:rPr>
      </w:pPr>
      <w:r>
        <w:rPr>
          <w:rStyle w:val="1"/>
        </w:rPr>
        <w:t xml:space="preserve">La complejidad de la materia tratada y la situación provocada por la pandemia de la COVID-19 no han permitido abordar con la debida premura la transposición de la directiva, por lo que resulta urgente abordar esta tarea.</w:t>
      </w:r>
    </w:p>
    <w:p>
      <w:pPr>
        <w:pStyle w:val="0"/>
        <w:suppressAutoHyphens w:val="false"/>
        <w:rPr>
          <w:rStyle w:val="1"/>
        </w:rPr>
      </w:pPr>
      <w:r>
        <w:rPr>
          <w:rStyle w:val="1"/>
        </w:rPr>
        <w:t xml:space="preserve">Ello exige la utilización de la vía del decreto-ley foral, radicando, en este caso, las razones de urgencia para la tramitación de las modificaciones normativas recogidas en el presente texto normativo en la necesidad de que las mismas sean aprobadas y publicadas en el Boletín Oficial de Navarra, tal y como ha sido requerido por la Comisión Europea, en aplicación de lo dispuesto en el artículo 258, párrafo primero, del Tratado de Funcionamiento de la Unión Europea, con anterioridad a la finalización del plazo de prórroga concedido, que expirará el próximo 28 de febrero de 2021. A estos efectos, el decreto-ley foral es el único instrumento que garantiza el cumplimiento del plazo establecido, consiguiendo así que las medidas contenidas en el mismo tengan efectos inmediatos, dándose cuenta de su contenido al Parlamento Foral de Navarra para su posterior ratificación.</w:t>
      </w:r>
    </w:p>
    <w:p>
      <w:pPr>
        <w:pStyle w:val="0"/>
        <w:suppressAutoHyphens w:val="false"/>
        <w:rPr>
          <w:rStyle w:val="1"/>
        </w:rPr>
      </w:pPr>
      <w:r>
        <w:rPr>
          <w:rStyle w:val="1"/>
        </w:rPr>
        <w:t xml:space="preserve">En virtud de todo ello, y haciendo uso de la autorización contenida en el artículo 21 bis de la Ley Orgánica 13/1982, de 10 de agosto, de Reintegración y Amejoramiento del Régimen Foral de Navarra, a propuesta del Consejero de Presidencia, Igualdad, Función Pública e Interior, y de conformidad con la decisión adoptada por el Gobierno de Navarra en sesión celebrada el día veinticuatro de febrero de dos mil veintiuno,</w:t>
      </w:r>
    </w:p>
    <w:p>
      <w:pPr>
        <w:pStyle w:val="0"/>
        <w:suppressAutoHyphens w:val="false"/>
        <w:rPr>
          <w:rStyle w:val="1"/>
        </w:rPr>
      </w:pPr>
      <w:r>
        <w:rPr>
          <w:rStyle w:val="1"/>
        </w:rPr>
        <w:t xml:space="preserve">DECRETO:</w:t>
      </w:r>
    </w:p>
    <w:p>
      <w:pPr>
        <w:pStyle w:val="0"/>
        <w:suppressAutoHyphens w:val="false"/>
        <w:rPr>
          <w:rStyle w:val="1"/>
        </w:rPr>
      </w:pPr>
      <w:r>
        <w:rPr>
          <w:rStyle w:val="1"/>
          <w:b w:val="true"/>
        </w:rPr>
        <w:t xml:space="preserve">Artículo único.</w:t>
      </w:r>
      <w:r>
        <w:rPr>
          <w:rStyle w:val="1"/>
        </w:rPr>
        <w:t xml:space="preserve"> Modificación de la Ley Foral del Impuesto sobre Sociedades.</w:t>
      </w:r>
    </w:p>
    <w:p>
      <w:pPr>
        <w:pStyle w:val="0"/>
        <w:suppressAutoHyphens w:val="false"/>
        <w:rPr>
          <w:rStyle w:val="1"/>
        </w:rPr>
      </w:pPr>
      <w:r>
        <w:rPr>
          <w:rStyle w:val="1"/>
        </w:rPr>
        <w:t xml:space="preserve">Con efectos para los periodos impositivos que se inicien a partir del 1 de enero de 2020 y que no hayan concluido a la entrada en vigor de este decreto-ley foral, se introducen las siguientes modificaciones en la Ley Foral 26/2016, de 30 de diciembre, del Impuesto sobre Sociedades:</w:t>
      </w:r>
    </w:p>
    <w:p>
      <w:pPr>
        <w:pStyle w:val="0"/>
        <w:suppressAutoHyphens w:val="false"/>
        <w:rPr>
          <w:rStyle w:val="1"/>
        </w:rPr>
      </w:pPr>
      <w:r>
        <w:rPr>
          <w:rStyle w:val="1"/>
          <w:u w:val="single"/>
        </w:rPr>
        <w:t xml:space="preserve">Uno</w:t>
      </w:r>
      <w:r>
        <w:rPr>
          <w:rStyle w:val="1"/>
        </w:rPr>
        <w:t xml:space="preserve">. Se deroga el artículo 23.1.j).</w:t>
      </w:r>
    </w:p>
    <w:p>
      <w:pPr>
        <w:pStyle w:val="0"/>
        <w:suppressAutoHyphens w:val="false"/>
        <w:rPr>
          <w:rStyle w:val="1"/>
        </w:rPr>
      </w:pPr>
      <w:r>
        <w:rPr>
          <w:rStyle w:val="1"/>
          <w:u w:val="single"/>
        </w:rPr>
        <w:t xml:space="preserve">Dos</w:t>
      </w:r>
      <w:r>
        <w:rPr>
          <w:rStyle w:val="1"/>
        </w:rPr>
        <w:t xml:space="preserve">. Adición de un artículo 23 bis.</w:t>
      </w:r>
    </w:p>
    <w:p>
      <w:pPr>
        <w:pStyle w:val="0"/>
        <w:suppressAutoHyphens w:val="false"/>
        <w:rPr>
          <w:rStyle w:val="1"/>
        </w:rPr>
      </w:pPr>
      <w:r>
        <w:rPr>
          <w:rStyle w:val="1"/>
        </w:rPr>
        <w:t xml:space="preserve">“Artículo 23 bis. Asimetrías híbridas.</w:t>
      </w:r>
    </w:p>
    <w:p>
      <w:pPr>
        <w:pStyle w:val="0"/>
        <w:suppressAutoHyphens w:val="false"/>
        <w:rPr>
          <w:rStyle w:val="1"/>
        </w:rPr>
      </w:pPr>
      <w:r>
        <w:rPr>
          <w:rStyle w:val="1"/>
        </w:rPr>
        <w:t xml:space="preserve">1. No serán fiscalmente deducibles los gastos correspondientes a operaciones realizadas con personas o entidades vinculadas residentes en otro país o territorio que, como consecuencia de una calificación fiscal diferente en estas del gasto o de la operación, no generen un ingreso, generen un ingreso exento o sujeto a una reducción del tipo impositivo o a cualquier deducción o devolución de impuestos distinta de una deducción para evitar la doble imposición jurídica.</w:t>
      </w:r>
    </w:p>
    <w:p>
      <w:pPr>
        <w:pStyle w:val="0"/>
        <w:suppressAutoHyphens w:val="false"/>
        <w:rPr>
          <w:rStyle w:val="1"/>
        </w:rPr>
      </w:pPr>
      <w:r>
        <w:rPr>
          <w:rStyle w:val="1"/>
        </w:rPr>
        <w:t xml:space="preserve">En caso de que el ingreso se genere en un período impositivo que se inicie dentro de los doce meses siguientes a la conclusión del período impositivo en el que se haya devengado el gasto para el contribuyente, dicho gasto será fiscalmente deducible en el período impositivo en el que el mencionado ingreso se integre en la base imponible del beneficiario.</w:t>
      </w:r>
    </w:p>
    <w:p>
      <w:pPr>
        <w:pStyle w:val="0"/>
        <w:suppressAutoHyphens w:val="false"/>
        <w:rPr>
          <w:rStyle w:val="1"/>
        </w:rPr>
      </w:pPr>
      <w:r>
        <w:rPr>
          <w:rStyle w:val="1"/>
        </w:rPr>
        <w:t xml:space="preserve">2. No serán fiscalmente deducibles los gastos correspondientes a operaciones realizadas con personas o entidades vinculadas residentes en otro país o territorio que, como consecuencia de una calificación fiscal diferente del contribuyente en dicho país o territorio, no generen un ingreso, en la parte que no se compense con ingresos que generen renta de doble inclusión.</w:t>
      </w:r>
    </w:p>
    <w:p>
      <w:pPr>
        <w:pStyle w:val="0"/>
        <w:suppressAutoHyphens w:val="false"/>
        <w:rPr>
          <w:rStyle w:val="1"/>
        </w:rPr>
      </w:pPr>
      <w:r>
        <w:rPr>
          <w:rStyle w:val="1"/>
        </w:rPr>
        <w:t xml:space="preserve">El importe de los gastos no deducidos por aplicación de lo dispuesto en el párrafo anterior podrá deducirse en los períodos impositivos que concluyan dentro de los tres años siguientes a la conclusión del período impositivo en el que se devengaron tales gastos, en la medida en que se compense con ingresos del contribuyente que generen renta de doble inclusión.</w:t>
      </w:r>
    </w:p>
    <w:p>
      <w:pPr>
        <w:pStyle w:val="0"/>
        <w:suppressAutoHyphens w:val="false"/>
        <w:rPr>
          <w:rStyle w:val="1"/>
        </w:rPr>
      </w:pPr>
      <w:r>
        <w:rPr>
          <w:rStyle w:val="1"/>
        </w:rPr>
        <w:t xml:space="preserve">Se integrará en la base imponible el importe correspondiente a las operaciones realizadas con personas o entidades vinculadas residentes en otro país o territorio que, como consecuencia de una diferente calificación fiscal de estas, haya tenido la consideración de gasto fiscalmente deducible en ese otro país o territorio, en la parte que no se compense con ingresos que generen renta de doble inclusión.</w:t>
      </w:r>
    </w:p>
    <w:p>
      <w:pPr>
        <w:pStyle w:val="0"/>
        <w:suppressAutoHyphens w:val="false"/>
        <w:rPr>
          <w:rStyle w:val="1"/>
        </w:rPr>
      </w:pPr>
      <w:r>
        <w:rPr>
          <w:rStyle w:val="1"/>
        </w:rPr>
        <w:t xml:space="preserve">El importe integrado en la base imponible por aplicación de lo dispuesto en el párrafo anterior podrá minorarse de la base imponible de los períodos impositivos que concluyan dentro de los tres años siguientes a la conclusión del período impositivo en el que se integró el ingreso, en la medida en que tal gasto se compense en el otro país o territorio con ingresos de la persona o entidad vinculada que generen renta de doble inclusión.</w:t>
      </w:r>
    </w:p>
    <w:p>
      <w:pPr>
        <w:pStyle w:val="0"/>
        <w:suppressAutoHyphens w:val="false"/>
        <w:rPr>
          <w:rStyle w:val="1"/>
        </w:rPr>
      </w:pPr>
      <w:r>
        <w:rPr>
          <w:rStyle w:val="1"/>
        </w:rPr>
        <w:t xml:space="preserve">3. No serán fiscalmente deducibles los gastos correspondientes a operaciones realizadas con personas o entidades vinculadas residentes en otro país o territorio que, como consecuencia de una calificación fiscal diferente de estas en dicho país o territorio y en el de su partícipe o inversor, no generen un ingreso.</w:t>
      </w:r>
    </w:p>
    <w:p>
      <w:pPr>
        <w:pStyle w:val="0"/>
        <w:suppressAutoHyphens w:val="false"/>
        <w:rPr>
          <w:rStyle w:val="1"/>
        </w:rPr>
      </w:pPr>
      <w:r>
        <w:rPr>
          <w:rStyle w:val="1"/>
        </w:rPr>
        <w:t xml:space="preserve">Lo dispuesto en el párrafo anterior también será de aplicación cuando la relación de vinculación exista, exclusivamente, entre el contribuyente y el mencionado partícipe o inversor.</w:t>
      </w:r>
    </w:p>
    <w:p>
      <w:pPr>
        <w:pStyle w:val="0"/>
        <w:suppressAutoHyphens w:val="false"/>
        <w:rPr>
          <w:rStyle w:val="1"/>
        </w:rPr>
      </w:pPr>
      <w:r>
        <w:rPr>
          <w:rStyle w:val="1"/>
        </w:rPr>
        <w:t xml:space="preserve">4. No serán fiscalmente deducibles los gastos correspondientes a operaciones realizadas con o por personas o entidades vinculadas residentes en otro país o territorio que, como consecuencia de la diferente calificación fiscal de estas, sean, asimismo, gastos fiscalmente deducibles en dichas personas o entidades vinculadas, en la parte que no se compense con ingresos que generen renta de doble inclusión.</w:t>
      </w:r>
    </w:p>
    <w:p>
      <w:pPr>
        <w:pStyle w:val="0"/>
        <w:suppressAutoHyphens w:val="false"/>
        <w:rPr>
          <w:rStyle w:val="1"/>
        </w:rPr>
      </w:pPr>
      <w:r>
        <w:rPr>
          <w:rStyle w:val="1"/>
        </w:rPr>
        <w:t xml:space="preserve">Los importes no deducidos conforme a lo establecido en el párrafo anterior podrán ser deducidos en los períodos impositivos que concluyan en los tres años siguientes a la conclusión del período impositivo en el que se devengaron tales gastos, en la medida en que se compensen con ingresos de la persona o entidad vinculada que generen renta de doble inclusión.</w:t>
      </w:r>
    </w:p>
    <w:p>
      <w:pPr>
        <w:pStyle w:val="0"/>
        <w:suppressAutoHyphens w:val="false"/>
        <w:rPr>
          <w:rStyle w:val="1"/>
        </w:rPr>
      </w:pPr>
      <w:r>
        <w:rPr>
          <w:rStyle w:val="1"/>
        </w:rPr>
        <w:t xml:space="preserve">No serán fiscalmente deducibles los gastos correspondientes a operaciones realizadas por el contribuyente cuando tengan, asimismo, la consideración de fiscalmente deducibles en el país o territorio de una persona o entidad vinculada como consecuencia de una diferente calificación fiscal del contribuyente, en la parte que no se compense con ingresos que generen renta de doble inclusión.</w:t>
      </w:r>
    </w:p>
    <w:p>
      <w:pPr>
        <w:pStyle w:val="0"/>
        <w:suppressAutoHyphens w:val="false"/>
        <w:rPr>
          <w:rStyle w:val="1"/>
        </w:rPr>
      </w:pPr>
      <w:r>
        <w:rPr>
          <w:rStyle w:val="1"/>
        </w:rPr>
        <w:t xml:space="preserve">Los importes no deducidos conforme a lo establecido en el párrafo anterior podrán ser deducidos en los períodos impositivos que concluyan en los tres años siguientes a la conclusión del período impositivo en el que se devengaron tales gastos, en la medida en que se compensen con ingresos del contribuyente que generen renta de doble inclusión.</w:t>
      </w:r>
    </w:p>
    <w:p>
      <w:pPr>
        <w:pStyle w:val="0"/>
        <w:suppressAutoHyphens w:val="false"/>
        <w:rPr>
          <w:rStyle w:val="1"/>
        </w:rPr>
      </w:pPr>
      <w:r>
        <w:rPr>
          <w:rStyle w:val="1"/>
        </w:rPr>
        <w:t xml:space="preserve">5. No serán fiscalmente deducibles:</w:t>
      </w:r>
    </w:p>
    <w:p>
      <w:pPr>
        <w:pStyle w:val="0"/>
        <w:suppressAutoHyphens w:val="false"/>
        <w:rPr>
          <w:rStyle w:val="1"/>
        </w:rPr>
      </w:pPr>
      <w:r>
        <w:rPr>
          <w:rStyle w:val="1"/>
        </w:rPr>
        <w:t xml:space="preserve">a) Los gastos correspondientes a operaciones realizadas con un establecimiento permanente del contribuyente o de una entidad vinculada, o con una entidad vinculada que tenga establecimientos permanentes, cuando como consecuencia de una diferencia fiscal en su atribución entre el establecimiento permanente y su casa central, o entre dos o más establecimientos permanentes, no generen un ingreso.</w:t>
      </w:r>
    </w:p>
    <w:p>
      <w:pPr>
        <w:pStyle w:val="0"/>
        <w:suppressAutoHyphens w:val="false"/>
        <w:rPr>
          <w:rStyle w:val="1"/>
        </w:rPr>
      </w:pPr>
      <w:r>
        <w:rPr>
          <w:rStyle w:val="1"/>
        </w:rPr>
        <w:t xml:space="preserve">b) Los gastos correspondientes a operaciones realizadas con un establecimiento permanente del contribuyente o de una persona o entidad vinculada que, como consecuencia de que dicho establecimiento permanente no es reconocido fiscalmente por el país o territorio de situación, no generen un ingreso.</w:t>
      </w:r>
    </w:p>
    <w:p>
      <w:pPr>
        <w:pStyle w:val="0"/>
        <w:suppressAutoHyphens w:val="false"/>
        <w:rPr>
          <w:rStyle w:val="1"/>
        </w:rPr>
      </w:pPr>
      <w:r>
        <w:rPr>
          <w:rStyle w:val="1"/>
        </w:rPr>
        <w:t xml:space="preserve">c) Los gastos estimados en operaciones internas realizadas con un establecimiento permanente del contribuyente, en aquellos supuestos en que así estén reconocidos en un convenio para evitar la doble imposición internacional que resulte de aplicación, cuando, debido a la legislación del país o territorio del establecimiento permanente, no generen un ingreso, en la parte que no se compense con ingresos del establecimiento permanente que generen renta de doble inclusión.</w:t>
      </w:r>
    </w:p>
    <w:p>
      <w:pPr>
        <w:pStyle w:val="0"/>
        <w:suppressAutoHyphens w:val="false"/>
        <w:rPr>
          <w:rStyle w:val="1"/>
        </w:rPr>
      </w:pPr>
      <w:r>
        <w:rPr>
          <w:rStyle w:val="1"/>
        </w:rPr>
        <w:t xml:space="preserve">El importe de los gastos no deducidos por aplicación de lo dispuesto en el párrafo anterior podrá deducirse en los períodos impositivos que concluyan dentro de los tres años siguientes, en la medida en que se integren en la base imponible del contribuyente con ingresos del establecimiento permanente que generen renta de doble inclusión.</w:t>
      </w:r>
    </w:p>
    <w:p>
      <w:pPr>
        <w:pStyle w:val="0"/>
        <w:suppressAutoHyphens w:val="false"/>
        <w:rPr>
          <w:rStyle w:val="1"/>
        </w:rPr>
      </w:pPr>
      <w:r>
        <w:rPr>
          <w:rStyle w:val="1"/>
        </w:rPr>
        <w:t xml:space="preserve">d) Los gastos correspondientes a operaciones realizadas con o por un establecimiento permanente del contribuyente que sean, asimismo, fiscalmente deducibles en dicho establecimiento permanente o en una entidad vinculada con él, en la parte que no se compense con ingresos de dicho establecimiento permanente o entidad vinculada que generen renta de doble inclusión.</w:t>
      </w:r>
    </w:p>
    <w:p>
      <w:pPr>
        <w:pStyle w:val="0"/>
        <w:suppressAutoHyphens w:val="false"/>
        <w:rPr>
          <w:rStyle w:val="1"/>
        </w:rPr>
      </w:pPr>
      <w:r>
        <w:rPr>
          <w:rStyle w:val="1"/>
        </w:rPr>
        <w:t xml:space="preserve">Los importes no deducidos conforme a lo establecido en el párrafo anterior podrán ser deducidos en los períodos impositivos que concluyan en los tres años siguientes a la conclusión del período impositivo en el que se devengaron tales gastos, en la medida en que se compensen con ingresos del establecimiento permanente o entidad vinculada que generen renta doble inclusión.</w:t>
      </w:r>
    </w:p>
    <w:p>
      <w:pPr>
        <w:pStyle w:val="0"/>
        <w:suppressAutoHyphens w:val="false"/>
        <w:rPr>
          <w:rStyle w:val="1"/>
        </w:rPr>
      </w:pPr>
      <w:r>
        <w:rPr>
          <w:rStyle w:val="1"/>
        </w:rPr>
        <w:t xml:space="preserve">6. No resultará de aplicación lo previsto en el artículo 36 en el caso de rentas obtenidas a través de un establecimiento permanente que no es reconocido fiscalmente por el país o territorio de situación.</w:t>
      </w:r>
    </w:p>
    <w:p>
      <w:pPr>
        <w:pStyle w:val="0"/>
        <w:suppressAutoHyphens w:val="false"/>
        <w:rPr>
          <w:rStyle w:val="1"/>
        </w:rPr>
      </w:pPr>
      <w:r>
        <w:rPr>
          <w:rStyle w:val="1"/>
        </w:rPr>
        <w:t xml:space="preserve">7. No serán fiscalmente deducibles los gastos correspondientes a una transacción o serie de transacciones realizadas con personas o entidades vinculadas residentes en otro país o territorio, cuando financien, directa o indirectamente, gastos deducibles realizados en el marco de operaciones que generen los efectos derivados de las asimetrías híbridas a que se refieren los apartados anteriores, excepto cuando uno de los países o territorios afectados haya realizado un ajuste para evitar la deducción del gasto o someter el ingreso a tributación, en los términos expuestos en dichos apartados.</w:t>
      </w:r>
    </w:p>
    <w:p>
      <w:pPr>
        <w:pStyle w:val="0"/>
        <w:suppressAutoHyphens w:val="false"/>
        <w:rPr>
          <w:rStyle w:val="1"/>
        </w:rPr>
      </w:pPr>
      <w:r>
        <w:rPr>
          <w:rStyle w:val="1"/>
        </w:rPr>
        <w:t xml:space="preserve">8. Será deducible en la cuota íntegra de este impuesto el importe de la retención practicada a cuenta del mismo en la proporción que se corresponda con la renta integrada en la base imponible obtenida en una trasferencia híbrida realizada con una persona o entidad vinculada no residente en territorio español.</w:t>
      </w:r>
    </w:p>
    <w:p>
      <w:pPr>
        <w:pStyle w:val="0"/>
        <w:suppressAutoHyphens w:val="false"/>
        <w:rPr>
          <w:rStyle w:val="1"/>
        </w:rPr>
      </w:pPr>
      <w:r>
        <w:rPr>
          <w:rStyle w:val="1"/>
        </w:rPr>
        <w:t xml:space="preserve">A estos efectos, se considera como transferencia híbrida cualquier operación relativa a la transferencia de un instrumento financiero cuando el rendimiento subyacente del instrumento financiero transferido se considere, a efectos fiscales, como obtenido simultáneamente por más de una de las partes que intervienen en la operación.</w:t>
      </w:r>
    </w:p>
    <w:p>
      <w:pPr>
        <w:pStyle w:val="0"/>
        <w:suppressAutoHyphens w:val="false"/>
        <w:rPr>
          <w:rStyle w:val="1"/>
        </w:rPr>
      </w:pPr>
      <w:r>
        <w:rPr>
          <w:rStyle w:val="1"/>
        </w:rPr>
        <w:t xml:space="preserve">9. Lo dispuesto en los apartados anteriores se aplicará, asimismo, cuando las operaciones a que se refieren, con independencia de que se realicen entre personas o entidades vinculadas o no, tengan lugar en el marco de un mecanismo estructurado.</w:t>
      </w:r>
    </w:p>
    <w:p>
      <w:pPr>
        <w:pStyle w:val="0"/>
        <w:suppressAutoHyphens w:val="false"/>
        <w:rPr>
          <w:rStyle w:val="1"/>
        </w:rPr>
      </w:pPr>
      <w:r>
        <w:rPr>
          <w:rStyle w:val="1"/>
        </w:rPr>
        <w:t xml:space="preserve">A estos efectos se considera mecanismo estructurado todo acuerdo, negocio jurídico, esquema u operación en el que la ventaja fiscal derivada de las asimetrías híbridas a que se refieren dichos apartados en los términos en ellos señalados, esté cuantificada o considerada en sus condiciones o contraprestaciones o bien que haya sido diseñado para producir los resultados de tales asimetrías, excepto que el contribuyente o una persona o entidad vinculada con él no hubiera podido conocerlos razonablemente y no compartiera la ventaja fiscal indicada.</w:t>
      </w:r>
    </w:p>
    <w:p>
      <w:pPr>
        <w:pStyle w:val="0"/>
        <w:suppressAutoHyphens w:val="false"/>
        <w:rPr>
          <w:rStyle w:val="1"/>
        </w:rPr>
      </w:pPr>
      <w:r>
        <w:rPr>
          <w:rStyle w:val="1"/>
        </w:rPr>
        <w:t xml:space="preserve">10. No serán fiscalmente deducibles los gastos o pérdidas que resulten fiscalmente deducibles en otro país o territorio en el que el contribuyente sea, asimismo, residente fiscal, en la parte que se compense con ingresos que no generen renta de doble inclusión.</w:t>
      </w:r>
    </w:p>
    <w:p>
      <w:pPr>
        <w:pStyle w:val="0"/>
        <w:suppressAutoHyphens w:val="false"/>
        <w:rPr>
          <w:rStyle w:val="1"/>
        </w:rPr>
      </w:pPr>
      <w:r>
        <w:rPr>
          <w:rStyle w:val="1"/>
        </w:rPr>
        <w:t xml:space="preserve">En el caso de que dicho gasto se compense en el otro país o territorio en un período impositivo posterior al de la deducción del gasto o pérdida en el contribuyente, éste deberá integrar en su base imponible el importe correspondiente a la referida compensación en el período impositivo en que esta se produzca.</w:t>
      </w:r>
    </w:p>
    <w:p>
      <w:pPr>
        <w:pStyle w:val="0"/>
        <w:suppressAutoHyphens w:val="false"/>
        <w:rPr>
          <w:rStyle w:val="1"/>
        </w:rPr>
      </w:pPr>
      <w:r>
        <w:rPr>
          <w:rStyle w:val="1"/>
        </w:rPr>
        <w:t xml:space="preserve">Lo dispuesto en el párrafo anterior no será de aplicación cuando el otro país sea un Estado miembro de la Unión Europea con el que España tenga suscrito un convenio para evitar la doble imposición internacional en virtud del cual el contribuyente sea considerado residente fiscal en territorio español.</w:t>
      </w:r>
    </w:p>
    <w:p>
      <w:pPr>
        <w:pStyle w:val="0"/>
        <w:suppressAutoHyphens w:val="false"/>
        <w:rPr>
          <w:rStyle w:val="1"/>
        </w:rPr>
      </w:pPr>
      <w:r>
        <w:rPr>
          <w:rStyle w:val="1"/>
        </w:rPr>
        <w:t xml:space="preserve">11. A efectos de lo dispuesto en este artículo, se considera que un ingreso genera renta de doble inclusión cuando esté sometido a tributación con arreglo a esta ley foral y a la legislación del otro país o territorio.</w:t>
      </w:r>
    </w:p>
    <w:p>
      <w:pPr>
        <w:pStyle w:val="0"/>
        <w:suppressAutoHyphens w:val="false"/>
        <w:rPr>
          <w:rStyle w:val="1"/>
        </w:rPr>
      </w:pPr>
      <w:r>
        <w:rPr>
          <w:rStyle w:val="1"/>
        </w:rPr>
        <w:t xml:space="preserve">12. A efectos de la aplicación de lo dispuesto en este artículo, la referencia a personas o entidades vinculadas comprenderá:</w:t>
      </w:r>
    </w:p>
    <w:p>
      <w:pPr>
        <w:pStyle w:val="0"/>
        <w:suppressAutoHyphens w:val="false"/>
        <w:rPr>
          <w:rStyle w:val="1"/>
        </w:rPr>
      </w:pPr>
      <w:r>
        <w:rPr>
          <w:rStyle w:val="1"/>
        </w:rPr>
        <w:t xml:space="preserve">a) Las personas o entidades vinculadas de acuerdo con lo dispuesto en el artículo 28.</w:t>
      </w:r>
    </w:p>
    <w:p>
      <w:pPr>
        <w:pStyle w:val="0"/>
        <w:suppressAutoHyphens w:val="false"/>
        <w:rPr>
          <w:rStyle w:val="1"/>
        </w:rPr>
      </w:pPr>
      <w:r>
        <w:rPr>
          <w:rStyle w:val="1"/>
        </w:rPr>
        <w:t xml:space="preserve">b) Una entidad que ostente, directa o indirectamente, una participación de, al menos, un 25 por 100 en los derechos de voto del contribuyente o tenga derecho a percibir, al menos, un 25 por 100 de los beneficios del mismo, o en la que el contribuyente ostente dichas participaciones o derechos.</w:t>
      </w:r>
    </w:p>
    <w:p>
      <w:pPr>
        <w:pStyle w:val="0"/>
        <w:suppressAutoHyphens w:val="false"/>
        <w:rPr>
          <w:rStyle w:val="1"/>
        </w:rPr>
      </w:pPr>
      <w:r>
        <w:rPr>
          <w:rStyle w:val="1"/>
        </w:rPr>
        <w:t xml:space="preserve">c) La persona o entidad sobre la que el contribuyente actúe conjuntamente con otra persona o entidad respecto de los derechos de voto o la propiedad del capital de aquélla, o la persona o entidad que actúe conjuntamente con otra respecto de los derechos de voto o la propiedad del capital del contribuyente.</w:t>
      </w:r>
    </w:p>
    <w:p>
      <w:pPr>
        <w:pStyle w:val="0"/>
        <w:suppressAutoHyphens w:val="false"/>
        <w:rPr>
          <w:rStyle w:val="1"/>
        </w:rPr>
      </w:pPr>
      <w:r>
        <w:rPr>
          <w:rStyle w:val="1"/>
        </w:rPr>
        <w:t xml:space="preserve">A estos efectos, el contribuyente o, en el segundo supuesto, la persona o entidad, será tratado como el titular de una participación en relación con todos los derechos de voto o la propiedad del capital de la entidad o del contribuyente, respectivamente, que sean propiedad de la otra persona o entidad.</w:t>
      </w:r>
    </w:p>
    <w:p>
      <w:pPr>
        <w:pStyle w:val="0"/>
        <w:suppressAutoHyphens w:val="false"/>
        <w:rPr>
          <w:rStyle w:val="1"/>
        </w:rPr>
      </w:pPr>
      <w:r>
        <w:rPr>
          <w:rStyle w:val="1"/>
        </w:rPr>
        <w:t xml:space="preserve">d) Una entidad en cuya gestión el contribuyente tenga una influencia significativa o una entidad que tenga una influencia significativa en la gestión del contribuyente. A estos efectos, se considera que existe influencia significativa cuando se tenga el poder de intervenir en las decisiones de política financiera y de explotación de otra entidad, sin llegar a tener el control ni el control conjunto de la misma”.</w:t>
      </w:r>
    </w:p>
    <w:p>
      <w:pPr>
        <w:pStyle w:val="0"/>
        <w:suppressAutoHyphens w:val="false"/>
        <w:rPr>
          <w:rStyle w:val="1"/>
        </w:rPr>
      </w:pPr>
      <w:r>
        <w:rPr>
          <w:rStyle w:val="1"/>
        </w:rPr>
        <w:tab/>
        <w:t xml:space="preserve">DISPOSICIÓN ADICIONAL</w:t>
      </w:r>
    </w:p>
    <w:p>
      <w:pPr>
        <w:pStyle w:val="0"/>
        <w:suppressAutoHyphens w:val="false"/>
        <w:rPr>
          <w:rStyle w:val="1"/>
        </w:rPr>
      </w:pPr>
      <w:r>
        <w:rPr>
          <w:rStyle w:val="1"/>
        </w:rPr>
        <w:t xml:space="preserve">Disposición adicional única. Modificación de los aplazamientos concedidos a clubes deportivos que no participen en competiciones deportivas oficiales de carácter profesional, al amparo de la disposición adicional vigesimoséptima de la Ley Foral General Tributaria.</w:t>
      </w:r>
    </w:p>
    <w:p>
      <w:pPr>
        <w:pStyle w:val="0"/>
        <w:suppressAutoHyphens w:val="false"/>
        <w:rPr>
          <w:rStyle w:val="1"/>
        </w:rPr>
      </w:pPr>
      <w:r>
        <w:rPr>
          <w:rStyle w:val="1"/>
        </w:rPr>
        <w:t xml:space="preserve">Los clubes deportivos que mantienen vigentes en la fecha de entrada en vigor de este decreto-ley foral, aplazamientos de pago concedidos al amparo de la disposición adicional vigesimoséptima de la Ley Foral 13/2000, de 14 de diciembre, General Tributaria, podrán solicitar, para dichos aplazamientos, la concesión de un periodo de carencia en el pago de doce meses, prorrateando las cuotas correspondientes a dicho periodo por partes iguales en los plazos pendientes de pago.</w:t>
      </w:r>
    </w:p>
    <w:p>
      <w:pPr>
        <w:pStyle w:val="0"/>
        <w:suppressAutoHyphens w:val="false"/>
        <w:rPr>
          <w:rStyle w:val="1"/>
        </w:rPr>
      </w:pPr>
      <w:r>
        <w:rPr>
          <w:rStyle w:val="1"/>
        </w:rPr>
        <w:t xml:space="preserve">La solicitud deberá presentarse en el plazo de diez días hábiles a contar desde la entrada en vigor de la presente disposición y se aplicará sobre la primera cuota pendiente de vencimiento a la fecha de entrada en vigor de la mencionada disposición. La concesión del periodo de carencia exigirá que los clubes deportivos solicitantes se encuentren al corriente en el cumplimiento de sus obligaciones tributarias con Hacienda Foral de Navarra en el momento de la solicitud.</w:t>
      </w:r>
    </w:p>
    <w:p>
      <w:pPr>
        <w:pStyle w:val="0"/>
        <w:suppressAutoHyphens w:val="false"/>
        <w:rPr>
          <w:rStyle w:val="1"/>
        </w:rPr>
      </w:pPr>
      <w:r>
        <w:rPr>
          <w:rStyle w:val="1"/>
        </w:rPr>
        <w:t xml:space="preserve">El órgano competente en materia de recaudación reformulará el nuevo calendario de pago, liquidando los nuevos intereses de demora que resulten del mismo. Se mantienen vigentes todas las condiciones referidas a los aplazamientos que se establecieron en el momento de su concesión.</w:t>
      </w:r>
    </w:p>
    <w:p>
      <w:pPr>
        <w:pStyle w:val="0"/>
        <w:suppressAutoHyphens w:val="false"/>
        <w:rPr>
          <w:rStyle w:val="1"/>
        </w:rPr>
      </w:pPr>
      <w:r>
        <w:rPr>
          <w:rStyle w:val="1"/>
          <w:b w:val="true"/>
        </w:rPr>
        <w:t xml:space="preserve">Disposición final primera.</w:t>
      </w:r>
      <w:r>
        <w:rPr>
          <w:rStyle w:val="1"/>
        </w:rPr>
        <w:t xml:space="preserve"> Incorporación de derecho de la Unión Europea.</w:t>
      </w:r>
    </w:p>
    <w:p>
      <w:pPr>
        <w:pStyle w:val="0"/>
        <w:suppressAutoHyphens w:val="false"/>
        <w:rPr>
          <w:rStyle w:val="1"/>
        </w:rPr>
      </w:pPr>
      <w:r>
        <w:rPr>
          <w:rStyle w:val="1"/>
        </w:rPr>
        <w:t xml:space="preserve">Mediante este decreto-ley foral se incorporan a la normativa foral navarra las normas sobre asimetrías híbridas de la Directiva (UE) 2016/1164, del Consejo, de 12 de julio de 2016, por la que se establecen normas contra las prácticas de elusión fiscal que inciden directamente en el funcionamiento del mercado interior, en la redacción dada por la Directiva (UE) 2017/952, del Consejo, de 29 de mayo de 2017, por la que se modifica la Directiva (UE) 2016/1164 en lo que se refiere a las asimetrías híbridas con terceros países.</w:t>
      </w:r>
    </w:p>
    <w:p>
      <w:pPr>
        <w:pStyle w:val="0"/>
        <w:suppressAutoHyphens w:val="false"/>
        <w:rPr>
          <w:rStyle w:val="1"/>
        </w:rPr>
      </w:pPr>
      <w:r>
        <w:rPr>
          <w:rStyle w:val="1"/>
          <w:b w:val="true"/>
        </w:rPr>
        <w:t xml:space="preserve">Disposición final segunda. </w:t>
      </w:r>
      <w:r>
        <w:rPr>
          <w:rStyle w:val="1"/>
        </w:rPr>
        <w:t xml:space="preserve">Modificación de la Ley Foral del Juego.</w:t>
      </w:r>
    </w:p>
    <w:p>
      <w:pPr>
        <w:pStyle w:val="0"/>
        <w:suppressAutoHyphens w:val="false"/>
        <w:rPr>
          <w:rStyle w:val="1"/>
        </w:rPr>
      </w:pPr>
      <w:r>
        <w:rPr>
          <w:rStyle w:val="1"/>
        </w:rPr>
        <w:t xml:space="preserve">Se modifica la disposición transitoria tercera de la Ley Foral 16/2006, de 14 de diciembre, del Juego, que quedará redactada del siguiente modo:</w:t>
      </w:r>
    </w:p>
    <w:p>
      <w:pPr>
        <w:pStyle w:val="0"/>
        <w:suppressAutoHyphens w:val="false"/>
        <w:rPr>
          <w:rStyle w:val="1"/>
        </w:rPr>
      </w:pPr>
      <w:r>
        <w:rPr>
          <w:rStyle w:val="1"/>
        </w:rPr>
        <w:t xml:space="preserve">“Disposición transitoria tercera. Suspensión.</w:t>
      </w:r>
    </w:p>
    <w:p>
      <w:pPr>
        <w:pStyle w:val="0"/>
        <w:suppressAutoHyphens w:val="false"/>
        <w:rPr>
          <w:rStyle w:val="1"/>
        </w:rPr>
      </w:pPr>
      <w:r>
        <w:rPr>
          <w:rStyle w:val="1"/>
        </w:rPr>
        <w:t xml:space="preserve">Hasta el 30 de septiembre de 2021, no se admitirán solicitudes, ni se concederán autorizaciones de explotación de nuevos salones de juego, bingos, o locales específicos de apuestas.</w:t>
      </w:r>
    </w:p>
    <w:p>
      <w:pPr>
        <w:pStyle w:val="0"/>
        <w:suppressAutoHyphens w:val="false"/>
        <w:rPr>
          <w:rStyle w:val="1"/>
        </w:rPr>
      </w:pPr>
      <w:r>
        <w:rPr>
          <w:rStyle w:val="1"/>
        </w:rPr>
        <w:t xml:space="preserve">Igualmente, no se admitirán solicitudes ni se emitirán resoluciones de consultas previas de viabilidad de autorización.</w:t>
      </w:r>
    </w:p>
    <w:p>
      <w:pPr>
        <w:pStyle w:val="0"/>
        <w:suppressAutoHyphens w:val="false"/>
        <w:rPr>
          <w:rStyle w:val="1"/>
        </w:rPr>
      </w:pPr>
      <w:r>
        <w:rPr>
          <w:rStyle w:val="1"/>
        </w:rPr>
        <w:t xml:space="preserve">Tampoco se admitirán nuevas solicitudes, ni se concederán nuevas autorizaciones de instalación de máquinas de juego y máquinas auxiliares de apuestas en los locales citados en el artículo 10 del Decreto Foral 181/1990, de 31 de julio, por el que se aprueba el Reglamento de Máquinas de Juego, salvo que esta última traiga causa en el cambio de titularidad del local de hostelería”.</w:t>
      </w:r>
    </w:p>
    <w:p>
      <w:pPr>
        <w:pStyle w:val="0"/>
        <w:suppressAutoHyphens w:val="false"/>
        <w:rPr>
          <w:rStyle w:val="1"/>
        </w:rPr>
      </w:pPr>
      <w:r>
        <w:rPr>
          <w:rStyle w:val="1"/>
          <w:b w:val="true"/>
        </w:rPr>
        <w:t xml:space="preserve">Disposición final tercera. </w:t>
      </w:r>
      <w:r>
        <w:rPr>
          <w:rStyle w:val="1"/>
        </w:rPr>
        <w:t xml:space="preserve">Remisión al Parlamento de Navarra.</w:t>
      </w:r>
    </w:p>
    <w:p>
      <w:pPr>
        <w:pStyle w:val="0"/>
        <w:suppressAutoHyphens w:val="false"/>
        <w:rPr>
          <w:rStyle w:val="1"/>
        </w:rPr>
      </w:pPr>
      <w:r>
        <w:rPr>
          <w:rStyle w:val="1"/>
        </w:rPr>
        <w:t xml:space="preserve">Este decreto-ley foral será remitido al Parlamento de Navarra a efectos de su convalidación, conforme a lo establecido en el artículo 21 bis. 2 de la Ley Orgánica 13/1982, de 10 de agosto, de Reintegración y Amejoramiento del Régimen Foral de Navarra.</w:t>
      </w:r>
    </w:p>
    <w:p>
      <w:pPr>
        <w:pStyle w:val="0"/>
        <w:suppressAutoHyphens w:val="false"/>
        <w:rPr>
          <w:rStyle w:val="1"/>
        </w:rPr>
      </w:pPr>
      <w:r>
        <w:rPr>
          <w:rStyle w:val="1"/>
          <w:b w:val="true"/>
        </w:rPr>
        <w:t xml:space="preserve">Disposición final cuarta.</w:t>
      </w:r>
      <w:r>
        <w:rPr>
          <w:rStyle w:val="1"/>
        </w:rPr>
        <w:t xml:space="preserve"> Entrada en vigor.</w:t>
      </w:r>
    </w:p>
    <w:p>
      <w:pPr>
        <w:pStyle w:val="0"/>
        <w:suppressAutoHyphens w:val="false"/>
        <w:rPr>
          <w:rStyle w:val="1"/>
        </w:rPr>
      </w:pPr>
      <w:r>
        <w:rPr>
          <w:rStyle w:val="1"/>
        </w:rPr>
        <w:t xml:space="preserve">Este decreto-ley foral entrará en vigor el día de su publicación en el Boletín Oficial de Navarra, con los efectos en él previstos.</w:t>
      </w:r>
    </w:p>
    <w:p>
      <w:pPr>
        <w:pStyle w:val="0"/>
        <w:suppressAutoHyphens w:val="false"/>
        <w:rPr>
          <w:rStyle w:val="1"/>
        </w:rPr>
      </w:pPr>
      <w:r>
        <w:rPr>
          <w:rStyle w:val="1"/>
        </w:rPr>
        <w:t xml:space="preserve">Pamplona, veinticuatro de febrero de dos mil veintiuno.</w:t>
      </w:r>
    </w:p>
    <w:p>
      <w:pPr>
        <w:pStyle w:val="0"/>
        <w:suppressAutoHyphens w:val="false"/>
        <w:rPr>
          <w:rStyle w:val="1"/>
        </w:rPr>
      </w:pPr>
      <w:r>
        <w:rPr>
          <w:rStyle w:val="1"/>
        </w:rPr>
        <w:t xml:space="preserve">La Presidenta del Gobierno de Navarra: María Chivite Navascués</w:t>
      </w:r>
    </w:p>
    <w:p>
      <w:pPr>
        <w:pStyle w:val="0"/>
        <w:suppressAutoHyphens w:val="false"/>
        <w:rPr>
          <w:rStyle w:val="1"/>
        </w:rPr>
      </w:pPr>
      <w:r>
        <w:rPr>
          <w:rStyle w:val="1"/>
        </w:rPr>
        <w:t xml:space="preserve">El Consejero de Presidencia Igualdad, Función Pública e Interior: Javier Rémirez Apesteguía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