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04" w:rsidRPr="001C18D3" w:rsidRDefault="009573E3" w:rsidP="00E44044">
      <w:pPr>
        <w:pStyle w:val="Textoindependiente"/>
        <w:spacing w:after="0" w:line="360" w:lineRule="auto"/>
        <w:rPr>
          <w:rFonts w:cs="Arial"/>
          <w:szCs w:val="24"/>
        </w:rPr>
      </w:pPr>
      <w:r w:rsidRPr="001C18D3">
        <w:rPr>
          <w:rFonts w:cs="Arial"/>
          <w:szCs w:val="24"/>
        </w:rPr>
        <w:t>La Consejera</w:t>
      </w:r>
      <w:r w:rsidR="00E44044" w:rsidRPr="001C18D3">
        <w:rPr>
          <w:rFonts w:cs="Arial"/>
          <w:szCs w:val="24"/>
        </w:rPr>
        <w:t xml:space="preserve"> de Desarrollo Rural </w:t>
      </w:r>
      <w:r w:rsidR="00B50004" w:rsidRPr="001C18D3">
        <w:rPr>
          <w:rFonts w:cs="Arial"/>
          <w:szCs w:val="24"/>
        </w:rPr>
        <w:t xml:space="preserve">y </w:t>
      </w:r>
      <w:r w:rsidR="00E44044" w:rsidRPr="001C18D3">
        <w:rPr>
          <w:rFonts w:cs="Arial"/>
          <w:szCs w:val="24"/>
        </w:rPr>
        <w:t>Medio Ambiente</w:t>
      </w:r>
      <w:r w:rsidRPr="001C18D3">
        <w:rPr>
          <w:rFonts w:cs="Arial"/>
          <w:szCs w:val="24"/>
        </w:rPr>
        <w:t xml:space="preserve">, en relación con la pregunta para su contestación por escrito formulada por </w:t>
      </w:r>
      <w:r w:rsidR="00B50004" w:rsidRPr="001C18D3">
        <w:rPr>
          <w:rFonts w:cs="Arial"/>
          <w:szCs w:val="24"/>
        </w:rPr>
        <w:t>el Parlamentario Foral Ilmo. Sr. D.</w:t>
      </w:r>
      <w:r w:rsidR="00E638E1" w:rsidRPr="001C18D3">
        <w:rPr>
          <w:rFonts w:cs="Arial"/>
          <w:szCs w:val="24"/>
        </w:rPr>
        <w:t xml:space="preserve"> </w:t>
      </w:r>
      <w:r w:rsidR="00195BC5" w:rsidRPr="001C18D3">
        <w:rPr>
          <w:rFonts w:cs="Arial"/>
          <w:szCs w:val="24"/>
        </w:rPr>
        <w:t xml:space="preserve">Adolfo </w:t>
      </w:r>
      <w:proofErr w:type="spellStart"/>
      <w:r w:rsidR="00195BC5" w:rsidRPr="001C18D3">
        <w:rPr>
          <w:rFonts w:cs="Arial"/>
          <w:szCs w:val="24"/>
        </w:rPr>
        <w:t>Araiz</w:t>
      </w:r>
      <w:proofErr w:type="spellEnd"/>
      <w:r w:rsidR="00195BC5" w:rsidRPr="001C18D3">
        <w:rPr>
          <w:rFonts w:cs="Arial"/>
          <w:szCs w:val="24"/>
        </w:rPr>
        <w:t xml:space="preserve"> </w:t>
      </w:r>
      <w:proofErr w:type="spellStart"/>
      <w:r w:rsidR="00195BC5" w:rsidRPr="001C18D3">
        <w:rPr>
          <w:rFonts w:cs="Arial"/>
          <w:szCs w:val="24"/>
        </w:rPr>
        <w:t>Flamarique</w:t>
      </w:r>
      <w:proofErr w:type="spellEnd"/>
      <w:r w:rsidRPr="001C18D3">
        <w:rPr>
          <w:rFonts w:cs="Arial"/>
          <w:szCs w:val="24"/>
        </w:rPr>
        <w:t>,</w:t>
      </w:r>
      <w:bookmarkStart w:id="0" w:name="Listadesplegable5"/>
      <w:r w:rsidRPr="001C18D3">
        <w:rPr>
          <w:rFonts w:cs="Arial"/>
          <w:szCs w:val="24"/>
        </w:rPr>
        <w:t xml:space="preserve"> </w:t>
      </w:r>
      <w:bookmarkEnd w:id="0"/>
      <w:r w:rsidR="00B50004" w:rsidRPr="001C18D3">
        <w:rPr>
          <w:rFonts w:cs="Arial"/>
          <w:szCs w:val="24"/>
        </w:rPr>
        <w:t xml:space="preserve">adscrito </w:t>
      </w:r>
      <w:r w:rsidRPr="001C18D3">
        <w:rPr>
          <w:rFonts w:cs="Arial"/>
          <w:szCs w:val="24"/>
        </w:rPr>
        <w:t>al Grupo Parlamentario de</w:t>
      </w:r>
      <w:r w:rsidR="00E638E1" w:rsidRPr="001C18D3">
        <w:rPr>
          <w:rFonts w:cs="Arial"/>
          <w:szCs w:val="24"/>
        </w:rPr>
        <w:t xml:space="preserve"> </w:t>
      </w:r>
      <w:r w:rsidR="00195BC5" w:rsidRPr="001C18D3">
        <w:rPr>
          <w:rFonts w:cs="Arial"/>
          <w:szCs w:val="24"/>
        </w:rPr>
        <w:t>EH Bildu Nafarroa</w:t>
      </w:r>
      <w:r w:rsidRPr="001C18D3">
        <w:rPr>
          <w:rFonts w:cs="Arial"/>
          <w:szCs w:val="24"/>
        </w:rPr>
        <w:t xml:space="preserve">, </w:t>
      </w:r>
      <w:r w:rsidR="00E44044" w:rsidRPr="001C18D3">
        <w:rPr>
          <w:rFonts w:cs="Arial"/>
          <w:szCs w:val="24"/>
        </w:rPr>
        <w:t>sobre</w:t>
      </w:r>
      <w:r w:rsidR="00195BC5" w:rsidRPr="001C18D3">
        <w:rPr>
          <w:rFonts w:cs="Arial"/>
          <w:szCs w:val="24"/>
        </w:rPr>
        <w:t xml:space="preserve"> informes pendientes de emitir por el Servicio de Comunales relativos a los convenios transaccionales remitidos por las entidades locales </w:t>
      </w:r>
      <w:r w:rsidR="00901293" w:rsidRPr="001C18D3">
        <w:rPr>
          <w:rFonts w:cs="Arial"/>
          <w:szCs w:val="24"/>
        </w:rPr>
        <w:t>(</w:t>
      </w:r>
      <w:r w:rsidR="00E638E1" w:rsidRPr="001C18D3">
        <w:rPr>
          <w:rFonts w:cs="Arial"/>
          <w:b/>
          <w:szCs w:val="24"/>
        </w:rPr>
        <w:t>PES</w:t>
      </w:r>
      <w:r w:rsidR="00195BC5" w:rsidRPr="001C18D3">
        <w:rPr>
          <w:rFonts w:cs="Arial"/>
          <w:b/>
          <w:szCs w:val="24"/>
        </w:rPr>
        <w:t>-00018</w:t>
      </w:r>
      <w:r w:rsidR="00901293" w:rsidRPr="001C18D3">
        <w:rPr>
          <w:rFonts w:cs="Arial"/>
          <w:b/>
          <w:szCs w:val="24"/>
        </w:rPr>
        <w:t>)</w:t>
      </w:r>
      <w:r w:rsidR="00901293" w:rsidRPr="001C18D3">
        <w:rPr>
          <w:rFonts w:cs="Arial"/>
          <w:szCs w:val="24"/>
        </w:rPr>
        <w:t>, tiene el honor de remitirle la siguiente contestación:</w:t>
      </w:r>
    </w:p>
    <w:p w:rsidR="00DE04E2" w:rsidRPr="001C18D3" w:rsidRDefault="00DE04E2" w:rsidP="00DE04E2">
      <w:pPr>
        <w:spacing w:before="120" w:after="120" w:line="360" w:lineRule="auto"/>
        <w:ind w:hanging="357"/>
        <w:jc w:val="both"/>
        <w:rPr>
          <w:rFonts w:ascii="Arial" w:hAnsi="Arial" w:cs="Arial"/>
          <w:b/>
          <w:sz w:val="24"/>
          <w:szCs w:val="24"/>
          <w:u w:val="single"/>
        </w:rPr>
      </w:pPr>
      <w:r w:rsidRPr="001C18D3">
        <w:rPr>
          <w:rFonts w:ascii="Arial" w:hAnsi="Arial" w:cs="Arial"/>
          <w:b/>
          <w:sz w:val="24"/>
          <w:szCs w:val="24"/>
          <w:u w:val="single"/>
        </w:rPr>
        <w:t>1ª Pregunta:</w:t>
      </w:r>
    </w:p>
    <w:p w:rsidR="00B50004" w:rsidRPr="001C18D3" w:rsidRDefault="00DE04E2" w:rsidP="00DE04E2">
      <w:pPr>
        <w:spacing w:before="120" w:after="120" w:line="360" w:lineRule="auto"/>
        <w:jc w:val="both"/>
        <w:rPr>
          <w:rFonts w:ascii="Arial" w:hAnsi="Arial" w:cs="Arial"/>
          <w:b/>
          <w:sz w:val="24"/>
          <w:szCs w:val="24"/>
          <w:u w:val="single"/>
        </w:rPr>
      </w:pPr>
      <w:r w:rsidRPr="001C18D3">
        <w:rPr>
          <w:rFonts w:ascii="Arial" w:hAnsi="Arial" w:cs="Arial"/>
          <w:b/>
          <w:sz w:val="24"/>
          <w:szCs w:val="24"/>
          <w:u w:val="single"/>
        </w:rPr>
        <w:t>¿Cuántas entidades locales han remitido al Servicio de Comunales desde el año 2015 convenios para la emisión del preceptivo informe, una vez que han sido aprobados por los respectivos plenos y estando suscritos por los particulares afectados?</w:t>
      </w:r>
    </w:p>
    <w:p w:rsidR="00DE04E2" w:rsidRPr="001C18D3" w:rsidRDefault="00DE04E2" w:rsidP="00DE04E2">
      <w:pPr>
        <w:spacing w:before="120" w:after="120" w:line="360" w:lineRule="auto"/>
        <w:ind w:firstLine="851"/>
        <w:jc w:val="both"/>
        <w:rPr>
          <w:rFonts w:ascii="Arial" w:hAnsi="Arial" w:cs="Arial"/>
          <w:sz w:val="24"/>
          <w:szCs w:val="24"/>
        </w:rPr>
      </w:pPr>
      <w:r w:rsidRPr="001C18D3">
        <w:rPr>
          <w:rFonts w:ascii="Arial" w:hAnsi="Arial" w:cs="Arial"/>
          <w:sz w:val="24"/>
          <w:szCs w:val="24"/>
        </w:rPr>
        <w:t xml:space="preserve">El número de entidades locales que han remitido convenios una vez aprobados y suscritos por los particulares desde el año 2015 </w:t>
      </w:r>
      <w:r w:rsidRPr="001C18D3">
        <w:rPr>
          <w:rFonts w:ascii="Arial" w:hAnsi="Arial" w:cs="Arial"/>
          <w:b/>
          <w:sz w:val="24"/>
          <w:szCs w:val="24"/>
        </w:rPr>
        <w:t>son ocho entidades</w:t>
      </w:r>
      <w:r w:rsidRPr="001C18D3">
        <w:rPr>
          <w:rFonts w:ascii="Arial" w:hAnsi="Arial" w:cs="Arial"/>
          <w:sz w:val="24"/>
          <w:szCs w:val="24"/>
        </w:rPr>
        <w:t xml:space="preserve"> </w:t>
      </w:r>
      <w:r w:rsidRPr="001C18D3">
        <w:rPr>
          <w:rFonts w:ascii="Arial" w:hAnsi="Arial" w:cs="Arial"/>
          <w:b/>
          <w:sz w:val="24"/>
          <w:szCs w:val="24"/>
        </w:rPr>
        <w:t>locales,</w:t>
      </w:r>
      <w:r w:rsidRPr="001C18D3">
        <w:rPr>
          <w:rFonts w:ascii="Arial" w:hAnsi="Arial" w:cs="Arial"/>
          <w:sz w:val="24"/>
          <w:szCs w:val="24"/>
        </w:rPr>
        <w:t xml:space="preserve"> cuyo número de convenios remitidos se especifica en la siguiente tabla.</w:t>
      </w:r>
    </w:p>
    <w:p w:rsidR="00DE04E2" w:rsidRPr="001C18D3" w:rsidRDefault="00DE04E2" w:rsidP="00DE04E2">
      <w:pPr>
        <w:spacing w:before="120" w:after="120" w:line="360" w:lineRule="auto"/>
        <w:ind w:firstLine="851"/>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70"/>
        <w:gridCol w:w="2881"/>
      </w:tblGrid>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1</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LESAKA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51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2</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PERALTA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67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LEKUNBERRI</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4</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LEITZA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5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5</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ERATSUN</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39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6</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CINTRUÉNIGO</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1 convenio</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7</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GOIZUETA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15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8</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ECHAGÜE</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4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p>
        </w:tc>
        <w:tc>
          <w:tcPr>
            <w:tcW w:w="5370" w:type="dxa"/>
            <w:shd w:val="clear" w:color="auto" w:fill="auto"/>
          </w:tcPr>
          <w:p w:rsidR="00DE04E2" w:rsidRPr="001C18D3" w:rsidRDefault="00DE04E2" w:rsidP="00DE04E2">
            <w:pPr>
              <w:spacing w:line="360" w:lineRule="auto"/>
              <w:jc w:val="both"/>
              <w:rPr>
                <w:rFonts w:ascii="Arial" w:hAnsi="Arial" w:cs="Arial"/>
                <w:b/>
                <w:sz w:val="18"/>
                <w:szCs w:val="18"/>
              </w:rPr>
            </w:pPr>
            <w:r w:rsidRPr="001C18D3">
              <w:rPr>
                <w:rFonts w:ascii="Arial" w:hAnsi="Arial" w:cs="Arial"/>
                <w:b/>
                <w:sz w:val="18"/>
                <w:szCs w:val="18"/>
              </w:rPr>
              <w:t xml:space="preserve">TOTAL ENTIDADES  LOCALES 8 </w:t>
            </w:r>
          </w:p>
        </w:tc>
        <w:tc>
          <w:tcPr>
            <w:tcW w:w="2881" w:type="dxa"/>
            <w:shd w:val="clear" w:color="auto" w:fill="auto"/>
          </w:tcPr>
          <w:p w:rsidR="00DE04E2" w:rsidRPr="001C18D3" w:rsidRDefault="00DE04E2" w:rsidP="00DE04E2">
            <w:pPr>
              <w:spacing w:line="360" w:lineRule="auto"/>
              <w:jc w:val="both"/>
              <w:rPr>
                <w:rFonts w:ascii="Arial" w:hAnsi="Arial" w:cs="Arial"/>
                <w:b/>
                <w:sz w:val="18"/>
                <w:szCs w:val="18"/>
              </w:rPr>
            </w:pPr>
            <w:r w:rsidRPr="001C18D3">
              <w:rPr>
                <w:rFonts w:ascii="Arial" w:hAnsi="Arial" w:cs="Arial"/>
                <w:b/>
                <w:sz w:val="18"/>
                <w:szCs w:val="18"/>
              </w:rPr>
              <w:t>185 CONVENIOS</w:t>
            </w:r>
          </w:p>
        </w:tc>
      </w:tr>
    </w:tbl>
    <w:p w:rsidR="00B50004" w:rsidRPr="001C18D3" w:rsidRDefault="00DE04E2" w:rsidP="00DE04E2">
      <w:pPr>
        <w:spacing w:before="120" w:after="120" w:line="360" w:lineRule="auto"/>
        <w:ind w:firstLine="851"/>
        <w:jc w:val="both"/>
        <w:rPr>
          <w:rFonts w:ascii="Arial" w:hAnsi="Arial" w:cs="Arial"/>
          <w:sz w:val="24"/>
          <w:szCs w:val="24"/>
        </w:rPr>
      </w:pPr>
      <w:r w:rsidRPr="001C18D3">
        <w:rPr>
          <w:rFonts w:ascii="Arial" w:hAnsi="Arial" w:cs="Arial"/>
          <w:sz w:val="24"/>
          <w:szCs w:val="24"/>
        </w:rPr>
        <w:t xml:space="preserve"> </w:t>
      </w:r>
    </w:p>
    <w:p w:rsidR="00DE04E2" w:rsidRPr="001C18D3" w:rsidRDefault="00DE04E2" w:rsidP="00DE04E2">
      <w:pPr>
        <w:spacing w:before="120" w:after="120" w:line="360" w:lineRule="auto"/>
        <w:ind w:firstLine="851"/>
        <w:jc w:val="both"/>
        <w:rPr>
          <w:rFonts w:ascii="Arial" w:hAnsi="Arial" w:cs="Arial"/>
          <w:sz w:val="24"/>
          <w:szCs w:val="24"/>
        </w:rPr>
      </w:pPr>
      <w:r w:rsidRPr="001C18D3">
        <w:rPr>
          <w:rFonts w:ascii="Arial" w:hAnsi="Arial" w:cs="Arial"/>
          <w:sz w:val="24"/>
          <w:szCs w:val="24"/>
        </w:rPr>
        <w:t>Asimismo, señalamos que en estas entidades desde el año 2015 se han finalizado estos convenios.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70"/>
        <w:gridCol w:w="2881"/>
      </w:tblGrid>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1</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LESAKA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38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2</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PERALTA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67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LEKUNBERRI</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4</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LEITZA</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5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5</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ERATSUN</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39 convenios</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6</w:t>
            </w:r>
          </w:p>
        </w:tc>
        <w:tc>
          <w:tcPr>
            <w:tcW w:w="5370"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CINTRUÉNIGO</w:t>
            </w:r>
          </w:p>
        </w:tc>
        <w:tc>
          <w:tcPr>
            <w:tcW w:w="2881" w:type="dxa"/>
            <w:shd w:val="clear" w:color="auto" w:fill="auto"/>
          </w:tcPr>
          <w:p w:rsidR="00DE04E2" w:rsidRPr="001C18D3" w:rsidRDefault="00DE04E2" w:rsidP="00DE04E2">
            <w:pPr>
              <w:spacing w:line="360" w:lineRule="auto"/>
              <w:jc w:val="both"/>
              <w:rPr>
                <w:rFonts w:ascii="Arial" w:hAnsi="Arial" w:cs="Arial"/>
                <w:sz w:val="18"/>
                <w:szCs w:val="18"/>
              </w:rPr>
            </w:pPr>
            <w:r w:rsidRPr="001C18D3">
              <w:rPr>
                <w:rFonts w:ascii="Arial" w:hAnsi="Arial" w:cs="Arial"/>
                <w:sz w:val="18"/>
                <w:szCs w:val="18"/>
              </w:rPr>
              <w:t>1 convenio</w:t>
            </w:r>
          </w:p>
        </w:tc>
      </w:tr>
      <w:tr w:rsidR="00DE04E2" w:rsidRPr="001C18D3" w:rsidTr="00452FD2">
        <w:tc>
          <w:tcPr>
            <w:tcW w:w="392" w:type="dxa"/>
            <w:shd w:val="clear" w:color="auto" w:fill="auto"/>
          </w:tcPr>
          <w:p w:rsidR="00DE04E2" w:rsidRPr="001C18D3" w:rsidRDefault="00DE04E2" w:rsidP="00DE04E2">
            <w:pPr>
              <w:spacing w:line="360" w:lineRule="auto"/>
              <w:jc w:val="both"/>
              <w:rPr>
                <w:rFonts w:ascii="Arial" w:hAnsi="Arial" w:cs="Arial"/>
                <w:sz w:val="18"/>
                <w:szCs w:val="18"/>
              </w:rPr>
            </w:pPr>
          </w:p>
        </w:tc>
        <w:tc>
          <w:tcPr>
            <w:tcW w:w="5370" w:type="dxa"/>
            <w:shd w:val="clear" w:color="auto" w:fill="auto"/>
          </w:tcPr>
          <w:p w:rsidR="00DE04E2" w:rsidRPr="001C18D3" w:rsidRDefault="00DE04E2" w:rsidP="00DE04E2">
            <w:pPr>
              <w:spacing w:line="360" w:lineRule="auto"/>
              <w:jc w:val="both"/>
              <w:rPr>
                <w:rFonts w:ascii="Arial" w:hAnsi="Arial" w:cs="Arial"/>
                <w:b/>
                <w:sz w:val="18"/>
                <w:szCs w:val="18"/>
              </w:rPr>
            </w:pPr>
            <w:r w:rsidRPr="001C18D3">
              <w:rPr>
                <w:rFonts w:ascii="Arial" w:hAnsi="Arial" w:cs="Arial"/>
                <w:b/>
                <w:sz w:val="18"/>
                <w:szCs w:val="18"/>
              </w:rPr>
              <w:t>TOTAL CONVENIOS APROBADOS</w:t>
            </w:r>
          </w:p>
        </w:tc>
        <w:tc>
          <w:tcPr>
            <w:tcW w:w="2881" w:type="dxa"/>
            <w:shd w:val="clear" w:color="auto" w:fill="auto"/>
          </w:tcPr>
          <w:p w:rsidR="00DE04E2" w:rsidRPr="001C18D3" w:rsidRDefault="00DE04E2" w:rsidP="00DE04E2">
            <w:pPr>
              <w:spacing w:line="360" w:lineRule="auto"/>
              <w:jc w:val="both"/>
              <w:rPr>
                <w:rFonts w:ascii="Arial" w:hAnsi="Arial" w:cs="Arial"/>
                <w:b/>
                <w:sz w:val="18"/>
                <w:szCs w:val="18"/>
              </w:rPr>
            </w:pPr>
            <w:r w:rsidRPr="001C18D3">
              <w:rPr>
                <w:rFonts w:ascii="Arial" w:hAnsi="Arial" w:cs="Arial"/>
                <w:b/>
                <w:sz w:val="18"/>
                <w:szCs w:val="18"/>
              </w:rPr>
              <w:t>153 CONVENIOS</w:t>
            </w:r>
          </w:p>
        </w:tc>
      </w:tr>
    </w:tbl>
    <w:p w:rsidR="00DE04E2" w:rsidRPr="001C18D3" w:rsidRDefault="00DE04E2" w:rsidP="00DE04E2">
      <w:pPr>
        <w:spacing w:before="120" w:after="120" w:line="360" w:lineRule="auto"/>
        <w:ind w:firstLine="851"/>
        <w:jc w:val="both"/>
        <w:rPr>
          <w:rFonts w:ascii="Arial" w:hAnsi="Arial" w:cs="Arial"/>
          <w:sz w:val="24"/>
          <w:szCs w:val="24"/>
        </w:rPr>
      </w:pPr>
    </w:p>
    <w:p w:rsidR="00DE04E2" w:rsidRPr="001C18D3" w:rsidRDefault="00DE04E2" w:rsidP="00DE04E2">
      <w:pPr>
        <w:spacing w:before="120" w:after="120" w:line="360" w:lineRule="auto"/>
        <w:ind w:firstLine="851"/>
        <w:jc w:val="both"/>
        <w:rPr>
          <w:rFonts w:ascii="Arial" w:hAnsi="Arial" w:cs="Arial"/>
          <w:sz w:val="24"/>
          <w:szCs w:val="24"/>
        </w:rPr>
      </w:pPr>
      <w:bookmarkStart w:id="1" w:name="_GoBack"/>
      <w:r w:rsidRPr="001C18D3">
        <w:rPr>
          <w:rFonts w:ascii="Arial" w:hAnsi="Arial" w:cs="Arial"/>
          <w:sz w:val="24"/>
          <w:szCs w:val="24"/>
        </w:rPr>
        <w:t>Por último, informamos de que, aparte de las entidades locales antes mencionadas, se están tramitando convenios con Bases aprobadas, pero que por falta de personal están paralizados en:</w:t>
      </w:r>
    </w:p>
    <w:p w:rsidR="00DE04E2" w:rsidRPr="001C18D3" w:rsidRDefault="00DE04E2" w:rsidP="00DE04E2">
      <w:pPr>
        <w:spacing w:before="120" w:after="120" w:line="360" w:lineRule="auto"/>
        <w:ind w:left="993"/>
        <w:jc w:val="both"/>
        <w:rPr>
          <w:rFonts w:ascii="Arial" w:hAnsi="Arial" w:cs="Arial"/>
          <w:sz w:val="24"/>
          <w:szCs w:val="24"/>
        </w:rPr>
      </w:pPr>
      <w:proofErr w:type="spellStart"/>
      <w:r w:rsidRPr="001C18D3">
        <w:rPr>
          <w:rFonts w:ascii="Arial" w:hAnsi="Arial" w:cs="Arial"/>
          <w:b/>
          <w:sz w:val="24"/>
          <w:szCs w:val="24"/>
        </w:rPr>
        <w:t>Intza</w:t>
      </w:r>
      <w:proofErr w:type="spellEnd"/>
      <w:r w:rsidRPr="001C18D3">
        <w:rPr>
          <w:rFonts w:ascii="Arial" w:hAnsi="Arial" w:cs="Arial"/>
          <w:sz w:val="24"/>
          <w:szCs w:val="24"/>
        </w:rPr>
        <w:t xml:space="preserve"> (</w:t>
      </w:r>
      <w:proofErr w:type="spellStart"/>
      <w:r w:rsidRPr="001C18D3">
        <w:rPr>
          <w:rFonts w:ascii="Arial" w:hAnsi="Arial" w:cs="Arial"/>
          <w:sz w:val="24"/>
          <w:szCs w:val="24"/>
        </w:rPr>
        <w:t>Araitz</w:t>
      </w:r>
      <w:proofErr w:type="spellEnd"/>
      <w:r w:rsidRPr="001C18D3">
        <w:rPr>
          <w:rFonts w:ascii="Arial" w:hAnsi="Arial" w:cs="Arial"/>
          <w:sz w:val="24"/>
          <w:szCs w:val="24"/>
        </w:rPr>
        <w:t xml:space="preserve">). Bases aprobadas por </w:t>
      </w:r>
      <w:proofErr w:type="spellStart"/>
      <w:r w:rsidRPr="001C18D3">
        <w:rPr>
          <w:rFonts w:ascii="Arial" w:hAnsi="Arial" w:cs="Arial"/>
          <w:sz w:val="24"/>
          <w:szCs w:val="24"/>
        </w:rPr>
        <w:t>Acdo</w:t>
      </w:r>
      <w:proofErr w:type="spellEnd"/>
      <w:r w:rsidRPr="001C18D3">
        <w:rPr>
          <w:rFonts w:ascii="Arial" w:hAnsi="Arial" w:cs="Arial"/>
          <w:sz w:val="24"/>
          <w:szCs w:val="24"/>
        </w:rPr>
        <w:t xml:space="preserve"> GN 03/03/2008.  </w:t>
      </w:r>
    </w:p>
    <w:p w:rsidR="00DE04E2" w:rsidRPr="001C18D3" w:rsidRDefault="00DE04E2" w:rsidP="00DE04E2">
      <w:pPr>
        <w:spacing w:before="120" w:after="120" w:line="360" w:lineRule="auto"/>
        <w:ind w:left="993"/>
        <w:jc w:val="both"/>
        <w:rPr>
          <w:rFonts w:ascii="Arial" w:hAnsi="Arial" w:cs="Arial"/>
          <w:sz w:val="24"/>
          <w:szCs w:val="24"/>
        </w:rPr>
      </w:pPr>
      <w:proofErr w:type="spellStart"/>
      <w:r w:rsidRPr="001C18D3">
        <w:rPr>
          <w:rFonts w:ascii="Arial" w:hAnsi="Arial" w:cs="Arial"/>
          <w:b/>
          <w:sz w:val="24"/>
          <w:szCs w:val="24"/>
        </w:rPr>
        <w:t>Legasa</w:t>
      </w:r>
      <w:proofErr w:type="spellEnd"/>
      <w:r w:rsidRPr="001C18D3">
        <w:rPr>
          <w:rFonts w:ascii="Arial" w:hAnsi="Arial" w:cs="Arial"/>
          <w:sz w:val="24"/>
          <w:szCs w:val="24"/>
        </w:rPr>
        <w:t xml:space="preserve"> (</w:t>
      </w:r>
      <w:proofErr w:type="spellStart"/>
      <w:r w:rsidRPr="001C18D3">
        <w:rPr>
          <w:rFonts w:ascii="Arial" w:hAnsi="Arial" w:cs="Arial"/>
          <w:sz w:val="24"/>
          <w:szCs w:val="24"/>
        </w:rPr>
        <w:t>Bertizarana</w:t>
      </w:r>
      <w:proofErr w:type="spellEnd"/>
      <w:r w:rsidRPr="001C18D3">
        <w:rPr>
          <w:rFonts w:ascii="Arial" w:hAnsi="Arial" w:cs="Arial"/>
          <w:sz w:val="24"/>
          <w:szCs w:val="24"/>
        </w:rPr>
        <w:t xml:space="preserve">): Bases aprobadas por </w:t>
      </w:r>
      <w:proofErr w:type="spellStart"/>
      <w:r w:rsidRPr="001C18D3">
        <w:rPr>
          <w:rFonts w:ascii="Arial" w:hAnsi="Arial" w:cs="Arial"/>
          <w:sz w:val="24"/>
          <w:szCs w:val="24"/>
        </w:rPr>
        <w:t>Acdo</w:t>
      </w:r>
      <w:proofErr w:type="spellEnd"/>
      <w:r w:rsidRPr="001C18D3">
        <w:rPr>
          <w:rFonts w:ascii="Arial" w:hAnsi="Arial" w:cs="Arial"/>
          <w:sz w:val="24"/>
          <w:szCs w:val="24"/>
        </w:rPr>
        <w:t xml:space="preserve"> GN 02/07/2007. </w:t>
      </w:r>
    </w:p>
    <w:p w:rsidR="00B50004"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Por otra parte, informamos que tanto </w:t>
      </w:r>
      <w:proofErr w:type="spellStart"/>
      <w:r w:rsidRPr="001C18D3">
        <w:rPr>
          <w:rFonts w:ascii="Arial" w:hAnsi="Arial" w:cs="Arial"/>
          <w:sz w:val="24"/>
          <w:szCs w:val="24"/>
        </w:rPr>
        <w:t>Ituren</w:t>
      </w:r>
      <w:proofErr w:type="spellEnd"/>
      <w:r w:rsidRPr="001C18D3">
        <w:rPr>
          <w:rFonts w:ascii="Arial" w:hAnsi="Arial" w:cs="Arial"/>
          <w:sz w:val="24"/>
          <w:szCs w:val="24"/>
        </w:rPr>
        <w:t xml:space="preserve"> como </w:t>
      </w:r>
      <w:proofErr w:type="spellStart"/>
      <w:r w:rsidRPr="001C18D3">
        <w:rPr>
          <w:rFonts w:ascii="Arial" w:hAnsi="Arial" w:cs="Arial"/>
          <w:sz w:val="24"/>
          <w:szCs w:val="24"/>
        </w:rPr>
        <w:t>Beintza-Labayen</w:t>
      </w:r>
      <w:proofErr w:type="spellEnd"/>
      <w:r w:rsidRPr="001C18D3">
        <w:rPr>
          <w:rFonts w:ascii="Arial" w:hAnsi="Arial" w:cs="Arial"/>
          <w:sz w:val="24"/>
          <w:szCs w:val="24"/>
        </w:rPr>
        <w:t xml:space="preserve"> han manifestado voluntad de iniciar convenios y que </w:t>
      </w:r>
      <w:proofErr w:type="spellStart"/>
      <w:r w:rsidRPr="001C18D3">
        <w:rPr>
          <w:rFonts w:ascii="Arial" w:hAnsi="Arial" w:cs="Arial"/>
          <w:sz w:val="24"/>
          <w:szCs w:val="24"/>
        </w:rPr>
        <w:t>Baztan</w:t>
      </w:r>
      <w:proofErr w:type="spellEnd"/>
      <w:r w:rsidRPr="001C18D3">
        <w:rPr>
          <w:rFonts w:ascii="Arial" w:hAnsi="Arial" w:cs="Arial"/>
          <w:sz w:val="24"/>
          <w:szCs w:val="24"/>
        </w:rPr>
        <w:t xml:space="preserve"> está planteándose algo similar con los caseríos de </w:t>
      </w:r>
      <w:proofErr w:type="spellStart"/>
      <w:r w:rsidRPr="001C18D3">
        <w:rPr>
          <w:rFonts w:ascii="Arial" w:hAnsi="Arial" w:cs="Arial"/>
          <w:sz w:val="24"/>
          <w:szCs w:val="24"/>
        </w:rPr>
        <w:t>Zugarramurdi</w:t>
      </w:r>
      <w:proofErr w:type="spellEnd"/>
      <w:r w:rsidRPr="001C18D3">
        <w:rPr>
          <w:rFonts w:ascii="Arial" w:hAnsi="Arial" w:cs="Arial"/>
          <w:sz w:val="24"/>
          <w:szCs w:val="24"/>
        </w:rPr>
        <w:t xml:space="preserve"> que radican en su término municipal.</w:t>
      </w:r>
    </w:p>
    <w:p w:rsidR="00DE04E2" w:rsidRPr="001C18D3" w:rsidRDefault="00DE04E2" w:rsidP="00DE04E2">
      <w:pPr>
        <w:spacing w:before="120" w:after="120" w:line="360" w:lineRule="auto"/>
        <w:ind w:hanging="357"/>
        <w:jc w:val="both"/>
        <w:rPr>
          <w:rFonts w:ascii="Arial" w:hAnsi="Arial" w:cs="Arial"/>
          <w:b/>
          <w:sz w:val="24"/>
          <w:szCs w:val="24"/>
          <w:u w:val="single"/>
        </w:rPr>
      </w:pPr>
      <w:r w:rsidRPr="001C18D3">
        <w:rPr>
          <w:rFonts w:ascii="Arial" w:hAnsi="Arial" w:cs="Arial"/>
          <w:b/>
          <w:sz w:val="24"/>
          <w:szCs w:val="24"/>
          <w:u w:val="single"/>
        </w:rPr>
        <w:t>2ª Pregunta</w:t>
      </w:r>
    </w:p>
    <w:p w:rsidR="00DE04E2" w:rsidRPr="001C18D3" w:rsidRDefault="00DE04E2" w:rsidP="00DE04E2">
      <w:pPr>
        <w:spacing w:before="120" w:after="120" w:line="360" w:lineRule="auto"/>
        <w:jc w:val="both"/>
        <w:rPr>
          <w:rFonts w:ascii="Arial" w:hAnsi="Arial" w:cs="Arial"/>
          <w:b/>
          <w:sz w:val="24"/>
          <w:szCs w:val="24"/>
          <w:u w:val="single"/>
        </w:rPr>
      </w:pPr>
      <w:r w:rsidRPr="001C18D3">
        <w:rPr>
          <w:rFonts w:ascii="Arial" w:hAnsi="Arial" w:cs="Arial"/>
          <w:b/>
          <w:sz w:val="24"/>
          <w:szCs w:val="24"/>
          <w:u w:val="single"/>
        </w:rPr>
        <w:t>¿Cuál es durante ese periodo el tiempo medio de respuesta en la emisión del informe por el Servicio?</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Tal como se puede comprobar en la relación de trámites y gestiones que requiere la tramitación de un Convenio Transaccional sobre Bienes Comunales, son numerosos los problemas que </w:t>
      </w:r>
      <w:proofErr w:type="gramStart"/>
      <w:r w:rsidRPr="001C18D3">
        <w:rPr>
          <w:rFonts w:ascii="Arial" w:hAnsi="Arial" w:cs="Arial"/>
          <w:sz w:val="24"/>
          <w:szCs w:val="24"/>
        </w:rPr>
        <w:t>puede</w:t>
      </w:r>
      <w:proofErr w:type="gramEnd"/>
      <w:r w:rsidRPr="001C18D3">
        <w:rPr>
          <w:rFonts w:ascii="Arial" w:hAnsi="Arial" w:cs="Arial"/>
          <w:sz w:val="24"/>
          <w:szCs w:val="24"/>
        </w:rPr>
        <w:t xml:space="preserve"> surgir en los mismos que pueden retrasar o, incluso, paralizar la tramitación del Convenio.</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Asimismo, es muy diferente el grado de complejidad que puede presentar cada uno de los diferentes Convenios que se presenten para su estudio y análisis. </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Por tanto, es muy difícil determinar de antemano cu</w:t>
      </w:r>
      <w:r w:rsidR="00A5517D" w:rsidRPr="001C18D3">
        <w:rPr>
          <w:rFonts w:ascii="Arial" w:hAnsi="Arial" w:cs="Arial"/>
          <w:sz w:val="24"/>
          <w:szCs w:val="24"/>
        </w:rPr>
        <w:t>á</w:t>
      </w:r>
      <w:r w:rsidRPr="001C18D3">
        <w:rPr>
          <w:rFonts w:ascii="Arial" w:hAnsi="Arial" w:cs="Arial"/>
          <w:sz w:val="24"/>
          <w:szCs w:val="24"/>
        </w:rPr>
        <w:t>l puede ser el tiempo de respuesta en la emisión de un Informe al respecto por parte de la Sección de Comunales, ya que puede variar en función de los diferentes problemas que puedan encontrase en el propio expediente.</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Además, también estará influenciado por el resto de labores a las que la Sección de Comunales debe atender.</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Por tanto, el tiempo necesario para la emisión del Informe puede variar, habiendo casos que se informan en un mes mientras que en otros casos puede tardarse incluso años.</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lastRenderedPageBreak/>
        <w:t>No obstante, el tiempo medio para la emisión de informe, si no se producen especiales complicaciones, suele ser de unos 3 meses.</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Otra cuestión aparte, pero no de menor importancia, es el tiempo medio que cuesta finalizar un Convenio Transaccional, considerando que no puede darse por concluido y resuelto hasta que no se haya procedido a su elevación a escritura pública, a su inscripción en el Registro de la Propiedad (anulando las inscripciones anteriores que lo contradigan) y quede correctamente reflejado en el Catastro de rústica.</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Este tiempo para finalizar, concluir y resolver los Convenios se alarga por los problemas y costes que suele acarrear tanto la elevación a escritura pública y su inscripción en el Registro de la Propiedad como la inclusión en catastro de las fincas adjudicadas. Cuestiones que son competencia de las Entidades Locales y no de la Sección de Comunales.</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Así, por ejemplo, en el municipio de </w:t>
      </w:r>
      <w:proofErr w:type="spellStart"/>
      <w:r w:rsidRPr="001C18D3">
        <w:rPr>
          <w:rFonts w:ascii="Arial" w:hAnsi="Arial" w:cs="Arial"/>
          <w:sz w:val="24"/>
          <w:szCs w:val="24"/>
        </w:rPr>
        <w:t>Lesaka</w:t>
      </w:r>
      <w:proofErr w:type="spellEnd"/>
      <w:r w:rsidRPr="001C18D3">
        <w:rPr>
          <w:rFonts w:ascii="Arial" w:hAnsi="Arial" w:cs="Arial"/>
          <w:sz w:val="24"/>
          <w:szCs w:val="24"/>
        </w:rPr>
        <w:t xml:space="preserve"> suele ser de 3 o 4 años. Sin embargo, hay otras localidades como </w:t>
      </w:r>
      <w:proofErr w:type="spellStart"/>
      <w:r w:rsidRPr="001C18D3">
        <w:rPr>
          <w:rFonts w:ascii="Arial" w:hAnsi="Arial" w:cs="Arial"/>
          <w:sz w:val="24"/>
          <w:szCs w:val="24"/>
        </w:rPr>
        <w:t>Arantza</w:t>
      </w:r>
      <w:proofErr w:type="spellEnd"/>
      <w:r w:rsidRPr="001C18D3">
        <w:rPr>
          <w:rFonts w:ascii="Arial" w:hAnsi="Arial" w:cs="Arial"/>
          <w:sz w:val="24"/>
          <w:szCs w:val="24"/>
        </w:rPr>
        <w:t xml:space="preserve"> o </w:t>
      </w:r>
      <w:proofErr w:type="spellStart"/>
      <w:r w:rsidRPr="001C18D3">
        <w:rPr>
          <w:rFonts w:ascii="Arial" w:hAnsi="Arial" w:cs="Arial"/>
          <w:sz w:val="24"/>
          <w:szCs w:val="24"/>
        </w:rPr>
        <w:t>Igantzi</w:t>
      </w:r>
      <w:proofErr w:type="spellEnd"/>
      <w:r w:rsidRPr="001C18D3">
        <w:rPr>
          <w:rFonts w:ascii="Arial" w:hAnsi="Arial" w:cs="Arial"/>
          <w:sz w:val="24"/>
          <w:szCs w:val="24"/>
        </w:rPr>
        <w:t xml:space="preserve"> aún no se han escriturado sus convenios aprobados hace 30 años, o sin reflejar las fincas en catastro como es el caso de </w:t>
      </w:r>
      <w:proofErr w:type="spellStart"/>
      <w:r w:rsidRPr="001C18D3">
        <w:rPr>
          <w:rFonts w:ascii="Arial" w:hAnsi="Arial" w:cs="Arial"/>
          <w:sz w:val="24"/>
          <w:szCs w:val="24"/>
        </w:rPr>
        <w:t>Eratsun</w:t>
      </w:r>
      <w:proofErr w:type="spellEnd"/>
      <w:r w:rsidRPr="001C18D3">
        <w:rPr>
          <w:rFonts w:ascii="Arial" w:hAnsi="Arial" w:cs="Arial"/>
          <w:sz w:val="24"/>
          <w:szCs w:val="24"/>
        </w:rPr>
        <w:t>.</w:t>
      </w:r>
    </w:p>
    <w:p w:rsidR="00B50004"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Debemos hacer hincapié en los problemas que genera y acarrea a medio plazo la no escrituración de los convenios, o su no inscripción en el Registro de la Propiedad o no quedar correctamente </w:t>
      </w:r>
      <w:proofErr w:type="spellStart"/>
      <w:r w:rsidRPr="001C18D3">
        <w:rPr>
          <w:rFonts w:ascii="Arial" w:hAnsi="Arial" w:cs="Arial"/>
          <w:sz w:val="24"/>
          <w:szCs w:val="24"/>
        </w:rPr>
        <w:t>encatastrados</w:t>
      </w:r>
      <w:proofErr w:type="spellEnd"/>
      <w:r w:rsidRPr="001C18D3">
        <w:rPr>
          <w:rFonts w:ascii="Arial" w:hAnsi="Arial" w:cs="Arial"/>
          <w:sz w:val="24"/>
          <w:szCs w:val="24"/>
        </w:rPr>
        <w:t>.</w:t>
      </w:r>
    </w:p>
    <w:p w:rsidR="00DE04E2" w:rsidRPr="001C18D3" w:rsidRDefault="00DE04E2" w:rsidP="00DE04E2">
      <w:pPr>
        <w:spacing w:before="120" w:after="120" w:line="360" w:lineRule="auto"/>
        <w:ind w:hanging="357"/>
        <w:jc w:val="both"/>
        <w:rPr>
          <w:rFonts w:ascii="Arial" w:hAnsi="Arial" w:cs="Arial"/>
          <w:b/>
          <w:sz w:val="24"/>
          <w:szCs w:val="24"/>
          <w:u w:val="single"/>
        </w:rPr>
      </w:pPr>
      <w:r w:rsidRPr="001C18D3">
        <w:rPr>
          <w:rFonts w:ascii="Arial" w:hAnsi="Arial" w:cs="Arial"/>
          <w:b/>
          <w:sz w:val="24"/>
          <w:szCs w:val="24"/>
          <w:u w:val="single"/>
        </w:rPr>
        <w:t>3ª Pregunta</w:t>
      </w:r>
    </w:p>
    <w:p w:rsidR="00DE04E2" w:rsidRPr="001C18D3" w:rsidRDefault="00DE04E2" w:rsidP="00DE04E2">
      <w:pPr>
        <w:spacing w:before="120" w:after="120" w:line="360" w:lineRule="auto"/>
        <w:jc w:val="both"/>
        <w:rPr>
          <w:rFonts w:ascii="Arial" w:hAnsi="Arial" w:cs="Arial"/>
          <w:b/>
          <w:sz w:val="24"/>
          <w:szCs w:val="24"/>
          <w:u w:val="single"/>
        </w:rPr>
      </w:pPr>
      <w:r w:rsidRPr="001C18D3">
        <w:rPr>
          <w:rFonts w:ascii="Arial" w:hAnsi="Arial" w:cs="Arial"/>
          <w:b/>
          <w:sz w:val="24"/>
          <w:szCs w:val="24"/>
          <w:u w:val="single"/>
        </w:rPr>
        <w:t>¿Cuántos de ellos se encuentran en la actualidad sin ser respondidos por dicho Servicio? ¿A qué entidades locales se refieren?</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En estos momentos únicamente los Convenios de </w:t>
      </w:r>
      <w:proofErr w:type="spellStart"/>
      <w:r w:rsidRPr="001C18D3">
        <w:rPr>
          <w:rFonts w:ascii="Arial" w:hAnsi="Arial" w:cs="Arial"/>
          <w:sz w:val="24"/>
          <w:szCs w:val="24"/>
        </w:rPr>
        <w:t>Lesaka</w:t>
      </w:r>
      <w:proofErr w:type="spellEnd"/>
      <w:r w:rsidRPr="001C18D3">
        <w:rPr>
          <w:rFonts w:ascii="Arial" w:hAnsi="Arial" w:cs="Arial"/>
          <w:sz w:val="24"/>
          <w:szCs w:val="24"/>
        </w:rPr>
        <w:t xml:space="preserve"> y </w:t>
      </w:r>
      <w:proofErr w:type="spellStart"/>
      <w:r w:rsidRPr="001C18D3">
        <w:rPr>
          <w:rFonts w:ascii="Arial" w:hAnsi="Arial" w:cs="Arial"/>
          <w:sz w:val="24"/>
          <w:szCs w:val="24"/>
        </w:rPr>
        <w:t>Goizueta</w:t>
      </w:r>
      <w:proofErr w:type="spellEnd"/>
      <w:r w:rsidRPr="001C18D3">
        <w:rPr>
          <w:rFonts w:ascii="Arial" w:hAnsi="Arial" w:cs="Arial"/>
          <w:sz w:val="24"/>
          <w:szCs w:val="24"/>
        </w:rPr>
        <w:t xml:space="preserve"> están a la espera de Informes por parte de la Sección de Comunales, siendo estos los únicos que están actualmente en tramitación, presentando la siguiente situación:</w:t>
      </w:r>
    </w:p>
    <w:p w:rsidR="00DE04E2"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LESAKA</w:t>
      </w:r>
    </w:p>
    <w:p w:rsidR="00DE04E2" w:rsidRPr="001C18D3" w:rsidRDefault="00DE04E2" w:rsidP="00DE04E2">
      <w:pPr>
        <w:numPr>
          <w:ilvl w:val="0"/>
          <w:numId w:val="13"/>
        </w:numPr>
        <w:spacing w:before="120" w:after="120" w:line="360" w:lineRule="auto"/>
        <w:jc w:val="both"/>
        <w:rPr>
          <w:rFonts w:ascii="Arial" w:hAnsi="Arial" w:cs="Arial"/>
          <w:sz w:val="24"/>
          <w:szCs w:val="24"/>
        </w:rPr>
      </w:pPr>
      <w:r w:rsidRPr="001C18D3">
        <w:rPr>
          <w:rFonts w:ascii="Arial" w:hAnsi="Arial" w:cs="Arial"/>
          <w:sz w:val="24"/>
          <w:szCs w:val="24"/>
        </w:rPr>
        <w:t>A falta de ser informados, 11 convenios</w:t>
      </w:r>
    </w:p>
    <w:p w:rsidR="00DE04E2" w:rsidRPr="001C18D3" w:rsidRDefault="00DE04E2" w:rsidP="00DE04E2">
      <w:pPr>
        <w:numPr>
          <w:ilvl w:val="0"/>
          <w:numId w:val="13"/>
        </w:numPr>
        <w:spacing w:before="120" w:after="120" w:line="360" w:lineRule="auto"/>
        <w:jc w:val="both"/>
        <w:rPr>
          <w:rFonts w:ascii="Arial" w:hAnsi="Arial" w:cs="Arial"/>
          <w:sz w:val="24"/>
          <w:szCs w:val="24"/>
        </w:rPr>
      </w:pPr>
      <w:r w:rsidRPr="001C18D3">
        <w:rPr>
          <w:rFonts w:ascii="Arial" w:hAnsi="Arial" w:cs="Arial"/>
          <w:sz w:val="24"/>
          <w:szCs w:val="24"/>
        </w:rPr>
        <w:t>Con problemas con colindantes o escrituras, 6 convenios</w:t>
      </w:r>
    </w:p>
    <w:p w:rsidR="00DE04E2" w:rsidRPr="001C18D3" w:rsidRDefault="00DE04E2" w:rsidP="00DE04E2">
      <w:pPr>
        <w:numPr>
          <w:ilvl w:val="0"/>
          <w:numId w:val="13"/>
        </w:numPr>
        <w:spacing w:before="120" w:after="120" w:line="360" w:lineRule="auto"/>
        <w:ind w:left="714" w:hanging="357"/>
        <w:jc w:val="both"/>
        <w:rPr>
          <w:rFonts w:ascii="Arial" w:hAnsi="Arial" w:cs="Arial"/>
          <w:sz w:val="24"/>
          <w:szCs w:val="24"/>
        </w:rPr>
      </w:pPr>
      <w:r w:rsidRPr="001C18D3">
        <w:rPr>
          <w:rFonts w:ascii="Arial" w:hAnsi="Arial" w:cs="Arial"/>
          <w:sz w:val="24"/>
          <w:szCs w:val="24"/>
        </w:rPr>
        <w:lastRenderedPageBreak/>
        <w:t>Esperando que sean remitidos por el Ayuntamiento, 10 convenios</w:t>
      </w:r>
    </w:p>
    <w:p w:rsidR="00DE04E2" w:rsidRPr="001C18D3" w:rsidRDefault="00DE04E2" w:rsidP="00DE04E2">
      <w:pPr>
        <w:numPr>
          <w:ilvl w:val="0"/>
          <w:numId w:val="13"/>
        </w:numPr>
        <w:spacing w:before="120" w:after="120" w:line="360" w:lineRule="auto"/>
        <w:jc w:val="both"/>
        <w:rPr>
          <w:rFonts w:ascii="Arial" w:hAnsi="Arial" w:cs="Arial"/>
          <w:sz w:val="24"/>
          <w:szCs w:val="24"/>
        </w:rPr>
      </w:pPr>
      <w:r w:rsidRPr="001C18D3">
        <w:rPr>
          <w:rFonts w:ascii="Arial" w:hAnsi="Arial" w:cs="Arial"/>
          <w:sz w:val="24"/>
          <w:szCs w:val="24"/>
        </w:rPr>
        <w:t xml:space="preserve">A falta de ser amojonados, 18 convenios </w:t>
      </w:r>
    </w:p>
    <w:p w:rsidR="00DE04E2" w:rsidRPr="001C18D3" w:rsidRDefault="00DE04E2" w:rsidP="00DE04E2">
      <w:pPr>
        <w:spacing w:before="120" w:after="120" w:line="360" w:lineRule="auto"/>
        <w:ind w:left="720"/>
        <w:jc w:val="both"/>
        <w:rPr>
          <w:rFonts w:ascii="Arial" w:hAnsi="Arial" w:cs="Arial"/>
          <w:sz w:val="24"/>
          <w:szCs w:val="24"/>
        </w:rPr>
      </w:pPr>
      <w:r w:rsidRPr="001C18D3">
        <w:rPr>
          <w:rFonts w:ascii="Arial" w:hAnsi="Arial" w:cs="Arial"/>
          <w:sz w:val="24"/>
          <w:szCs w:val="24"/>
        </w:rPr>
        <w:t>GOIZUETA</w:t>
      </w:r>
    </w:p>
    <w:p w:rsidR="00B50004" w:rsidRPr="001C18D3" w:rsidRDefault="00DE04E2" w:rsidP="00DE04E2">
      <w:pPr>
        <w:pStyle w:val="Prrafodelista"/>
        <w:numPr>
          <w:ilvl w:val="0"/>
          <w:numId w:val="13"/>
        </w:numPr>
        <w:spacing w:before="120" w:after="120" w:line="360" w:lineRule="auto"/>
        <w:contextualSpacing/>
        <w:jc w:val="both"/>
        <w:rPr>
          <w:rFonts w:ascii="Arial" w:hAnsi="Arial" w:cs="Arial"/>
          <w:sz w:val="24"/>
          <w:szCs w:val="24"/>
        </w:rPr>
      </w:pPr>
      <w:r w:rsidRPr="001C18D3">
        <w:rPr>
          <w:rFonts w:ascii="Arial" w:hAnsi="Arial" w:cs="Arial"/>
          <w:sz w:val="24"/>
          <w:szCs w:val="24"/>
        </w:rPr>
        <w:t>A falta de ser informados 15 convenios</w:t>
      </w:r>
    </w:p>
    <w:p w:rsidR="00DE04E2" w:rsidRPr="001C18D3" w:rsidRDefault="00DE04E2" w:rsidP="00DE04E2">
      <w:pPr>
        <w:spacing w:before="120" w:after="120" w:line="360" w:lineRule="auto"/>
        <w:ind w:hanging="357"/>
        <w:jc w:val="both"/>
        <w:rPr>
          <w:rFonts w:ascii="Arial" w:hAnsi="Arial" w:cs="Arial"/>
          <w:b/>
          <w:sz w:val="24"/>
          <w:szCs w:val="24"/>
          <w:u w:val="single"/>
        </w:rPr>
      </w:pPr>
      <w:r w:rsidRPr="001C18D3">
        <w:rPr>
          <w:rFonts w:ascii="Arial" w:hAnsi="Arial" w:cs="Arial"/>
          <w:b/>
          <w:sz w:val="24"/>
          <w:szCs w:val="24"/>
          <w:u w:val="single"/>
        </w:rPr>
        <w:t>4ª Pregunta</w:t>
      </w:r>
    </w:p>
    <w:p w:rsidR="00DE04E2" w:rsidRPr="001C18D3" w:rsidRDefault="00DE04E2" w:rsidP="00DE04E2">
      <w:pPr>
        <w:spacing w:before="120" w:after="120" w:line="360" w:lineRule="auto"/>
        <w:jc w:val="both"/>
        <w:rPr>
          <w:rFonts w:ascii="Arial" w:hAnsi="Arial" w:cs="Arial"/>
          <w:b/>
          <w:sz w:val="24"/>
          <w:szCs w:val="24"/>
          <w:u w:val="single"/>
        </w:rPr>
      </w:pPr>
      <w:r w:rsidRPr="001C18D3">
        <w:rPr>
          <w:rFonts w:ascii="Arial" w:hAnsi="Arial" w:cs="Arial"/>
          <w:b/>
          <w:sz w:val="24"/>
          <w:szCs w:val="24"/>
          <w:u w:val="single"/>
        </w:rPr>
        <w:t>¿Cuántos convenios hay pendientes de aprobación por el Gobierno de Navarra, tras amojonamiento, levantamiento de planos y conformidad de interesados hay en este momento?</w:t>
      </w:r>
      <w:r w:rsidRPr="001C18D3">
        <w:rPr>
          <w:rFonts w:ascii="Arial" w:hAnsi="Arial" w:cs="Arial"/>
          <w:sz w:val="24"/>
          <w:szCs w:val="24"/>
          <w:u w:val="single"/>
        </w:rPr>
        <w:t xml:space="preserve">  </w:t>
      </w:r>
    </w:p>
    <w:p w:rsidR="00B50004" w:rsidRPr="001C18D3" w:rsidRDefault="00DE04E2" w:rsidP="00DE04E2">
      <w:pPr>
        <w:spacing w:before="120" w:after="120" w:line="360" w:lineRule="auto"/>
        <w:ind w:firstLine="709"/>
        <w:jc w:val="both"/>
        <w:rPr>
          <w:rFonts w:ascii="Arial" w:hAnsi="Arial" w:cs="Arial"/>
          <w:sz w:val="24"/>
          <w:szCs w:val="24"/>
        </w:rPr>
      </w:pPr>
      <w:r w:rsidRPr="001C18D3">
        <w:rPr>
          <w:rFonts w:ascii="Arial" w:hAnsi="Arial" w:cs="Arial"/>
          <w:sz w:val="24"/>
          <w:szCs w:val="24"/>
        </w:rPr>
        <w:t xml:space="preserve">En estos momentos, solamente hay 3 convenios en </w:t>
      </w:r>
      <w:proofErr w:type="spellStart"/>
      <w:r w:rsidRPr="001C18D3">
        <w:rPr>
          <w:rFonts w:ascii="Arial" w:hAnsi="Arial" w:cs="Arial"/>
          <w:sz w:val="24"/>
          <w:szCs w:val="24"/>
        </w:rPr>
        <w:t>Lesaka</w:t>
      </w:r>
      <w:proofErr w:type="spellEnd"/>
      <w:r w:rsidRPr="001C18D3">
        <w:rPr>
          <w:rFonts w:ascii="Arial" w:hAnsi="Arial" w:cs="Arial"/>
          <w:sz w:val="24"/>
          <w:szCs w:val="24"/>
        </w:rPr>
        <w:t xml:space="preserve"> pendientes de su aprobación por parte del Gobierno de Navarra.</w:t>
      </w:r>
    </w:p>
    <w:p w:rsidR="00B50004" w:rsidRPr="001C18D3" w:rsidRDefault="00E44044" w:rsidP="00E44044">
      <w:pPr>
        <w:spacing w:line="360" w:lineRule="auto"/>
        <w:jc w:val="center"/>
        <w:rPr>
          <w:rFonts w:ascii="Arial" w:hAnsi="Arial" w:cs="Arial"/>
          <w:sz w:val="24"/>
          <w:szCs w:val="24"/>
        </w:rPr>
      </w:pPr>
      <w:r w:rsidRPr="001C18D3">
        <w:rPr>
          <w:rFonts w:ascii="Arial" w:hAnsi="Arial" w:cs="Arial"/>
          <w:sz w:val="24"/>
          <w:szCs w:val="24"/>
        </w:rPr>
        <w:t xml:space="preserve">Pamplona, </w:t>
      </w:r>
      <w:r w:rsidR="00AC1274" w:rsidRPr="001C18D3">
        <w:rPr>
          <w:rFonts w:ascii="Arial" w:hAnsi="Arial" w:cs="Arial"/>
          <w:sz w:val="24"/>
          <w:szCs w:val="24"/>
        </w:rPr>
        <w:t>12</w:t>
      </w:r>
      <w:r w:rsidR="00DE04E2" w:rsidRPr="001C18D3">
        <w:rPr>
          <w:rFonts w:ascii="Arial" w:hAnsi="Arial" w:cs="Arial"/>
          <w:sz w:val="24"/>
          <w:szCs w:val="24"/>
        </w:rPr>
        <w:t xml:space="preserve"> de febrero de 2021</w:t>
      </w:r>
    </w:p>
    <w:p w:rsidR="00A5517D" w:rsidRPr="001C18D3" w:rsidRDefault="00A20DEA" w:rsidP="00A20DEA">
      <w:pPr>
        <w:spacing w:line="360" w:lineRule="auto"/>
        <w:jc w:val="center"/>
        <w:rPr>
          <w:rFonts w:ascii="Arial" w:hAnsi="Arial" w:cs="Arial"/>
          <w:sz w:val="24"/>
          <w:szCs w:val="24"/>
        </w:rPr>
      </w:pPr>
      <w:r w:rsidRPr="001C18D3">
        <w:rPr>
          <w:rFonts w:ascii="Arial" w:hAnsi="Arial" w:cs="Arial"/>
          <w:sz w:val="24"/>
          <w:szCs w:val="24"/>
        </w:rPr>
        <w:t xml:space="preserve">La Consejera de Desarrollo Rural y Medio Ambiente: </w:t>
      </w:r>
      <w:r w:rsidR="00E44044" w:rsidRPr="001C18D3">
        <w:rPr>
          <w:rFonts w:ascii="Arial" w:hAnsi="Arial" w:cs="Arial"/>
          <w:sz w:val="24"/>
          <w:szCs w:val="24"/>
        </w:rPr>
        <w:t>Itziar Gómez López</w:t>
      </w:r>
      <w:bookmarkEnd w:id="1"/>
    </w:p>
    <w:sectPr w:rsidR="00A5517D" w:rsidRPr="001C18D3" w:rsidSect="00B50004">
      <w:headerReference w:type="default" r:id="rId9"/>
      <w:headerReference w:type="first" r:id="rId10"/>
      <w:footerReference w:type="first" r:id="rId11"/>
      <w:type w:val="continuous"/>
      <w:pgSz w:w="11906" w:h="16838" w:code="9"/>
      <w:pgMar w:top="1701" w:right="1134" w:bottom="1701" w:left="1701" w:header="709"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BF" w:rsidRDefault="003401BF">
      <w:r>
        <w:separator/>
      </w:r>
    </w:p>
  </w:endnote>
  <w:endnote w:type="continuationSeparator" w:id="0">
    <w:p w:rsidR="003401BF" w:rsidRDefault="003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4540B7">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4540B7">
      <w:rPr>
        <w:noProof/>
        <w:sz w:val="12"/>
      </w:rPr>
      <w:t>6</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BF" w:rsidRDefault="003401BF">
      <w:r>
        <w:separator/>
      </w:r>
    </w:p>
  </w:footnote>
  <w:footnote w:type="continuationSeparator" w:id="0">
    <w:p w:rsidR="003401BF" w:rsidRDefault="00340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8" w:type="dxa"/>
      <w:tblLook w:val="04A0" w:firstRow="1" w:lastRow="0" w:firstColumn="1" w:lastColumn="0" w:noHBand="0" w:noVBand="1"/>
    </w:tblPr>
    <w:tblGrid>
      <w:gridCol w:w="2802"/>
      <w:gridCol w:w="425"/>
      <w:gridCol w:w="6946"/>
      <w:gridCol w:w="274"/>
      <w:gridCol w:w="681"/>
    </w:tblGrid>
    <w:tr w:rsidR="00E44044" w:rsidTr="00672666">
      <w:tc>
        <w:tcPr>
          <w:tcW w:w="2802" w:type="dxa"/>
        </w:tcPr>
        <w:p w:rsidR="00E44044" w:rsidRDefault="00E44044" w:rsidP="00452FD2">
          <w:pPr>
            <w:rPr>
              <w:rFonts w:ascii="Calibri" w:eastAsia="Calibri" w:hAnsi="Calibri"/>
              <w:sz w:val="16"/>
              <w:szCs w:val="16"/>
            </w:rPr>
          </w:pPr>
        </w:p>
        <w:p w:rsidR="00E44044" w:rsidRDefault="00E44044" w:rsidP="00452FD2">
          <w:pPr>
            <w:tabs>
              <w:tab w:val="right" w:pos="2019"/>
            </w:tabs>
            <w:rPr>
              <w:rFonts w:ascii="Calibri" w:eastAsia="Calibri" w:hAnsi="Calibri"/>
              <w:sz w:val="16"/>
              <w:szCs w:val="16"/>
            </w:rPr>
          </w:pPr>
          <w:r>
            <w:rPr>
              <w:rFonts w:ascii="Calibri" w:eastAsia="Calibri" w:hAnsi="Calibri"/>
              <w:sz w:val="16"/>
              <w:szCs w:val="16"/>
            </w:rPr>
            <w:t>Itziar Gómez López</w:t>
          </w:r>
          <w:r>
            <w:rPr>
              <w:rFonts w:ascii="Calibri" w:eastAsia="Calibri" w:hAnsi="Calibri"/>
              <w:sz w:val="16"/>
              <w:szCs w:val="16"/>
            </w:rPr>
            <w:tab/>
          </w:r>
        </w:p>
        <w:p w:rsidR="00E44044" w:rsidRDefault="00E44044" w:rsidP="00452FD2">
          <w:pPr>
            <w:rPr>
              <w:rFonts w:ascii="Calibri" w:eastAsia="Calibri" w:hAnsi="Calibri"/>
              <w:sz w:val="16"/>
              <w:szCs w:val="16"/>
            </w:rPr>
          </w:pPr>
          <w:proofErr w:type="spellStart"/>
          <w:r>
            <w:rPr>
              <w:rFonts w:ascii="Calibri" w:eastAsia="Calibri" w:hAnsi="Calibri"/>
              <w:sz w:val="16"/>
              <w:szCs w:val="16"/>
            </w:rPr>
            <w:t>Kontselaria</w:t>
          </w:r>
          <w:proofErr w:type="spellEnd"/>
        </w:p>
        <w:p w:rsidR="00E44044" w:rsidRDefault="00E44044" w:rsidP="00452FD2">
          <w:pPr>
            <w:rPr>
              <w:rFonts w:ascii="Calibri" w:eastAsia="Calibri" w:hAnsi="Calibri"/>
              <w:sz w:val="16"/>
              <w:szCs w:val="16"/>
            </w:rPr>
          </w:pPr>
          <w:r>
            <w:rPr>
              <w:rFonts w:ascii="Calibri" w:eastAsia="Calibri" w:hAnsi="Calibri"/>
              <w:sz w:val="16"/>
              <w:szCs w:val="16"/>
            </w:rPr>
            <w:t>Consejera</w:t>
          </w:r>
        </w:p>
        <w:p w:rsidR="00E44044" w:rsidRDefault="00E44044" w:rsidP="00452FD2">
          <w:pPr>
            <w:rPr>
              <w:rFonts w:ascii="Calibri" w:eastAsia="Calibri" w:hAnsi="Calibri"/>
              <w:sz w:val="16"/>
              <w:szCs w:val="16"/>
            </w:rPr>
          </w:pPr>
          <w:r>
            <w:rPr>
              <w:rFonts w:ascii="Calibri" w:eastAsia="Calibri" w:hAnsi="Calibri"/>
              <w:sz w:val="16"/>
              <w:szCs w:val="16"/>
            </w:rPr>
            <w:t xml:space="preserve">González Tablas, 9-4. </w:t>
          </w:r>
          <w:proofErr w:type="spellStart"/>
          <w:r>
            <w:rPr>
              <w:rFonts w:ascii="Calibri" w:eastAsia="Calibri" w:hAnsi="Calibri"/>
              <w:sz w:val="16"/>
              <w:szCs w:val="16"/>
            </w:rPr>
            <w:t>Solairua</w:t>
          </w:r>
          <w:proofErr w:type="spellEnd"/>
        </w:p>
        <w:p w:rsidR="00E44044" w:rsidRDefault="00E44044" w:rsidP="00452FD2">
          <w:pPr>
            <w:rPr>
              <w:rFonts w:ascii="Calibri" w:eastAsia="Calibri" w:hAnsi="Calibri"/>
              <w:sz w:val="16"/>
              <w:szCs w:val="16"/>
            </w:rPr>
          </w:pPr>
          <w:r>
            <w:rPr>
              <w:rFonts w:ascii="Calibri" w:eastAsia="Calibri" w:hAnsi="Calibri"/>
              <w:sz w:val="16"/>
              <w:szCs w:val="16"/>
            </w:rPr>
            <w:t>González Tablas, 9-4ª planta</w:t>
          </w:r>
        </w:p>
        <w:p w:rsidR="00E44044" w:rsidRDefault="00E44044" w:rsidP="00452FD2">
          <w:pPr>
            <w:rPr>
              <w:rFonts w:ascii="Calibri" w:eastAsia="Calibri" w:hAnsi="Calibri"/>
              <w:sz w:val="16"/>
              <w:szCs w:val="16"/>
            </w:rPr>
          </w:pPr>
          <w:r>
            <w:rPr>
              <w:rFonts w:ascii="Calibri" w:eastAsia="Calibri" w:hAnsi="Calibri"/>
              <w:sz w:val="16"/>
              <w:szCs w:val="16"/>
            </w:rPr>
            <w:t>31005 IRUÑA - PAMPLONA</w:t>
          </w:r>
        </w:p>
      </w:tc>
      <w:tc>
        <w:tcPr>
          <w:tcW w:w="425" w:type="dxa"/>
        </w:tcPr>
        <w:p w:rsidR="00E44044" w:rsidRDefault="00E44044" w:rsidP="00452FD2">
          <w:pPr>
            <w:jc w:val="right"/>
            <w:rPr>
              <w:rFonts w:ascii="Calibri" w:eastAsia="Calibri" w:hAnsi="Calibri"/>
              <w:b/>
              <w:sz w:val="16"/>
              <w:szCs w:val="16"/>
            </w:rPr>
          </w:pPr>
        </w:p>
      </w:tc>
      <w:tc>
        <w:tcPr>
          <w:tcW w:w="6946" w:type="dxa"/>
        </w:tcPr>
        <w:p w:rsidR="00E44044" w:rsidRDefault="00672666" w:rsidP="00672666">
          <w:pPr>
            <w:ind w:left="976"/>
            <w:jc w:val="right"/>
            <w:rPr>
              <w:rFonts w:ascii="Calibri" w:eastAsia="Calibri" w:hAnsi="Calibri"/>
              <w:sz w:val="16"/>
              <w:szCs w:val="16"/>
            </w:rPr>
          </w:pPr>
          <w:r>
            <w:rPr>
              <w:noProof/>
            </w:rPr>
            <w:drawing>
              <wp:inline distT="0" distB="0" distL="0" distR="0" wp14:anchorId="71D3DC9A" wp14:editId="67C2E4CC">
                <wp:extent cx="3143250" cy="447675"/>
                <wp:effectExtent l="0" t="0" r="0" b="9525"/>
                <wp:docPr id="1" name="Imagen 1" descr="DES RURAL-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 RURAL-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47675"/>
                        </a:xfrm>
                        <a:prstGeom prst="rect">
                          <a:avLst/>
                        </a:prstGeom>
                        <a:noFill/>
                        <a:ln>
                          <a:noFill/>
                        </a:ln>
                      </pic:spPr>
                    </pic:pic>
                  </a:graphicData>
                </a:graphic>
              </wp:inline>
            </w:drawing>
          </w:r>
        </w:p>
      </w:tc>
      <w:tc>
        <w:tcPr>
          <w:tcW w:w="274" w:type="dxa"/>
        </w:tcPr>
        <w:p w:rsidR="00E44044" w:rsidRDefault="00E44044" w:rsidP="00452FD2">
          <w:pPr>
            <w:rPr>
              <w:rFonts w:ascii="Calibri" w:eastAsia="Calibri" w:hAnsi="Calibri"/>
              <w:sz w:val="16"/>
              <w:szCs w:val="16"/>
            </w:rPr>
          </w:pPr>
        </w:p>
      </w:tc>
      <w:tc>
        <w:tcPr>
          <w:tcW w:w="681" w:type="dxa"/>
        </w:tcPr>
        <w:p w:rsidR="00E44044" w:rsidRDefault="00E44044" w:rsidP="00452FD2">
          <w:pPr>
            <w:rPr>
              <w:rFonts w:ascii="Calibri" w:eastAsia="Calibri" w:hAnsi="Calibr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01255E"/>
    <w:multiLevelType w:val="hybridMultilevel"/>
    <w:tmpl w:val="9AF4F292"/>
    <w:lvl w:ilvl="0" w:tplc="9D788D46">
      <w:numFmt w:val="bullet"/>
      <w:lvlText w:val="-"/>
      <w:lvlJc w:val="left"/>
      <w:pPr>
        <w:ind w:left="2847" w:hanging="360"/>
      </w:pPr>
      <w:rPr>
        <w:rFonts w:ascii="Arial" w:eastAsia="Times New Roman" w:hAnsi="Arial" w:cs="Arial" w:hint="default"/>
      </w:rPr>
    </w:lvl>
    <w:lvl w:ilvl="1" w:tplc="0C0A0003" w:tentative="1">
      <w:start w:val="1"/>
      <w:numFmt w:val="bullet"/>
      <w:lvlText w:val="o"/>
      <w:lvlJc w:val="left"/>
      <w:pPr>
        <w:ind w:left="3218" w:hanging="360"/>
      </w:pPr>
      <w:rPr>
        <w:rFonts w:ascii="Courier New" w:hAnsi="Courier New" w:cs="Courier New" w:hint="default"/>
      </w:rPr>
    </w:lvl>
    <w:lvl w:ilvl="2" w:tplc="0C0A0005" w:tentative="1">
      <w:start w:val="1"/>
      <w:numFmt w:val="bullet"/>
      <w:lvlText w:val=""/>
      <w:lvlJc w:val="left"/>
      <w:pPr>
        <w:ind w:left="3938" w:hanging="360"/>
      </w:pPr>
      <w:rPr>
        <w:rFonts w:ascii="Wingdings" w:hAnsi="Wingdings" w:hint="default"/>
      </w:rPr>
    </w:lvl>
    <w:lvl w:ilvl="3" w:tplc="0C0A0001" w:tentative="1">
      <w:start w:val="1"/>
      <w:numFmt w:val="bullet"/>
      <w:lvlText w:val=""/>
      <w:lvlJc w:val="left"/>
      <w:pPr>
        <w:ind w:left="4658" w:hanging="360"/>
      </w:pPr>
      <w:rPr>
        <w:rFonts w:ascii="Symbol" w:hAnsi="Symbol" w:hint="default"/>
      </w:rPr>
    </w:lvl>
    <w:lvl w:ilvl="4" w:tplc="0C0A0003" w:tentative="1">
      <w:start w:val="1"/>
      <w:numFmt w:val="bullet"/>
      <w:lvlText w:val="o"/>
      <w:lvlJc w:val="left"/>
      <w:pPr>
        <w:ind w:left="5378" w:hanging="360"/>
      </w:pPr>
      <w:rPr>
        <w:rFonts w:ascii="Courier New" w:hAnsi="Courier New" w:cs="Courier New" w:hint="default"/>
      </w:rPr>
    </w:lvl>
    <w:lvl w:ilvl="5" w:tplc="0C0A0005" w:tentative="1">
      <w:start w:val="1"/>
      <w:numFmt w:val="bullet"/>
      <w:lvlText w:val=""/>
      <w:lvlJc w:val="left"/>
      <w:pPr>
        <w:ind w:left="6098" w:hanging="360"/>
      </w:pPr>
      <w:rPr>
        <w:rFonts w:ascii="Wingdings" w:hAnsi="Wingdings" w:hint="default"/>
      </w:rPr>
    </w:lvl>
    <w:lvl w:ilvl="6" w:tplc="0C0A0001" w:tentative="1">
      <w:start w:val="1"/>
      <w:numFmt w:val="bullet"/>
      <w:lvlText w:val=""/>
      <w:lvlJc w:val="left"/>
      <w:pPr>
        <w:ind w:left="6818" w:hanging="360"/>
      </w:pPr>
      <w:rPr>
        <w:rFonts w:ascii="Symbol" w:hAnsi="Symbol" w:hint="default"/>
      </w:rPr>
    </w:lvl>
    <w:lvl w:ilvl="7" w:tplc="0C0A0003" w:tentative="1">
      <w:start w:val="1"/>
      <w:numFmt w:val="bullet"/>
      <w:lvlText w:val="o"/>
      <w:lvlJc w:val="left"/>
      <w:pPr>
        <w:ind w:left="7538" w:hanging="360"/>
      </w:pPr>
      <w:rPr>
        <w:rFonts w:ascii="Courier New" w:hAnsi="Courier New" w:cs="Courier New" w:hint="default"/>
      </w:rPr>
    </w:lvl>
    <w:lvl w:ilvl="8" w:tplc="0C0A0005" w:tentative="1">
      <w:start w:val="1"/>
      <w:numFmt w:val="bullet"/>
      <w:lvlText w:val=""/>
      <w:lvlJc w:val="left"/>
      <w:pPr>
        <w:ind w:left="8258" w:hanging="360"/>
      </w:pPr>
      <w:rPr>
        <w:rFonts w:ascii="Wingdings" w:hAnsi="Wingdings" w:hint="default"/>
      </w:rPr>
    </w:lvl>
  </w:abstractNum>
  <w:abstractNum w:abstractNumId="2">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BC360C"/>
    <w:multiLevelType w:val="hybridMultilevel"/>
    <w:tmpl w:val="D04ECB54"/>
    <w:lvl w:ilvl="0" w:tplc="99724E5E">
      <w:start w:val="1"/>
      <w:numFmt w:val="lowerLetter"/>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701E2A"/>
    <w:multiLevelType w:val="hybridMultilevel"/>
    <w:tmpl w:val="E9F273CA"/>
    <w:lvl w:ilvl="0" w:tplc="9D82F67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EEE2AED"/>
    <w:multiLevelType w:val="hybridMultilevel"/>
    <w:tmpl w:val="4B706DC8"/>
    <w:lvl w:ilvl="0" w:tplc="9D82F67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7FFC4A1F"/>
    <w:multiLevelType w:val="hybridMultilevel"/>
    <w:tmpl w:val="5838D178"/>
    <w:lvl w:ilvl="0" w:tplc="022EF2F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14"/>
  </w:num>
  <w:num w:numId="5">
    <w:abstractNumId w:val="11"/>
  </w:num>
  <w:num w:numId="6">
    <w:abstractNumId w:val="4"/>
  </w:num>
  <w:num w:numId="7">
    <w:abstractNumId w:val="12"/>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5"/>
  </w:num>
  <w:num w:numId="13">
    <w:abstractNumId w:val="16"/>
  </w:num>
  <w:num w:numId="14">
    <w:abstractNumId w:val="13"/>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95BC5"/>
    <w:rsid w:val="001C18D3"/>
    <w:rsid w:val="001D3AA7"/>
    <w:rsid w:val="001E2EDF"/>
    <w:rsid w:val="002364F6"/>
    <w:rsid w:val="002A7F52"/>
    <w:rsid w:val="002B0435"/>
    <w:rsid w:val="002C487D"/>
    <w:rsid w:val="002D7F3F"/>
    <w:rsid w:val="002F09BF"/>
    <w:rsid w:val="0030333F"/>
    <w:rsid w:val="00335D98"/>
    <w:rsid w:val="003401BF"/>
    <w:rsid w:val="00354E75"/>
    <w:rsid w:val="0037010A"/>
    <w:rsid w:val="003F202A"/>
    <w:rsid w:val="004036F1"/>
    <w:rsid w:val="0041058C"/>
    <w:rsid w:val="004154F8"/>
    <w:rsid w:val="00440B04"/>
    <w:rsid w:val="00452FD2"/>
    <w:rsid w:val="00453C47"/>
    <w:rsid w:val="004540B7"/>
    <w:rsid w:val="0046104F"/>
    <w:rsid w:val="004E12F7"/>
    <w:rsid w:val="004F4DAA"/>
    <w:rsid w:val="0051364C"/>
    <w:rsid w:val="00592A62"/>
    <w:rsid w:val="005D18F1"/>
    <w:rsid w:val="005D420C"/>
    <w:rsid w:val="00612F2B"/>
    <w:rsid w:val="006415DD"/>
    <w:rsid w:val="006620EA"/>
    <w:rsid w:val="00672666"/>
    <w:rsid w:val="006C3F95"/>
    <w:rsid w:val="006E3228"/>
    <w:rsid w:val="00710131"/>
    <w:rsid w:val="0073583F"/>
    <w:rsid w:val="007751A2"/>
    <w:rsid w:val="007C4477"/>
    <w:rsid w:val="007D3B60"/>
    <w:rsid w:val="00807388"/>
    <w:rsid w:val="00842199"/>
    <w:rsid w:val="008501A8"/>
    <w:rsid w:val="00862504"/>
    <w:rsid w:val="00886558"/>
    <w:rsid w:val="008932F8"/>
    <w:rsid w:val="008E7325"/>
    <w:rsid w:val="00901293"/>
    <w:rsid w:val="009222E1"/>
    <w:rsid w:val="009573E3"/>
    <w:rsid w:val="00966998"/>
    <w:rsid w:val="0099134F"/>
    <w:rsid w:val="009C448A"/>
    <w:rsid w:val="00A20DEA"/>
    <w:rsid w:val="00A526BF"/>
    <w:rsid w:val="00A52CE4"/>
    <w:rsid w:val="00A5517D"/>
    <w:rsid w:val="00A572B9"/>
    <w:rsid w:val="00AA4C9C"/>
    <w:rsid w:val="00AC1274"/>
    <w:rsid w:val="00B50004"/>
    <w:rsid w:val="00B71690"/>
    <w:rsid w:val="00B8751E"/>
    <w:rsid w:val="00BA2B0D"/>
    <w:rsid w:val="00BA3258"/>
    <w:rsid w:val="00BB0277"/>
    <w:rsid w:val="00BD7FDC"/>
    <w:rsid w:val="00BE0C7D"/>
    <w:rsid w:val="00BE0E56"/>
    <w:rsid w:val="00BF26FD"/>
    <w:rsid w:val="00BF58BB"/>
    <w:rsid w:val="00C0086A"/>
    <w:rsid w:val="00C14281"/>
    <w:rsid w:val="00C75BB9"/>
    <w:rsid w:val="00C8136E"/>
    <w:rsid w:val="00CD34BD"/>
    <w:rsid w:val="00CE2258"/>
    <w:rsid w:val="00CE3A5E"/>
    <w:rsid w:val="00D32628"/>
    <w:rsid w:val="00D56BC4"/>
    <w:rsid w:val="00D81ABA"/>
    <w:rsid w:val="00D81E4B"/>
    <w:rsid w:val="00D92403"/>
    <w:rsid w:val="00DA210E"/>
    <w:rsid w:val="00DB7A76"/>
    <w:rsid w:val="00DC4813"/>
    <w:rsid w:val="00DC4FB9"/>
    <w:rsid w:val="00DE04E2"/>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A7D6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A55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A5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4939-A46D-47EB-B5F5-1D16F2D8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20</TotalTime>
  <Pages>4</Pages>
  <Words>873</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N222866</dc:creator>
  <cp:keywords/>
  <dc:description/>
  <cp:lastModifiedBy>Aranaz, Carlota</cp:lastModifiedBy>
  <cp:revision>4</cp:revision>
  <cp:lastPrinted>2021-02-15T08:21:00Z</cp:lastPrinted>
  <dcterms:created xsi:type="dcterms:W3CDTF">2021-02-15T08:16:00Z</dcterms:created>
  <dcterms:modified xsi:type="dcterms:W3CDTF">2021-03-09T13:18:00Z</dcterms:modified>
</cp:coreProperties>
</file>