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04979" w:rsidRDefault="00FA495F" w:rsidP="00104DF3">
      <w:pPr>
        <w:pStyle w:val="EstiloPortada"/>
        <w:ind w:left="2492" w:right="-58"/>
      </w:pPr>
      <w:bookmarkStart w:id="0" w:name="_GoBack"/>
      <w:bookmarkEnd w:id="0"/>
      <w:r>
        <w:rPr>
          <w:rFonts w:ascii="Arial" w:hAnsi="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C3423" w:rsidRPr="003A7956" w:rsidRDefault="004C3423" w:rsidP="004C3423">
                            <w:pPr>
                              <w:spacing w:after="0"/>
                              <w:ind w:firstLine="0"/>
                              <w:jc w:val="center"/>
                              <w:rPr>
                                <w:sz w:val="18"/>
                                <w:szCs w:val="18"/>
                              </w:rPr>
                            </w:pPr>
                            <w:r>
                              <w:rPr>
                                <w:sz w:val="18"/>
                                <w:szCs w:val="18"/>
                              </w:rPr>
                              <w:t>CAMARA DE</w:t>
                            </w:r>
                          </w:p>
                          <w:p w:rsidR="004C3423" w:rsidRPr="003A7956" w:rsidRDefault="004C3423" w:rsidP="004C3423">
                            <w:pPr>
                              <w:spacing w:after="0"/>
                              <w:ind w:firstLine="0"/>
                              <w:jc w:val="center"/>
                              <w:rPr>
                                <w:sz w:val="18"/>
                                <w:szCs w:val="18"/>
                              </w:rPr>
                            </w:pPr>
                            <w:r>
                              <w:rPr>
                                <w:sz w:val="18"/>
                                <w:szCs w:val="18"/>
                              </w:rPr>
                              <w:t>COMPTOS</w:t>
                            </w:r>
                          </w:p>
                          <w:p w:rsidR="004C3423" w:rsidRPr="003A7956" w:rsidRDefault="004C3423" w:rsidP="004C3423">
                            <w:pPr>
                              <w:spacing w:after="0"/>
                              <w:ind w:firstLine="0"/>
                              <w:jc w:val="center"/>
                              <w:rPr>
                                <w:sz w:val="18"/>
                                <w:szCs w:val="18"/>
                              </w:rPr>
                            </w:pPr>
                            <w:r>
                              <w:rPr>
                                <w:sz w:val="18"/>
                                <w:szCs w:val="18"/>
                              </w:rPr>
                              <w:t>DE NAVARRA</w:t>
                            </w:r>
                          </w:p>
                          <w:p w:rsidR="004C3423" w:rsidRPr="003A7956" w:rsidRDefault="004C3423" w:rsidP="004C3423">
                            <w:pPr>
                              <w:spacing w:after="0"/>
                              <w:ind w:firstLine="0"/>
                              <w:jc w:val="center"/>
                              <w:rPr>
                                <w:color w:val="808080"/>
                                <w:sz w:val="18"/>
                                <w:szCs w:val="18"/>
                              </w:rPr>
                            </w:pPr>
                            <w:r>
                              <w:rPr>
                                <w:color w:val="808080"/>
                                <w:sz w:val="18"/>
                                <w:szCs w:val="18"/>
                              </w:rPr>
                              <w:t>NAFARROAKO</w:t>
                            </w:r>
                          </w:p>
                          <w:p w:rsidR="004C3423" w:rsidRPr="003A7956" w:rsidRDefault="004C3423" w:rsidP="004C3423">
                            <w:pPr>
                              <w:spacing w:after="0"/>
                              <w:ind w:firstLine="0"/>
                              <w:jc w:val="center"/>
                              <w:rPr>
                                <w:color w:val="808080"/>
                                <w:sz w:val="18"/>
                                <w:szCs w:val="18"/>
                              </w:rPr>
                            </w:pPr>
                            <w:r>
                              <w:rPr>
                                <w:color w:val="808080"/>
                                <w:sz w:val="18"/>
                                <w:szCs w:val="18"/>
                              </w:rPr>
                              <w:t>KONTUEN</w:t>
                            </w:r>
                          </w:p>
                          <w:p w:rsidR="004C3423" w:rsidRPr="003A7956" w:rsidRDefault="004C3423" w:rsidP="004C3423">
                            <w:pPr>
                              <w:spacing w:after="0"/>
                              <w:ind w:firstLine="0"/>
                              <w:jc w:val="center"/>
                              <w:rPr>
                                <w:color w:val="808080"/>
                                <w:sz w:val="18"/>
                                <w:szCs w:val="18"/>
                              </w:rPr>
                            </w:pPr>
                            <w:r>
                              <w:rPr>
                                <w:color w:val="808080"/>
                                <w:sz w:val="18"/>
                                <w:szCs w:val="18"/>
                              </w:rPr>
                              <w:t>GANBERA</w:t>
                            </w:r>
                          </w:p>
                          <w:p w:rsidR="006A2D41" w:rsidRPr="002C7026" w:rsidRDefault="006A2D41"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4C3423" w:rsidRPr="003A7956" w:rsidRDefault="004C3423" w:rsidP="004C3423">
                      <w:pPr>
                        <w:spacing w:after="0"/>
                        <w:ind w:firstLine="0"/>
                        <w:jc w:val="center"/>
                        <w:rPr>
                          <w:sz w:val="18"/>
                          <w:szCs w:val="18"/>
                        </w:rPr>
                      </w:pPr>
                      <w:r>
                        <w:rPr>
                          <w:sz w:val="18"/>
                          <w:szCs w:val="18"/>
                        </w:rPr>
                        <w:t>CAMARA DE</w:t>
                      </w:r>
                    </w:p>
                    <w:p w:rsidR="004C3423" w:rsidRPr="003A7956" w:rsidRDefault="004C3423" w:rsidP="004C3423">
                      <w:pPr>
                        <w:spacing w:after="0"/>
                        <w:ind w:firstLine="0"/>
                        <w:jc w:val="center"/>
                        <w:rPr>
                          <w:sz w:val="18"/>
                          <w:szCs w:val="18"/>
                        </w:rPr>
                      </w:pPr>
                      <w:r>
                        <w:rPr>
                          <w:sz w:val="18"/>
                          <w:szCs w:val="18"/>
                        </w:rPr>
                        <w:t>COMPTOS</w:t>
                      </w:r>
                    </w:p>
                    <w:p w:rsidR="004C3423" w:rsidRPr="003A7956" w:rsidRDefault="004C3423" w:rsidP="004C3423">
                      <w:pPr>
                        <w:spacing w:after="0"/>
                        <w:ind w:firstLine="0"/>
                        <w:jc w:val="center"/>
                        <w:rPr>
                          <w:sz w:val="18"/>
                          <w:szCs w:val="18"/>
                        </w:rPr>
                      </w:pPr>
                      <w:r>
                        <w:rPr>
                          <w:sz w:val="18"/>
                          <w:szCs w:val="18"/>
                        </w:rPr>
                        <w:t>DE NAVARRA</w:t>
                      </w:r>
                    </w:p>
                    <w:p w:rsidR="004C3423" w:rsidRPr="003A7956" w:rsidRDefault="004C3423" w:rsidP="004C3423">
                      <w:pPr>
                        <w:spacing w:after="0"/>
                        <w:ind w:firstLine="0"/>
                        <w:jc w:val="center"/>
                        <w:rPr>
                          <w:color w:val="808080"/>
                          <w:sz w:val="18"/>
                          <w:szCs w:val="18"/>
                        </w:rPr>
                      </w:pPr>
                      <w:r>
                        <w:rPr>
                          <w:color w:val="808080"/>
                          <w:sz w:val="18"/>
                          <w:szCs w:val="18"/>
                        </w:rPr>
                        <w:t>NAFARROAKO</w:t>
                      </w:r>
                    </w:p>
                    <w:p w:rsidR="004C3423" w:rsidRPr="003A7956" w:rsidRDefault="004C3423" w:rsidP="004C3423">
                      <w:pPr>
                        <w:spacing w:after="0"/>
                        <w:ind w:firstLine="0"/>
                        <w:jc w:val="center"/>
                        <w:rPr>
                          <w:color w:val="808080"/>
                          <w:sz w:val="18"/>
                          <w:szCs w:val="18"/>
                        </w:rPr>
                      </w:pPr>
                      <w:r>
                        <w:rPr>
                          <w:color w:val="808080"/>
                          <w:sz w:val="18"/>
                          <w:szCs w:val="18"/>
                        </w:rPr>
                        <w:t>KONTUEN</w:t>
                      </w:r>
                    </w:p>
                    <w:p w:rsidR="004C3423" w:rsidRPr="003A7956" w:rsidRDefault="004C3423" w:rsidP="004C3423">
                      <w:pPr>
                        <w:spacing w:after="0"/>
                        <w:ind w:firstLine="0"/>
                        <w:jc w:val="center"/>
                        <w:rPr>
                          <w:color w:val="808080"/>
                          <w:sz w:val="18"/>
                          <w:szCs w:val="18"/>
                        </w:rPr>
                      </w:pPr>
                      <w:r>
                        <w:rPr>
                          <w:color w:val="808080"/>
                          <w:sz w:val="18"/>
                          <w:szCs w:val="18"/>
                        </w:rPr>
                        <w:t>GANBERA</w:t>
                      </w:r>
                    </w:p>
                    <w:p w:rsidR="006A2D41" w:rsidRPr="002C7026" w:rsidRDefault="006A2D41" w:rsidP="002C7026">
                      <w:pPr>
                        <w:spacing w:after="0"/>
                        <w:ind w:firstLine="0"/>
                        <w:jc w:val="center"/>
                        <w:rPr>
                          <w:rFonts w:ascii="Trajan" w:hAnsi="Trajan"/>
                          <w:color w:val="808080"/>
                          <w:sz w:val="18"/>
                          <w:szCs w:val="18"/>
                          <w:lang w:val="es-ES"/>
                        </w:rPr>
                      </w:pPr>
                    </w:p>
                  </w:txbxContent>
                </v:textbox>
              </v:shape>
            </w:pict>
          </mc:Fallback>
        </mc:AlternateContent>
      </w:r>
    </w:p>
    <w:p w:rsidR="00051AC1" w:rsidRDefault="00051AC1" w:rsidP="00051AC1">
      <w:pPr>
        <w:pStyle w:val="EstiloPortada"/>
        <w:ind w:left="2464" w:right="-425"/>
        <w:rPr>
          <w:sz w:val="40"/>
          <w:szCs w:val="40"/>
        </w:rPr>
      </w:pPr>
    </w:p>
    <w:p w:rsidR="00051AC1" w:rsidRPr="008A5F50" w:rsidRDefault="00AE5B2A" w:rsidP="00051AC1">
      <w:pPr>
        <w:pStyle w:val="EstiloPortada"/>
        <w:ind w:left="2464" w:right="-425"/>
        <w:rPr>
          <w:sz w:val="38"/>
          <w:szCs w:val="38"/>
        </w:rPr>
      </w:pPr>
      <w:r>
        <w:rPr>
          <w:sz w:val="38"/>
          <w:szCs w:val="38"/>
        </w:rPr>
        <w:t>Melidako Udalaren Territorio Visón programa, erabilera anitzeko eraikin</w:t>
      </w:r>
      <w:r>
        <w:rPr>
          <w:sz w:val="38"/>
          <w:szCs w:val="38"/>
        </w:rPr>
        <w:t>a</w:t>
      </w:r>
      <w:r>
        <w:rPr>
          <w:sz w:val="38"/>
          <w:szCs w:val="38"/>
        </w:rPr>
        <w:t>ren kontratua eta Erronka Solidarioa h</w:t>
      </w:r>
      <w:r>
        <w:rPr>
          <w:sz w:val="38"/>
          <w:szCs w:val="38"/>
        </w:rPr>
        <w:t>i</w:t>
      </w:r>
      <w:r>
        <w:rPr>
          <w:sz w:val="38"/>
          <w:szCs w:val="38"/>
        </w:rPr>
        <w:t xml:space="preserve">tzarmena </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104DF3" w:rsidRDefault="00104DF3" w:rsidP="009936FC">
      <w:pPr>
        <w:pStyle w:val="Fechaportada"/>
      </w:pPr>
    </w:p>
    <w:p w:rsidR="00104DF3" w:rsidRDefault="00104DF3" w:rsidP="009936FC">
      <w:pPr>
        <w:pStyle w:val="Fechaportada"/>
      </w:pPr>
    </w:p>
    <w:p w:rsidR="00104DF3" w:rsidRDefault="00104DF3" w:rsidP="009936FC">
      <w:pPr>
        <w:pStyle w:val="Fechaportada"/>
      </w:pPr>
    </w:p>
    <w:p w:rsidR="00104DF3" w:rsidRDefault="00104DF3" w:rsidP="009936FC">
      <w:pPr>
        <w:pStyle w:val="Fechaportada"/>
      </w:pPr>
    </w:p>
    <w:p w:rsidR="00716463" w:rsidRPr="001D4F09" w:rsidRDefault="00253E78" w:rsidP="009936FC">
      <w:pPr>
        <w:pStyle w:val="Fechaportada"/>
      </w:pPr>
      <w:r>
        <w:t>2021eko martxoa</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051AC1" w:rsidRDefault="00051AC1" w:rsidP="00891D73">
      <w:pPr>
        <w:pStyle w:val="ndice"/>
      </w:pPr>
    </w:p>
    <w:p w:rsidR="001C3A32" w:rsidRDefault="00891D73" w:rsidP="00891D73">
      <w:pPr>
        <w:pStyle w:val="ndice"/>
      </w:pPr>
      <w:r>
        <w:t>Aurkibidea</w:t>
      </w:r>
    </w:p>
    <w:p w:rsidR="00104DF3" w:rsidRPr="00783F1C" w:rsidRDefault="00104DF3" w:rsidP="00B276A8">
      <w:pPr>
        <w:pStyle w:val="ndice"/>
        <w:ind w:right="-240"/>
        <w:jc w:val="right"/>
        <w:rPr>
          <w:b w:val="0"/>
          <w:i/>
          <w:color w:val="auto"/>
          <w:sz w:val="16"/>
          <w:szCs w:val="16"/>
        </w:rPr>
      </w:pPr>
      <w:r>
        <w:rPr>
          <w:b w:val="0"/>
          <w:i/>
          <w:color w:val="auto"/>
          <w:sz w:val="16"/>
          <w:szCs w:val="16"/>
        </w:rPr>
        <w:t>Orrialdea</w:t>
      </w:r>
    </w:p>
    <w:p w:rsidR="00384C78"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69461093" w:history="1">
        <w:r w:rsidR="00384C78" w:rsidRPr="0033545C">
          <w:rPr>
            <w:rStyle w:val="Hipervnculo"/>
            <w:noProof/>
          </w:rPr>
          <w:t>I. Sarrera</w:t>
        </w:r>
        <w:r w:rsidR="00384C78">
          <w:rPr>
            <w:noProof/>
            <w:webHidden/>
          </w:rPr>
          <w:tab/>
        </w:r>
        <w:r w:rsidR="00384C78">
          <w:rPr>
            <w:noProof/>
            <w:webHidden/>
          </w:rPr>
          <w:fldChar w:fldCharType="begin"/>
        </w:r>
        <w:r w:rsidR="00384C78">
          <w:rPr>
            <w:noProof/>
            <w:webHidden/>
          </w:rPr>
          <w:instrText xml:space="preserve"> PAGEREF _Toc69461093 \h </w:instrText>
        </w:r>
        <w:r w:rsidR="00384C78">
          <w:rPr>
            <w:noProof/>
            <w:webHidden/>
          </w:rPr>
        </w:r>
        <w:r w:rsidR="00384C78">
          <w:rPr>
            <w:noProof/>
            <w:webHidden/>
          </w:rPr>
          <w:fldChar w:fldCharType="separate"/>
        </w:r>
        <w:r w:rsidR="00384C78">
          <w:rPr>
            <w:noProof/>
            <w:webHidden/>
          </w:rPr>
          <w:t>3</w:t>
        </w:r>
        <w:r w:rsidR="00384C78">
          <w:rPr>
            <w:noProof/>
            <w:webHidden/>
          </w:rPr>
          <w:fldChar w:fldCharType="end"/>
        </w:r>
      </w:hyperlink>
    </w:p>
    <w:p w:rsidR="00384C78" w:rsidRDefault="00384C78">
      <w:pPr>
        <w:pStyle w:val="TDC1"/>
        <w:rPr>
          <w:rFonts w:asciiTheme="minorHAnsi" w:eastAsiaTheme="minorEastAsia" w:hAnsiTheme="minorHAnsi" w:cstheme="minorBidi"/>
          <w:smallCaps w:val="0"/>
          <w:noProof/>
          <w:szCs w:val="22"/>
          <w:lang w:val="es-ES" w:eastAsia="es-ES"/>
        </w:rPr>
      </w:pPr>
      <w:hyperlink w:anchor="_Toc69461094" w:history="1">
        <w:r w:rsidRPr="0033545C">
          <w:rPr>
            <w:rStyle w:val="Hipervnculo"/>
            <w:noProof/>
          </w:rPr>
          <w:t>II. Melidako Udala</w:t>
        </w:r>
        <w:r>
          <w:rPr>
            <w:noProof/>
            <w:webHidden/>
          </w:rPr>
          <w:tab/>
        </w:r>
        <w:r>
          <w:rPr>
            <w:noProof/>
            <w:webHidden/>
          </w:rPr>
          <w:fldChar w:fldCharType="begin"/>
        </w:r>
        <w:r>
          <w:rPr>
            <w:noProof/>
            <w:webHidden/>
          </w:rPr>
          <w:instrText xml:space="preserve"> PAGEREF _Toc69461094 \h </w:instrText>
        </w:r>
        <w:r>
          <w:rPr>
            <w:noProof/>
            <w:webHidden/>
          </w:rPr>
        </w:r>
        <w:r>
          <w:rPr>
            <w:noProof/>
            <w:webHidden/>
          </w:rPr>
          <w:fldChar w:fldCharType="separate"/>
        </w:r>
        <w:r>
          <w:rPr>
            <w:noProof/>
            <w:webHidden/>
          </w:rPr>
          <w:t>4</w:t>
        </w:r>
        <w:r>
          <w:rPr>
            <w:noProof/>
            <w:webHidden/>
          </w:rPr>
          <w:fldChar w:fldCharType="end"/>
        </w:r>
      </w:hyperlink>
    </w:p>
    <w:p w:rsidR="00384C78" w:rsidRDefault="00384C78">
      <w:pPr>
        <w:pStyle w:val="TDC1"/>
        <w:rPr>
          <w:rFonts w:asciiTheme="minorHAnsi" w:eastAsiaTheme="minorEastAsia" w:hAnsiTheme="minorHAnsi" w:cstheme="minorBidi"/>
          <w:smallCaps w:val="0"/>
          <w:noProof/>
          <w:szCs w:val="22"/>
          <w:lang w:val="es-ES" w:eastAsia="es-ES"/>
        </w:rPr>
      </w:pPr>
      <w:hyperlink w:anchor="_Toc69461095" w:history="1">
        <w:r w:rsidRPr="0033545C">
          <w:rPr>
            <w:rStyle w:val="Hipervnculo"/>
            <w:noProof/>
          </w:rPr>
          <w:t>III. Helburuak eta norainokoa</w:t>
        </w:r>
        <w:r>
          <w:rPr>
            <w:noProof/>
            <w:webHidden/>
          </w:rPr>
          <w:tab/>
        </w:r>
        <w:r>
          <w:rPr>
            <w:noProof/>
            <w:webHidden/>
          </w:rPr>
          <w:fldChar w:fldCharType="begin"/>
        </w:r>
        <w:r>
          <w:rPr>
            <w:noProof/>
            <w:webHidden/>
          </w:rPr>
          <w:instrText xml:space="preserve"> PAGEREF _Toc69461095 \h </w:instrText>
        </w:r>
        <w:r>
          <w:rPr>
            <w:noProof/>
            <w:webHidden/>
          </w:rPr>
        </w:r>
        <w:r>
          <w:rPr>
            <w:noProof/>
            <w:webHidden/>
          </w:rPr>
          <w:fldChar w:fldCharType="separate"/>
        </w:r>
        <w:r>
          <w:rPr>
            <w:noProof/>
            <w:webHidden/>
          </w:rPr>
          <w:t>5</w:t>
        </w:r>
        <w:r>
          <w:rPr>
            <w:noProof/>
            <w:webHidden/>
          </w:rPr>
          <w:fldChar w:fldCharType="end"/>
        </w:r>
      </w:hyperlink>
    </w:p>
    <w:p w:rsidR="00384C78" w:rsidRDefault="00384C78">
      <w:pPr>
        <w:pStyle w:val="TDC1"/>
        <w:rPr>
          <w:rFonts w:asciiTheme="minorHAnsi" w:eastAsiaTheme="minorEastAsia" w:hAnsiTheme="minorHAnsi" w:cstheme="minorBidi"/>
          <w:smallCaps w:val="0"/>
          <w:noProof/>
          <w:szCs w:val="22"/>
          <w:lang w:val="es-ES" w:eastAsia="es-ES"/>
        </w:rPr>
      </w:pPr>
      <w:hyperlink w:anchor="_Toc69461096" w:history="1">
        <w:r w:rsidRPr="0033545C">
          <w:rPr>
            <w:rStyle w:val="Hipervnculo"/>
            <w:noProof/>
          </w:rPr>
          <w:t>IV. Iritzia</w:t>
        </w:r>
        <w:r>
          <w:rPr>
            <w:noProof/>
            <w:webHidden/>
          </w:rPr>
          <w:tab/>
        </w:r>
        <w:r>
          <w:rPr>
            <w:noProof/>
            <w:webHidden/>
          </w:rPr>
          <w:fldChar w:fldCharType="begin"/>
        </w:r>
        <w:r>
          <w:rPr>
            <w:noProof/>
            <w:webHidden/>
          </w:rPr>
          <w:instrText xml:space="preserve"> PAGEREF _Toc69461096 \h </w:instrText>
        </w:r>
        <w:r>
          <w:rPr>
            <w:noProof/>
            <w:webHidden/>
          </w:rPr>
        </w:r>
        <w:r>
          <w:rPr>
            <w:noProof/>
            <w:webHidden/>
          </w:rPr>
          <w:fldChar w:fldCharType="separate"/>
        </w:r>
        <w:r>
          <w:rPr>
            <w:noProof/>
            <w:webHidden/>
          </w:rPr>
          <w:t>6</w:t>
        </w:r>
        <w:r>
          <w:rPr>
            <w:noProof/>
            <w:webHidden/>
          </w:rPr>
          <w:fldChar w:fldCharType="end"/>
        </w:r>
      </w:hyperlink>
    </w:p>
    <w:p w:rsidR="00384C78" w:rsidRDefault="00384C78">
      <w:pPr>
        <w:pStyle w:val="TDC2"/>
        <w:rPr>
          <w:rFonts w:asciiTheme="minorHAnsi" w:eastAsiaTheme="minorEastAsia" w:hAnsiTheme="minorHAnsi" w:cstheme="minorBidi"/>
          <w:noProof/>
          <w:szCs w:val="22"/>
          <w:lang w:val="es-ES" w:eastAsia="es-ES"/>
        </w:rPr>
      </w:pPr>
      <w:hyperlink w:anchor="_Toc69461097" w:history="1">
        <w:r w:rsidRPr="0033545C">
          <w:rPr>
            <w:rStyle w:val="Hipervnculo"/>
            <w:noProof/>
          </w:rPr>
          <w:t>IV.1. Melidako Udalak legezkotasuna betetzeari buruzko iritzia</w:t>
        </w:r>
        <w:r>
          <w:rPr>
            <w:noProof/>
            <w:webHidden/>
          </w:rPr>
          <w:tab/>
        </w:r>
        <w:r>
          <w:rPr>
            <w:noProof/>
            <w:webHidden/>
          </w:rPr>
          <w:fldChar w:fldCharType="begin"/>
        </w:r>
        <w:r>
          <w:rPr>
            <w:noProof/>
            <w:webHidden/>
          </w:rPr>
          <w:instrText xml:space="preserve"> PAGEREF _Toc69461097 \h </w:instrText>
        </w:r>
        <w:r>
          <w:rPr>
            <w:noProof/>
            <w:webHidden/>
          </w:rPr>
        </w:r>
        <w:r>
          <w:rPr>
            <w:noProof/>
            <w:webHidden/>
          </w:rPr>
          <w:fldChar w:fldCharType="separate"/>
        </w:r>
        <w:r>
          <w:rPr>
            <w:noProof/>
            <w:webHidden/>
          </w:rPr>
          <w:t>7</w:t>
        </w:r>
        <w:r>
          <w:rPr>
            <w:noProof/>
            <w:webHidden/>
          </w:rPr>
          <w:fldChar w:fldCharType="end"/>
        </w:r>
      </w:hyperlink>
    </w:p>
    <w:p w:rsidR="00384C78" w:rsidRDefault="00384C78">
      <w:pPr>
        <w:pStyle w:val="TDC1"/>
        <w:rPr>
          <w:rFonts w:asciiTheme="minorHAnsi" w:eastAsiaTheme="minorEastAsia" w:hAnsiTheme="minorHAnsi" w:cstheme="minorBidi"/>
          <w:smallCaps w:val="0"/>
          <w:noProof/>
          <w:szCs w:val="22"/>
          <w:lang w:val="es-ES" w:eastAsia="es-ES"/>
        </w:rPr>
      </w:pPr>
      <w:hyperlink w:anchor="_Toc69461098" w:history="1">
        <w:r w:rsidRPr="0033545C">
          <w:rPr>
            <w:rStyle w:val="Hipervnculo"/>
            <w:noProof/>
          </w:rPr>
          <w:t>V. Konklusioak eta gomendioak</w:t>
        </w:r>
        <w:r>
          <w:rPr>
            <w:noProof/>
            <w:webHidden/>
          </w:rPr>
          <w:tab/>
        </w:r>
        <w:r>
          <w:rPr>
            <w:noProof/>
            <w:webHidden/>
          </w:rPr>
          <w:fldChar w:fldCharType="begin"/>
        </w:r>
        <w:r>
          <w:rPr>
            <w:noProof/>
            <w:webHidden/>
          </w:rPr>
          <w:instrText xml:space="preserve"> PAGEREF _Toc69461098 \h </w:instrText>
        </w:r>
        <w:r>
          <w:rPr>
            <w:noProof/>
            <w:webHidden/>
          </w:rPr>
        </w:r>
        <w:r>
          <w:rPr>
            <w:noProof/>
            <w:webHidden/>
          </w:rPr>
          <w:fldChar w:fldCharType="separate"/>
        </w:r>
        <w:r>
          <w:rPr>
            <w:noProof/>
            <w:webHidden/>
          </w:rPr>
          <w:t>8</w:t>
        </w:r>
        <w:r>
          <w:rPr>
            <w:noProof/>
            <w:webHidden/>
          </w:rPr>
          <w:fldChar w:fldCharType="end"/>
        </w:r>
      </w:hyperlink>
    </w:p>
    <w:p w:rsidR="00384C78" w:rsidRDefault="00384C78">
      <w:pPr>
        <w:pStyle w:val="TDC2"/>
        <w:rPr>
          <w:rFonts w:asciiTheme="minorHAnsi" w:eastAsiaTheme="minorEastAsia" w:hAnsiTheme="minorHAnsi" w:cstheme="minorBidi"/>
          <w:noProof/>
          <w:szCs w:val="22"/>
          <w:lang w:val="es-ES" w:eastAsia="es-ES"/>
        </w:rPr>
      </w:pPr>
      <w:hyperlink w:anchor="_Toc69461099" w:history="1">
        <w:r w:rsidRPr="0033545C">
          <w:rPr>
            <w:rStyle w:val="Hipervnculo"/>
            <w:noProof/>
          </w:rPr>
          <w:t>V.1. Territorio Visón programa</w:t>
        </w:r>
        <w:r>
          <w:rPr>
            <w:noProof/>
            <w:webHidden/>
          </w:rPr>
          <w:tab/>
        </w:r>
        <w:r>
          <w:rPr>
            <w:noProof/>
            <w:webHidden/>
          </w:rPr>
          <w:fldChar w:fldCharType="begin"/>
        </w:r>
        <w:r>
          <w:rPr>
            <w:noProof/>
            <w:webHidden/>
          </w:rPr>
          <w:instrText xml:space="preserve"> PAGEREF _Toc69461099 \h </w:instrText>
        </w:r>
        <w:r>
          <w:rPr>
            <w:noProof/>
            <w:webHidden/>
          </w:rPr>
        </w:r>
        <w:r>
          <w:rPr>
            <w:noProof/>
            <w:webHidden/>
          </w:rPr>
          <w:fldChar w:fldCharType="separate"/>
        </w:r>
        <w:r>
          <w:rPr>
            <w:noProof/>
            <w:webHidden/>
          </w:rPr>
          <w:t>8</w:t>
        </w:r>
        <w:r>
          <w:rPr>
            <w:noProof/>
            <w:webHidden/>
          </w:rPr>
          <w:fldChar w:fldCharType="end"/>
        </w:r>
      </w:hyperlink>
    </w:p>
    <w:p w:rsidR="00384C78" w:rsidRDefault="00384C78">
      <w:pPr>
        <w:pStyle w:val="TDC2"/>
        <w:rPr>
          <w:rFonts w:asciiTheme="minorHAnsi" w:eastAsiaTheme="minorEastAsia" w:hAnsiTheme="minorHAnsi" w:cstheme="minorBidi"/>
          <w:noProof/>
          <w:szCs w:val="22"/>
          <w:lang w:val="es-ES" w:eastAsia="es-ES"/>
        </w:rPr>
      </w:pPr>
      <w:hyperlink w:anchor="_Toc69461100" w:history="1">
        <w:r w:rsidRPr="0033545C">
          <w:rPr>
            <w:rStyle w:val="Hipervnculo"/>
            <w:noProof/>
          </w:rPr>
          <w:t>V.2. Erabilera anitzeko eraikinaren kontratua.</w:t>
        </w:r>
        <w:r>
          <w:rPr>
            <w:noProof/>
            <w:webHidden/>
          </w:rPr>
          <w:tab/>
        </w:r>
        <w:r>
          <w:rPr>
            <w:noProof/>
            <w:webHidden/>
          </w:rPr>
          <w:fldChar w:fldCharType="begin"/>
        </w:r>
        <w:r>
          <w:rPr>
            <w:noProof/>
            <w:webHidden/>
          </w:rPr>
          <w:instrText xml:space="preserve"> PAGEREF _Toc69461100 \h </w:instrText>
        </w:r>
        <w:r>
          <w:rPr>
            <w:noProof/>
            <w:webHidden/>
          </w:rPr>
        </w:r>
        <w:r>
          <w:rPr>
            <w:noProof/>
            <w:webHidden/>
          </w:rPr>
          <w:fldChar w:fldCharType="separate"/>
        </w:r>
        <w:r>
          <w:rPr>
            <w:noProof/>
            <w:webHidden/>
          </w:rPr>
          <w:t>9</w:t>
        </w:r>
        <w:r>
          <w:rPr>
            <w:noProof/>
            <w:webHidden/>
          </w:rPr>
          <w:fldChar w:fldCharType="end"/>
        </w:r>
      </w:hyperlink>
    </w:p>
    <w:p w:rsidR="00384C78" w:rsidRDefault="00384C78">
      <w:pPr>
        <w:pStyle w:val="TDC2"/>
        <w:rPr>
          <w:rFonts w:asciiTheme="minorHAnsi" w:eastAsiaTheme="minorEastAsia" w:hAnsiTheme="minorHAnsi" w:cstheme="minorBidi"/>
          <w:noProof/>
          <w:szCs w:val="22"/>
          <w:lang w:val="es-ES" w:eastAsia="es-ES"/>
        </w:rPr>
      </w:pPr>
      <w:hyperlink w:anchor="_Toc69461101" w:history="1">
        <w:r w:rsidRPr="0033545C">
          <w:rPr>
            <w:rStyle w:val="Hipervnculo"/>
            <w:noProof/>
          </w:rPr>
          <w:t>V.3. Diario de Navarra Fundazioarekiko Erronka Solidarioa hitzarmena</w:t>
        </w:r>
        <w:r>
          <w:rPr>
            <w:noProof/>
            <w:webHidden/>
          </w:rPr>
          <w:tab/>
        </w:r>
        <w:r>
          <w:rPr>
            <w:noProof/>
            <w:webHidden/>
          </w:rPr>
          <w:fldChar w:fldCharType="begin"/>
        </w:r>
        <w:r>
          <w:rPr>
            <w:noProof/>
            <w:webHidden/>
          </w:rPr>
          <w:instrText xml:space="preserve"> PAGEREF _Toc69461101 \h </w:instrText>
        </w:r>
        <w:r>
          <w:rPr>
            <w:noProof/>
            <w:webHidden/>
          </w:rPr>
        </w:r>
        <w:r>
          <w:rPr>
            <w:noProof/>
            <w:webHidden/>
          </w:rPr>
          <w:fldChar w:fldCharType="separate"/>
        </w:r>
        <w:r>
          <w:rPr>
            <w:noProof/>
            <w:webHidden/>
          </w:rPr>
          <w:t>9</w:t>
        </w:r>
        <w:r>
          <w:rPr>
            <w:noProof/>
            <w:webHidden/>
          </w:rPr>
          <w:fldChar w:fldCharType="end"/>
        </w:r>
      </w:hyperlink>
    </w:p>
    <w:p w:rsidR="00384C78" w:rsidRDefault="00384C78">
      <w:pPr>
        <w:pStyle w:val="TDC1"/>
        <w:rPr>
          <w:rFonts w:asciiTheme="minorHAnsi" w:eastAsiaTheme="minorEastAsia" w:hAnsiTheme="minorHAnsi" w:cstheme="minorBidi"/>
          <w:smallCaps w:val="0"/>
          <w:noProof/>
          <w:szCs w:val="22"/>
          <w:lang w:val="es-ES" w:eastAsia="es-ES"/>
        </w:rPr>
      </w:pPr>
      <w:hyperlink w:anchor="_Toc69461102" w:history="1">
        <w:r w:rsidRPr="0033545C">
          <w:rPr>
            <w:rStyle w:val="Hipervnculo"/>
            <w:bCs/>
            <w:noProof/>
          </w:rPr>
          <w:t>Behin-behineko txostenari aurkeztutako alegazioak</w:t>
        </w:r>
        <w:r>
          <w:rPr>
            <w:noProof/>
            <w:webHidden/>
          </w:rPr>
          <w:tab/>
        </w:r>
        <w:r>
          <w:rPr>
            <w:noProof/>
            <w:webHidden/>
          </w:rPr>
          <w:fldChar w:fldCharType="begin"/>
        </w:r>
        <w:r>
          <w:rPr>
            <w:noProof/>
            <w:webHidden/>
          </w:rPr>
          <w:instrText xml:space="preserve"> PAGEREF _Toc69461102 \h </w:instrText>
        </w:r>
        <w:r>
          <w:rPr>
            <w:noProof/>
            <w:webHidden/>
          </w:rPr>
        </w:r>
        <w:r>
          <w:rPr>
            <w:noProof/>
            <w:webHidden/>
          </w:rPr>
          <w:fldChar w:fldCharType="separate"/>
        </w:r>
        <w:r>
          <w:rPr>
            <w:noProof/>
            <w:webHidden/>
          </w:rPr>
          <w:t>11</w:t>
        </w:r>
        <w:r>
          <w:rPr>
            <w:noProof/>
            <w:webHidden/>
          </w:rPr>
          <w:fldChar w:fldCharType="end"/>
        </w:r>
      </w:hyperlink>
    </w:p>
    <w:p w:rsidR="00384C78" w:rsidRDefault="00384C78">
      <w:pPr>
        <w:pStyle w:val="TDC1"/>
        <w:rPr>
          <w:rFonts w:asciiTheme="minorHAnsi" w:eastAsiaTheme="minorEastAsia" w:hAnsiTheme="minorHAnsi" w:cstheme="minorBidi"/>
          <w:smallCaps w:val="0"/>
          <w:noProof/>
          <w:szCs w:val="22"/>
          <w:lang w:val="es-ES" w:eastAsia="es-ES"/>
        </w:rPr>
      </w:pPr>
      <w:hyperlink w:anchor="_Toc69461103" w:history="1">
        <w:r w:rsidRPr="0033545C">
          <w:rPr>
            <w:rStyle w:val="Hipervnculo"/>
            <w:noProof/>
          </w:rPr>
          <w:t>Behin-behineko txostenari aurkeztutako alegazioei Kontuen Ganberak emandako erantzuna</w:t>
        </w:r>
        <w:r>
          <w:rPr>
            <w:noProof/>
            <w:webHidden/>
          </w:rPr>
          <w:tab/>
        </w:r>
        <w:r>
          <w:rPr>
            <w:noProof/>
            <w:webHidden/>
          </w:rPr>
          <w:fldChar w:fldCharType="begin"/>
        </w:r>
        <w:r>
          <w:rPr>
            <w:noProof/>
            <w:webHidden/>
          </w:rPr>
          <w:instrText xml:space="preserve"> PAGEREF _Toc69461103 \h </w:instrText>
        </w:r>
        <w:r>
          <w:rPr>
            <w:noProof/>
            <w:webHidden/>
          </w:rPr>
        </w:r>
        <w:r>
          <w:rPr>
            <w:noProof/>
            <w:webHidden/>
          </w:rPr>
          <w:fldChar w:fldCharType="separate"/>
        </w:r>
        <w:r>
          <w:rPr>
            <w:noProof/>
            <w:webHidden/>
          </w:rPr>
          <w:t>3</w:t>
        </w:r>
        <w:r>
          <w:rPr>
            <w:noProof/>
            <w:webHidden/>
          </w:rPr>
          <w:fldChar w:fldCharType="end"/>
        </w:r>
      </w:hyperlink>
    </w:p>
    <w:p w:rsidR="00891D73" w:rsidRDefault="0014728F" w:rsidP="003C6E1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051AC1" w:rsidRPr="00051AC1" w:rsidRDefault="001728D0" w:rsidP="00051AC1">
      <w:pPr>
        <w:pStyle w:val="atitulo1"/>
      </w:pPr>
      <w:r>
        <w:lastRenderedPageBreak/>
        <w:t xml:space="preserve"> </w:t>
      </w:r>
      <w:bookmarkStart w:id="1" w:name="_Toc64529167"/>
      <w:bookmarkStart w:id="2" w:name="_Toc66193831"/>
      <w:bookmarkStart w:id="3" w:name="_Toc69461093"/>
      <w:r>
        <w:t>I. Sarrera</w:t>
      </w:r>
      <w:bookmarkEnd w:id="1"/>
      <w:bookmarkEnd w:id="2"/>
      <w:bookmarkEnd w:id="3"/>
    </w:p>
    <w:p w:rsidR="00051AC1" w:rsidRPr="00B276A8" w:rsidRDefault="00051AC1" w:rsidP="00B276A8">
      <w:pPr>
        <w:pStyle w:val="texto"/>
      </w:pPr>
      <w:r>
        <w:t>2019ko abuztuaren amaiera aldean, Melidako Udalak, Osoko Bilkuran on</w:t>
      </w:r>
      <w:r>
        <w:t>e</w:t>
      </w:r>
      <w:r>
        <w:t>tsitakoari jarraikiz, fiskalizazio-txostena egiteko eskaria erregistratu zuen Ko</w:t>
      </w:r>
      <w:r>
        <w:t>n</w:t>
      </w:r>
      <w:r>
        <w:t xml:space="preserve">tuen Ganberan. </w:t>
      </w:r>
    </w:p>
    <w:p w:rsidR="00051AC1" w:rsidRPr="00B276A8" w:rsidRDefault="00051AC1" w:rsidP="00B276A8">
      <w:pPr>
        <w:pStyle w:val="texto"/>
      </w:pPr>
      <w:r>
        <w:t>Zehazki, eskarian eskatzen zen honako alderdi hauek aztertzeko:</w:t>
      </w:r>
    </w:p>
    <w:p w:rsidR="00051AC1" w:rsidRDefault="00593C0F" w:rsidP="00051AC1">
      <w:pPr>
        <w:pStyle w:val="Prrafodelista"/>
        <w:numPr>
          <w:ilvl w:val="0"/>
          <w:numId w:val="9"/>
        </w:numPr>
        <w:tabs>
          <w:tab w:val="left" w:pos="426"/>
          <w:tab w:val="left" w:pos="567"/>
        </w:tabs>
        <w:ind w:left="0" w:firstLine="284"/>
        <w:contextualSpacing w:val="0"/>
        <w:rPr>
          <w:spacing w:val="6"/>
          <w:sz w:val="26"/>
          <w:szCs w:val="26"/>
        </w:rPr>
      </w:pPr>
      <w:r>
        <w:rPr>
          <w:sz w:val="26"/>
          <w:szCs w:val="26"/>
        </w:rPr>
        <w:t xml:space="preserve"> Territorio Visón programaren kudeaketa ekonomikoa.</w:t>
      </w:r>
    </w:p>
    <w:p w:rsidR="00593C0F" w:rsidRDefault="00A05059" w:rsidP="00593C0F">
      <w:pPr>
        <w:pStyle w:val="Prrafodelista"/>
        <w:numPr>
          <w:ilvl w:val="0"/>
          <w:numId w:val="9"/>
        </w:numPr>
        <w:tabs>
          <w:tab w:val="left" w:pos="426"/>
          <w:tab w:val="left" w:pos="567"/>
        </w:tabs>
        <w:ind w:left="0" w:firstLine="284"/>
        <w:contextualSpacing w:val="0"/>
        <w:rPr>
          <w:spacing w:val="6"/>
          <w:sz w:val="26"/>
          <w:szCs w:val="26"/>
        </w:rPr>
      </w:pPr>
      <w:r>
        <w:rPr>
          <w:sz w:val="26"/>
          <w:szCs w:val="26"/>
        </w:rPr>
        <w:t xml:space="preserve"> Erabilera anitzeko eraikinaren kontratazioa.</w:t>
      </w:r>
    </w:p>
    <w:p w:rsidR="00051AC1" w:rsidRDefault="00593C0F" w:rsidP="00051AC1">
      <w:pPr>
        <w:pStyle w:val="Prrafodelista"/>
        <w:numPr>
          <w:ilvl w:val="0"/>
          <w:numId w:val="9"/>
        </w:numPr>
        <w:tabs>
          <w:tab w:val="left" w:pos="426"/>
          <w:tab w:val="left" w:pos="567"/>
        </w:tabs>
        <w:ind w:left="0" w:firstLine="284"/>
        <w:contextualSpacing w:val="0"/>
        <w:rPr>
          <w:spacing w:val="6"/>
          <w:sz w:val="26"/>
          <w:szCs w:val="26"/>
        </w:rPr>
      </w:pPr>
      <w:r>
        <w:rPr>
          <w:sz w:val="26"/>
          <w:szCs w:val="26"/>
        </w:rPr>
        <w:t xml:space="preserve"> Diario de Navarra Fundazioarekiko kontratu-harremana (hemendik aitzin, Fu</w:t>
      </w:r>
      <w:r>
        <w:rPr>
          <w:sz w:val="26"/>
          <w:szCs w:val="26"/>
        </w:rPr>
        <w:t>n</w:t>
      </w:r>
      <w:r>
        <w:rPr>
          <w:sz w:val="26"/>
          <w:szCs w:val="26"/>
        </w:rPr>
        <w:t>dazioa): Erronka Solidarioa.</w:t>
      </w:r>
    </w:p>
    <w:p w:rsidR="00051AC1" w:rsidRPr="00B276A8" w:rsidRDefault="00051AC1" w:rsidP="00B276A8">
      <w:pPr>
        <w:pStyle w:val="texto"/>
      </w:pPr>
      <w:r>
        <w:t>Azterlan hori Kontuen Ganberak 2020. urterako onartu zuen fiskalizazioko urteko programan sartu zen, eta legelari batek eta auditore batek osatutako ta</w:t>
      </w:r>
      <w:r>
        <w:t>l</w:t>
      </w:r>
      <w:r>
        <w:t>deak egin du, Kontuen Ganberako zerbitzu juridiko, informatiko eta admini</w:t>
      </w:r>
      <w:r>
        <w:t>s</w:t>
      </w:r>
      <w:r>
        <w:t>tratiboen laguntzarekin, 2021eko martxoan.</w:t>
      </w:r>
    </w:p>
    <w:p w:rsidR="00051AC1" w:rsidRPr="00B276A8" w:rsidRDefault="00051AC1" w:rsidP="00B276A8">
      <w:pPr>
        <w:pStyle w:val="texto"/>
      </w:pPr>
      <w:r>
        <w:t>Txostenak bost epigrafe dauzka, sarrera hau barne; bigarrenak, udalari b</w:t>
      </w:r>
      <w:r>
        <w:t>u</w:t>
      </w:r>
      <w:r>
        <w:t>ruzko datu nagusiak biltzen ditu; hirugarrenean, fiskalizazioaren helburuak eta norainokoa identifikatzen dira; laugarrenak, aztertu diren espedienteetan lege</w:t>
      </w:r>
      <w:r>
        <w:t>z</w:t>
      </w:r>
      <w:r>
        <w:t>kotasuna bete ote den esaten da, eta bosgarrenean, berriz, konklusioak eta g</w:t>
      </w:r>
      <w:r>
        <w:t>o</w:t>
      </w:r>
      <w:r>
        <w:t>mendioak azaltzen dira.</w:t>
      </w:r>
    </w:p>
    <w:p w:rsidR="00565555" w:rsidRPr="003A62EA" w:rsidRDefault="00565555" w:rsidP="00565555">
      <w:pPr>
        <w:pStyle w:val="texto"/>
        <w:spacing w:after="120"/>
      </w:pPr>
      <w:r>
        <w:t>Jarduketa horren emaitzak Melidako Udaleko alkateari eta alkate ohiari jak</w:t>
      </w:r>
      <w:r>
        <w:t>i</w:t>
      </w:r>
      <w:r>
        <w:t>narazi zitzaizkien, egokitzat jotzen zituzten alegazioak aurkez zitzaten, Naf</w:t>
      </w:r>
      <w:r>
        <w:t>a</w:t>
      </w:r>
      <w:r>
        <w:t xml:space="preserve">rroako Kontuen Ganbera arautzen duen 19/1984 Foru Legearen 11.2 artikuluan ezarritakoari jarraikiz. </w:t>
      </w:r>
    </w:p>
    <w:p w:rsidR="00565555" w:rsidRPr="003A62EA" w:rsidRDefault="00565555" w:rsidP="00565555">
      <w:pPr>
        <w:pStyle w:val="texto"/>
        <w:spacing w:after="120"/>
      </w:pPr>
      <w:r>
        <w:t>Emandako epean, Melidako Udaleko alkate ohiak aurkeztu ditu alegazioak.</w:t>
      </w:r>
    </w:p>
    <w:p w:rsidR="00051AC1" w:rsidRPr="00B276A8" w:rsidRDefault="00051AC1" w:rsidP="00B276A8">
      <w:pPr>
        <w:pStyle w:val="texto"/>
      </w:pPr>
      <w:r>
        <w:t>Udaleko langileei eskerrak ematen dizkiegu lan hau egiteko eman diguten laguntzarengatik.</w:t>
      </w:r>
    </w:p>
    <w:p w:rsidR="00051AC1" w:rsidRDefault="00051AC1" w:rsidP="00051AC1">
      <w:pPr>
        <w:spacing w:after="0"/>
        <w:ind w:firstLine="0"/>
        <w:jc w:val="left"/>
        <w:rPr>
          <w:spacing w:val="6"/>
          <w:sz w:val="26"/>
          <w:szCs w:val="24"/>
        </w:rPr>
      </w:pPr>
      <w:r>
        <w:br w:type="page"/>
      </w:r>
    </w:p>
    <w:p w:rsidR="00051AC1" w:rsidRDefault="00051AC1" w:rsidP="00051AC1">
      <w:pPr>
        <w:pStyle w:val="atitulo1"/>
      </w:pPr>
      <w:bookmarkStart w:id="4" w:name="_Toc64529168"/>
      <w:bookmarkStart w:id="5" w:name="_Toc66193832"/>
      <w:bookmarkStart w:id="6" w:name="_Toc69461094"/>
      <w:r>
        <w:lastRenderedPageBreak/>
        <w:t xml:space="preserve">II. </w:t>
      </w:r>
      <w:bookmarkEnd w:id="4"/>
      <w:r>
        <w:t>Melidako Udala</w:t>
      </w:r>
      <w:bookmarkEnd w:id="5"/>
      <w:bookmarkEnd w:id="6"/>
    </w:p>
    <w:p w:rsidR="00051AC1" w:rsidRPr="00B276A8" w:rsidRDefault="00051AC1" w:rsidP="00B276A8">
      <w:pPr>
        <w:pStyle w:val="texto"/>
      </w:pPr>
      <w:r>
        <w:t>Mélida Tuterako merindadean dagoen udal bat da, 2020ko urtarrilaren 1ean zuzenbideko 733 biztanle zituena eta 26,10 km</w:t>
      </w:r>
      <w:r>
        <w:rPr>
          <w:vertAlign w:val="superscript"/>
        </w:rPr>
        <w:t>2</w:t>
      </w:r>
      <w:r>
        <w:t>-ko azalera duena.</w:t>
      </w:r>
    </w:p>
    <w:p w:rsidR="00051AC1" w:rsidRPr="00B276A8" w:rsidRDefault="00051AC1" w:rsidP="00B276A8">
      <w:pPr>
        <w:pStyle w:val="texto"/>
      </w:pPr>
      <w:r>
        <w:t>Udal antolamendua Osoko Bilkurak (ordezkaritza-organo gorena) eta Alkat</w:t>
      </w:r>
      <w:r>
        <w:t>e</w:t>
      </w:r>
      <w:r>
        <w:t xml:space="preserve">tzak osatzen dute. </w:t>
      </w:r>
    </w:p>
    <w:p w:rsidR="00051AC1" w:rsidRPr="00B276A8" w:rsidRDefault="00051AC1" w:rsidP="00B276A8">
      <w:pPr>
        <w:pStyle w:val="texto"/>
      </w:pPr>
      <w:r>
        <w:t>Udala Mairagako Mankomunitateko kidea da, eta haren bidez kudeatzen ditu uraren ziklo integralaren zerbitzuak eta hiri-hondakin solidoen kudeaketa eta tratamendurako zerbitzuak. Nafarroako Erdialdeko Kirol, Gizarte eta Kultur Zerbitzuen Mankomunitateko eta Zarrakazteluko Oinarrizko Gizarte Zerbitzuen Mankomunitateko kidea ere bada. Azken horri 17.666 euro ordaindu dizkio 2019an, eta ez da jasota ageri gainerako mankomunitateetako gasturik.</w:t>
      </w:r>
    </w:p>
    <w:p w:rsidR="00051AC1" w:rsidRPr="00B276A8" w:rsidRDefault="00051AC1" w:rsidP="00B276A8">
      <w:pPr>
        <w:pStyle w:val="texto"/>
      </w:pPr>
      <w:r>
        <w:t>Udalari aplikatzeko zaion arau-esparrua honako hauek osatzen dute, fu</w:t>
      </w:r>
      <w:r>
        <w:t>n</w:t>
      </w:r>
      <w:r>
        <w:t>tsean: Nafarroako Toki Administrazioari buruzko uztailaren 2ko 6/1990 Foru Legea; Nafarroako Toki Ogasunei buruzko martxoaren 10eko 2/1995 Foru L</w:t>
      </w:r>
      <w:r>
        <w:t>e</w:t>
      </w:r>
      <w:r>
        <w:t>gea.; Toki Araubidearen Oinarriak ezartzen dituen apirilaren 2ko 7/1985 Legea; Kontratu Publikoei buruzko ekainaren 9ko 38/2013 Legea eta Dirulaguntzei b</w:t>
      </w:r>
      <w:r>
        <w:t>u</w:t>
      </w:r>
      <w:r>
        <w:t>ruzko azaroaren 17ko 38/2013 Lege Orokorra, bai eta araudi sektorial inda</w:t>
      </w:r>
      <w:r>
        <w:t>r</w:t>
      </w:r>
      <w:r>
        <w:t>duna ere.</w:t>
      </w:r>
    </w:p>
    <w:p w:rsidR="00051AC1" w:rsidRDefault="00051AC1" w:rsidP="00051AC1">
      <w:pPr>
        <w:tabs>
          <w:tab w:val="left" w:pos="8222"/>
          <w:tab w:val="left" w:pos="8505"/>
        </w:tabs>
        <w:spacing w:after="200" w:line="276" w:lineRule="auto"/>
        <w:ind w:firstLine="0"/>
        <w:jc w:val="left"/>
        <w:rPr>
          <w:sz w:val="26"/>
          <w:szCs w:val="26"/>
        </w:rPr>
      </w:pPr>
      <w:r>
        <w:br w:type="page"/>
      </w:r>
    </w:p>
    <w:p w:rsidR="00051AC1" w:rsidRPr="00051AC1" w:rsidRDefault="00051AC1" w:rsidP="00051AC1">
      <w:pPr>
        <w:pStyle w:val="atitulo1"/>
      </w:pPr>
      <w:bookmarkStart w:id="7" w:name="_Toc311633164"/>
      <w:bookmarkStart w:id="8" w:name="_Toc311633173"/>
      <w:bookmarkStart w:id="9" w:name="_Toc432757080"/>
      <w:bookmarkStart w:id="10" w:name="_Toc447195014"/>
      <w:bookmarkStart w:id="11" w:name="_Toc477171873"/>
      <w:bookmarkStart w:id="12" w:name="_Toc64529169"/>
      <w:bookmarkStart w:id="13" w:name="_Toc66193833"/>
      <w:bookmarkStart w:id="14" w:name="_Toc69461095"/>
      <w:r>
        <w:lastRenderedPageBreak/>
        <w:t xml:space="preserve">III. </w:t>
      </w:r>
      <w:bookmarkEnd w:id="7"/>
      <w:bookmarkEnd w:id="8"/>
      <w:r>
        <w:t>Helburua</w:t>
      </w:r>
      <w:bookmarkEnd w:id="9"/>
      <w:r>
        <w:t>k eta norainokoa</w:t>
      </w:r>
      <w:bookmarkEnd w:id="10"/>
      <w:bookmarkEnd w:id="11"/>
      <w:bookmarkEnd w:id="12"/>
      <w:bookmarkEnd w:id="13"/>
      <w:bookmarkEnd w:id="14"/>
    </w:p>
    <w:p w:rsidR="00051AC1" w:rsidRPr="00B276A8" w:rsidRDefault="00051AC1" w:rsidP="00B276A8">
      <w:pPr>
        <w:pStyle w:val="texto"/>
      </w:pPr>
      <w:r>
        <w:t xml:space="preserve">Lan honen helburua da, jasotako eskaria kontuan hartuta, legezkotasunaren betetzeari buruzko fiskalizazioa egitea, iritzi bat ematearren kontratazioak eta aztertutako programen kudeaketa ekonomikoa aplikatu beharreko araudiaren araberakoak izan ote diren alderdirik nagusienetan. </w:t>
      </w:r>
    </w:p>
    <w:p w:rsidR="00051AC1" w:rsidRPr="00B276A8" w:rsidRDefault="00051AC1" w:rsidP="00B276A8">
      <w:pPr>
        <w:pStyle w:val="texto"/>
      </w:pPr>
      <w:r>
        <w:t>Lana egiteko, Udalaren Osoko Bilkurak egindako eskaria abiarazi zuten hiru espedienteak aztertu ditugu; honako hauek, zehazki:</w:t>
      </w:r>
    </w:p>
    <w:p w:rsidR="00AA7978" w:rsidRPr="000E14C6" w:rsidRDefault="00AA7978" w:rsidP="00AA7978">
      <w:pPr>
        <w:pStyle w:val="Prrafodelista"/>
        <w:numPr>
          <w:ilvl w:val="0"/>
          <w:numId w:val="9"/>
        </w:numPr>
        <w:tabs>
          <w:tab w:val="left" w:pos="426"/>
          <w:tab w:val="left" w:pos="567"/>
        </w:tabs>
        <w:ind w:left="0" w:firstLine="284"/>
        <w:contextualSpacing w:val="0"/>
        <w:rPr>
          <w:rFonts w:cs="Arial"/>
        </w:rPr>
      </w:pPr>
      <w:r>
        <w:rPr>
          <w:sz w:val="26"/>
          <w:szCs w:val="26"/>
        </w:rPr>
        <w:t>Life+ Territorio Visón programaren espedientea.</w:t>
      </w:r>
    </w:p>
    <w:p w:rsidR="00051AC1" w:rsidRDefault="00051AC1" w:rsidP="00051AC1">
      <w:pPr>
        <w:pStyle w:val="Prrafodelista"/>
        <w:numPr>
          <w:ilvl w:val="0"/>
          <w:numId w:val="9"/>
        </w:numPr>
        <w:tabs>
          <w:tab w:val="left" w:pos="426"/>
          <w:tab w:val="left" w:pos="567"/>
        </w:tabs>
        <w:ind w:left="0" w:firstLine="284"/>
        <w:contextualSpacing w:val="0"/>
        <w:rPr>
          <w:spacing w:val="6"/>
          <w:sz w:val="26"/>
          <w:szCs w:val="26"/>
        </w:rPr>
      </w:pPr>
      <w:r>
        <w:rPr>
          <w:sz w:val="26"/>
          <w:szCs w:val="26"/>
        </w:rPr>
        <w:t>Melidako erabilera anitzeko eraikinaren obren kontratazio-espedientea.</w:t>
      </w:r>
    </w:p>
    <w:p w:rsidR="00051AC1" w:rsidRDefault="00051AC1" w:rsidP="00051AC1">
      <w:pPr>
        <w:pStyle w:val="Prrafodelista"/>
        <w:numPr>
          <w:ilvl w:val="0"/>
          <w:numId w:val="9"/>
        </w:numPr>
        <w:tabs>
          <w:tab w:val="left" w:pos="426"/>
          <w:tab w:val="left" w:pos="567"/>
        </w:tabs>
        <w:ind w:left="0" w:firstLine="284"/>
        <w:contextualSpacing w:val="0"/>
        <w:rPr>
          <w:spacing w:val="6"/>
          <w:sz w:val="26"/>
          <w:szCs w:val="26"/>
        </w:rPr>
      </w:pPr>
      <w:r>
        <w:rPr>
          <w:sz w:val="26"/>
          <w:szCs w:val="26"/>
        </w:rPr>
        <w:t>Erronka Solidarioa izeneko kirol-ekitaldia sustatze aldera Fundazioarekin iza</w:t>
      </w:r>
      <w:r>
        <w:rPr>
          <w:sz w:val="26"/>
          <w:szCs w:val="26"/>
        </w:rPr>
        <w:t>n</w:t>
      </w:r>
      <w:r>
        <w:rPr>
          <w:sz w:val="26"/>
          <w:szCs w:val="26"/>
        </w:rPr>
        <w:t>dako harremanaren espedientea.</w:t>
      </w:r>
    </w:p>
    <w:p w:rsidR="00051AC1" w:rsidRPr="000E14C6" w:rsidRDefault="00051AC1" w:rsidP="00051AC1">
      <w:pPr>
        <w:tabs>
          <w:tab w:val="left" w:pos="426"/>
          <w:tab w:val="left" w:pos="567"/>
        </w:tabs>
        <w:rPr>
          <w:rFonts w:cs="Arial"/>
        </w:rPr>
      </w:pPr>
      <w:r>
        <w:tab/>
      </w:r>
      <w:r>
        <w:br w:type="page"/>
      </w:r>
    </w:p>
    <w:p w:rsidR="00051AC1" w:rsidRPr="00051AC1" w:rsidRDefault="00051AC1" w:rsidP="00051AC1">
      <w:pPr>
        <w:pStyle w:val="atitulo1"/>
      </w:pPr>
      <w:bookmarkStart w:id="15" w:name="_Toc398207038"/>
      <w:bookmarkStart w:id="16" w:name="_Toc432757087"/>
      <w:bookmarkStart w:id="17" w:name="_Toc447195021"/>
      <w:bookmarkStart w:id="18" w:name="_Toc477171874"/>
      <w:bookmarkStart w:id="19" w:name="_Toc64529170"/>
      <w:bookmarkStart w:id="20" w:name="_Toc66193834"/>
      <w:bookmarkStart w:id="21" w:name="_Toc432757082"/>
      <w:bookmarkStart w:id="22" w:name="_Toc447195015"/>
      <w:bookmarkStart w:id="23" w:name="_Toc69461096"/>
      <w:r>
        <w:lastRenderedPageBreak/>
        <w:t xml:space="preserve">IV. </w:t>
      </w:r>
      <w:bookmarkEnd w:id="15"/>
      <w:bookmarkEnd w:id="16"/>
      <w:bookmarkEnd w:id="17"/>
      <w:bookmarkEnd w:id="18"/>
      <w:r>
        <w:t>Iritzia</w:t>
      </w:r>
      <w:bookmarkEnd w:id="19"/>
      <w:bookmarkEnd w:id="20"/>
      <w:bookmarkEnd w:id="23"/>
    </w:p>
    <w:p w:rsidR="00051AC1" w:rsidRPr="00FB1E50" w:rsidRDefault="00051AC1" w:rsidP="00051AC1">
      <w:pPr>
        <w:keepNext/>
        <w:spacing w:before="240" w:after="240"/>
        <w:ind w:firstLine="0"/>
        <w:rPr>
          <w:rFonts w:ascii="Arial" w:hAnsi="Arial"/>
          <w:i/>
          <w:iCs/>
          <w:color w:val="000000"/>
          <w:spacing w:val="10"/>
          <w:kern w:val="28"/>
          <w:sz w:val="24"/>
          <w:szCs w:val="24"/>
        </w:rPr>
      </w:pPr>
      <w:r>
        <w:rPr>
          <w:rFonts w:ascii="Arial" w:hAnsi="Arial"/>
          <w:i/>
          <w:iCs/>
          <w:color w:val="000000"/>
          <w:sz w:val="24"/>
          <w:szCs w:val="24"/>
        </w:rPr>
        <w:t xml:space="preserve">Udalaren erantzukizuna </w:t>
      </w:r>
    </w:p>
    <w:p w:rsidR="00051AC1" w:rsidRPr="00F47C17" w:rsidRDefault="00593C0F" w:rsidP="00051AC1">
      <w:pPr>
        <w:pStyle w:val="texto"/>
      </w:pPr>
      <w:r>
        <w:t>Auditoria egin zaion entitateko idazkaritzak eta kontu-hartzailetzak bermatu behar dute aplikatu beharreko arauei jarraikiz egin direla espediente horiei d</w:t>
      </w:r>
      <w:r>
        <w:t>a</w:t>
      </w:r>
      <w:r>
        <w:t>gozkien kudeaketa-jarduerak. Halaber, aztertutako jardueran iruzurraren edo okerren ondorioz legezko ez-betetzerik eta huts materialik ez egoteko beh</w:t>
      </w:r>
      <w:r>
        <w:t>a</w:t>
      </w:r>
      <w:r>
        <w:t>rrezkotzat jotzen den barne kontrolaren erantzulea da.</w:t>
      </w:r>
    </w:p>
    <w:p w:rsidR="00051AC1" w:rsidRPr="00FB1E50" w:rsidRDefault="00051AC1" w:rsidP="00051AC1">
      <w:pPr>
        <w:keepNext/>
        <w:spacing w:before="240" w:after="240"/>
        <w:ind w:firstLine="0"/>
        <w:rPr>
          <w:rFonts w:ascii="Arial" w:hAnsi="Arial"/>
          <w:i/>
          <w:iCs/>
          <w:color w:val="000000"/>
          <w:spacing w:val="10"/>
          <w:kern w:val="28"/>
          <w:sz w:val="24"/>
          <w:szCs w:val="24"/>
        </w:rPr>
      </w:pPr>
      <w:r>
        <w:rPr>
          <w:rFonts w:ascii="Arial" w:hAnsi="Arial"/>
          <w:i/>
          <w:iCs/>
          <w:color w:val="000000"/>
          <w:sz w:val="24"/>
          <w:szCs w:val="24"/>
        </w:rPr>
        <w:t>Kontuen Ganberaren erantzukizuna</w:t>
      </w:r>
    </w:p>
    <w:p w:rsidR="00051AC1" w:rsidRPr="00F47C17" w:rsidRDefault="00051AC1" w:rsidP="00051AC1">
      <w:pPr>
        <w:pStyle w:val="texto"/>
      </w:pPr>
      <w:r>
        <w:t xml:space="preserve">Gure erantzukizuna da iritzi bat adieraztea gure fiskalizazioan oinarrituta egin diren jarduketen legezkotasunari buruz. </w:t>
      </w:r>
    </w:p>
    <w:p w:rsidR="00051AC1" w:rsidRPr="00051AC1" w:rsidRDefault="00051AC1" w:rsidP="00051AC1">
      <w:pPr>
        <w:pStyle w:val="texto"/>
      </w:pPr>
      <w:r>
        <w:t>Horretarako, erantzukizun hori bete dugu kanpo kontroleko erakunde publ</w:t>
      </w:r>
      <w:r>
        <w:t>i</w:t>
      </w:r>
      <w:r>
        <w:t>koen fiskalizaziorako oinarrizko printzipioen arabera, "Legea betetzeari b</w:t>
      </w:r>
      <w:r>
        <w:t>u</w:t>
      </w:r>
      <w:r>
        <w:t>ruzko fiskalizazioaren oinarrizko printzipioak" izeneko ISSAI-ES 400 araua, hain zuzen. Printzipio horiek exijitzen dute etikaren arloko eskakizunak bete ditzagula, bai eta fiskalizazioaren plangintza eta betearaztea egin ditzagula ere, arrazoizko segurtasun bat lortze aldera, finantzen egoera-orrietan islatutako jarduketak eta informazioa, alderdi adierazgarri guztietan, arau indardunen ar</w:t>
      </w:r>
      <w:r>
        <w:t>a</w:t>
      </w:r>
      <w:r>
        <w:t xml:space="preserve">berakoak izatearen gainekoa. </w:t>
      </w:r>
    </w:p>
    <w:p w:rsidR="00051AC1" w:rsidRPr="00051AC1" w:rsidRDefault="00051AC1" w:rsidP="00051AC1">
      <w:pPr>
        <w:pStyle w:val="texto"/>
      </w:pPr>
      <w:r>
        <w:t>Fiskalizazio batek eskatzen du prozedura batzuk aplika ditzagula auditoria-ebidentzia bat lortzeko kudeaketan baliatutako prozedurei buruz, urteko ko</w:t>
      </w:r>
      <w:r>
        <w:t>n</w:t>
      </w:r>
      <w:r>
        <w:t xml:space="preserve">tuetan adierazitako informazioari buruz eta eragiketen legezkotasunari buruz. </w:t>
      </w:r>
    </w:p>
    <w:p w:rsidR="00051AC1" w:rsidRPr="00B0555F" w:rsidRDefault="00051AC1" w:rsidP="00051AC1">
      <w:pPr>
        <w:pStyle w:val="texto"/>
        <w:rPr>
          <w:spacing w:val="4"/>
        </w:rPr>
      </w:pPr>
      <w:r>
        <w:t>Hautatutako prozedurak auditorearen irizpidearen araberakoak dira, horren barne dela arriskuen balorazioa, iruzurraren nahiz akatsaren ondoriozkoa d</w:t>
      </w:r>
      <w:r>
        <w:t>e</w:t>
      </w:r>
      <w:r>
        <w:t>nean eta legezkotasunaren ez-betetze aipagarrien ondoriozkoa denean. Arri</w:t>
      </w:r>
      <w:r>
        <w:t>s</w:t>
      </w:r>
      <w:r>
        <w:t>kuari buruzko balorazio horiek egiterakoan, auditoreak barne kontrola hartzen du kontuan inguruabarren araberako auditoria prozedura egokiak diseinatze a</w:t>
      </w:r>
      <w:r>
        <w:t>l</w:t>
      </w:r>
      <w:r>
        <w:t xml:space="preserve">dera, eta ez entitatearen barne kontrolaren eraginkortasunari buruzko iritzia emateko xedez. </w:t>
      </w:r>
    </w:p>
    <w:p w:rsidR="00051AC1" w:rsidRPr="00F47C17" w:rsidRDefault="00051AC1" w:rsidP="00051AC1">
      <w:pPr>
        <w:pStyle w:val="texto"/>
      </w:pPr>
      <w:r>
        <w:t>Gure ustez, lortu dugun auditoretza-ebidentziak behar adinako oinarria eta oinarri egokia jasotzen du gure iritzia funtsatzeko.</w:t>
      </w:r>
      <w:r>
        <w:tab/>
      </w:r>
      <w:r>
        <w:br w:type="page"/>
      </w:r>
    </w:p>
    <w:p w:rsidR="00051AC1" w:rsidRPr="00051AC1" w:rsidRDefault="00051AC1" w:rsidP="00051AC1">
      <w:pPr>
        <w:pStyle w:val="atitulo2"/>
        <w:rPr>
          <w:spacing w:val="6"/>
        </w:rPr>
      </w:pPr>
      <w:bookmarkStart w:id="24" w:name="_Toc66193835"/>
      <w:bookmarkStart w:id="25" w:name="_Toc69461097"/>
      <w:r>
        <w:lastRenderedPageBreak/>
        <w:t>IV.1. Melidako Udalak legezkotasuna betetzeari buruzko iritzia</w:t>
      </w:r>
      <w:bookmarkEnd w:id="24"/>
      <w:bookmarkEnd w:id="25"/>
    </w:p>
    <w:p w:rsidR="00051AC1" w:rsidRPr="00FB1E50" w:rsidRDefault="00051AC1" w:rsidP="00051AC1">
      <w:pPr>
        <w:keepNext/>
        <w:spacing w:before="240" w:after="240"/>
        <w:ind w:firstLine="0"/>
        <w:rPr>
          <w:rFonts w:ascii="Arial" w:hAnsi="Arial"/>
          <w:i/>
          <w:iCs/>
          <w:color w:val="000000"/>
          <w:spacing w:val="10"/>
          <w:kern w:val="28"/>
          <w:sz w:val="24"/>
          <w:szCs w:val="24"/>
        </w:rPr>
      </w:pPr>
      <w:r>
        <w:rPr>
          <w:rFonts w:ascii="Arial" w:hAnsi="Arial"/>
          <w:i/>
          <w:iCs/>
          <w:color w:val="000000"/>
          <w:sz w:val="24"/>
          <w:szCs w:val="24"/>
        </w:rPr>
        <w:t>Salbuespendun iritziaren oinarria</w:t>
      </w:r>
    </w:p>
    <w:p w:rsidR="00051AC1" w:rsidRPr="00B276A8" w:rsidRDefault="00051AC1" w:rsidP="00B52083">
      <w:pPr>
        <w:pStyle w:val="Prrafodelista"/>
        <w:tabs>
          <w:tab w:val="left" w:pos="426"/>
          <w:tab w:val="left" w:pos="567"/>
        </w:tabs>
        <w:ind w:left="0" w:firstLine="284"/>
        <w:contextualSpacing w:val="0"/>
        <w:rPr>
          <w:spacing w:val="6"/>
          <w:sz w:val="26"/>
          <w:szCs w:val="26"/>
        </w:rPr>
      </w:pPr>
      <w:r>
        <w:rPr>
          <w:sz w:val="26"/>
          <w:szCs w:val="26"/>
        </w:rPr>
        <w:t>Erabilera anitzeko eraikinaren obrak egin bitartean linea elektrikoa lurperatzeko obra osagarri bat egin da –36.151 euro, BEZa kanpo–, baina kasuko espedientea ez da kontratuei buruzko araudiari jarraikiz izapidetu.</w:t>
      </w:r>
    </w:p>
    <w:p w:rsidR="00051AC1" w:rsidRPr="00FB1E50" w:rsidRDefault="00051AC1" w:rsidP="00051AC1">
      <w:pPr>
        <w:keepNext/>
        <w:spacing w:before="240" w:after="240"/>
        <w:ind w:firstLine="0"/>
        <w:rPr>
          <w:rFonts w:ascii="Arial" w:hAnsi="Arial"/>
          <w:i/>
          <w:iCs/>
          <w:color w:val="000000"/>
          <w:spacing w:val="10"/>
          <w:kern w:val="28"/>
          <w:sz w:val="24"/>
          <w:szCs w:val="24"/>
        </w:rPr>
      </w:pPr>
      <w:r>
        <w:rPr>
          <w:rFonts w:ascii="Arial" w:hAnsi="Arial"/>
          <w:i/>
          <w:iCs/>
          <w:color w:val="000000"/>
          <w:sz w:val="24"/>
          <w:szCs w:val="24"/>
        </w:rPr>
        <w:t>Legezkotasuna betetzeari buruzko iritzia</w:t>
      </w:r>
    </w:p>
    <w:p w:rsidR="00051AC1" w:rsidRPr="00F47C17" w:rsidRDefault="00051AC1" w:rsidP="00051AC1">
      <w:pPr>
        <w:pStyle w:val="texto"/>
      </w:pPr>
      <w:r>
        <w:t>Gure iritziz, "Salbuespendun iritziaren oinarria" paragrafoan azaldutakoag</w:t>
      </w:r>
      <w:r>
        <w:t>a</w:t>
      </w:r>
      <w:r>
        <w:t>tik ez bada, eta kontuan hartuta aztertutako lanaren norainokoa, auditoria egin zaien hiru espedienteak bat datoz, alderdi esanguratsu guztietan, funts publ</w:t>
      </w:r>
      <w:r>
        <w:t>i</w:t>
      </w:r>
      <w:r>
        <w:t>koen kudeaketari aplikatu beharreko arauekin.</w:t>
      </w:r>
    </w:p>
    <w:p w:rsidR="00051AC1" w:rsidRDefault="00051AC1" w:rsidP="00051AC1">
      <w:pPr>
        <w:spacing w:after="0"/>
        <w:ind w:firstLine="0"/>
        <w:jc w:val="left"/>
        <w:rPr>
          <w:rFonts w:ascii="Arial" w:hAnsi="Arial"/>
          <w:b/>
          <w:color w:val="000000"/>
          <w:kern w:val="28"/>
          <w:sz w:val="25"/>
          <w:szCs w:val="26"/>
        </w:rPr>
      </w:pPr>
      <w:bookmarkStart w:id="26" w:name="_Toc64529171"/>
      <w:r>
        <w:br w:type="page"/>
      </w:r>
    </w:p>
    <w:p w:rsidR="00051AC1" w:rsidRPr="00BB1925" w:rsidRDefault="00051AC1" w:rsidP="00051AC1">
      <w:pPr>
        <w:pStyle w:val="atitulo1"/>
      </w:pPr>
      <w:bookmarkStart w:id="27" w:name="_Toc66193836"/>
      <w:bookmarkStart w:id="28" w:name="_Toc69461098"/>
      <w:r>
        <w:lastRenderedPageBreak/>
        <w:t>V. Konklusioak eta gomendioak</w:t>
      </w:r>
      <w:bookmarkEnd w:id="26"/>
      <w:bookmarkEnd w:id="27"/>
      <w:bookmarkEnd w:id="28"/>
    </w:p>
    <w:p w:rsidR="00051AC1" w:rsidRPr="00AD43EF" w:rsidRDefault="00051AC1" w:rsidP="00051AC1">
      <w:pPr>
        <w:pStyle w:val="texto"/>
      </w:pPr>
      <w:r>
        <w:t>Egindako lanaren ondorio nagusiak aurkezten ditugu atal honetan, baita a</w:t>
      </w:r>
      <w:r>
        <w:t>n</w:t>
      </w:r>
      <w:r>
        <w:t>tzeman diren balizko hutsuneak hobetzeko egokitzat jotzen ditugun gomend</w:t>
      </w:r>
      <w:r>
        <w:t>i</w:t>
      </w:r>
      <w:r>
        <w:t>oak ere.</w:t>
      </w:r>
    </w:p>
    <w:p w:rsidR="00051AC1" w:rsidRDefault="00051AC1" w:rsidP="00051AC1">
      <w:pPr>
        <w:pStyle w:val="atitulo2"/>
        <w:spacing w:before="300"/>
      </w:pPr>
      <w:bookmarkStart w:id="29" w:name="_Toc477171875"/>
      <w:bookmarkStart w:id="30" w:name="_Toc64529172"/>
      <w:bookmarkStart w:id="31" w:name="_Toc66193837"/>
      <w:bookmarkStart w:id="32" w:name="_Toc69461099"/>
      <w:r>
        <w:t xml:space="preserve">V.1. </w:t>
      </w:r>
      <w:bookmarkEnd w:id="29"/>
      <w:bookmarkEnd w:id="30"/>
      <w:r>
        <w:t>Territorio Visón programa</w:t>
      </w:r>
      <w:bookmarkEnd w:id="31"/>
      <w:bookmarkEnd w:id="32"/>
    </w:p>
    <w:p w:rsidR="00051AC1" w:rsidRPr="00821BF8" w:rsidRDefault="00051AC1" w:rsidP="00821BF8">
      <w:pPr>
        <w:pStyle w:val="texto"/>
      </w:pPr>
      <w:r>
        <w:t>LIFE+ Nature and Biodiversity europar ekimenean sartzen da Life+ Territ</w:t>
      </w:r>
      <w:r>
        <w:t>o</w:t>
      </w:r>
      <w:r>
        <w:t>rio Visón programa, helburu duena bisoi europarra (Mustela lutreola) lehener</w:t>
      </w:r>
      <w:r>
        <w:t>a</w:t>
      </w:r>
      <w:r>
        <w:t>tzen laguntzea eta haren habitat potentziala hobetzea, iraungitzeko arriskuan dagoen espeziea baita. Horretarako, uholde-lautadak berreskuratu dira eta ur-masaren egoera ekologikoa hobetzeko lanean ari dira.</w:t>
      </w:r>
    </w:p>
    <w:p w:rsidR="00051AC1" w:rsidRPr="00821BF8" w:rsidRDefault="004B585C" w:rsidP="00821BF8">
      <w:pPr>
        <w:pStyle w:val="texto"/>
      </w:pPr>
      <w:r>
        <w:t>Nafarroako Gobernua (ingurumenaren gaineko eskumena harena da), Espa</w:t>
      </w:r>
      <w:r>
        <w:t>i</w:t>
      </w:r>
      <w:r>
        <w:t xml:space="preserve">niako Gobernuko Ingurumen Ministerioa eta Ebro ibaiaren Uraren Agintaritza (haiena da urarekin lotutako auzien gaineko eskumena) elkarrekin lantzen ari dira, Gestión Ambiental de Navarra SA (GAN) eta estatuko sektore publikoko </w:t>
      </w:r>
      <w:hyperlink r:id="rId14" w:history="1">
        <w:r>
          <w:rPr>
            <w:rStyle w:val="Hipervnculo"/>
            <w:color w:val="auto"/>
            <w:u w:val="none"/>
          </w:rPr>
          <w:t>TRAGSA</w:t>
        </w:r>
      </w:hyperlink>
      <w:r>
        <w:t xml:space="preserve"> enpresa publikoen bidez, </w:t>
      </w:r>
      <w:r>
        <w:rPr>
          <w:rStyle w:val="Textoennegrita"/>
          <w:b w:val="0"/>
          <w:bCs w:val="0"/>
        </w:rPr>
        <w:t>Life+ Territorio Visón programa. Helburua</w:t>
      </w:r>
      <w:r>
        <w:t xml:space="preserve"> da Nafarroako eremu horretako –Aragoi eta Arga ibaietako behealdeko– ibai-habitatak </w:t>
      </w:r>
      <w:r>
        <w:rPr>
          <w:rStyle w:val="Textoennegrita"/>
          <w:b w:val="0"/>
          <w:bCs w:val="0"/>
        </w:rPr>
        <w:t xml:space="preserve">berreskuratzea . </w:t>
      </w:r>
      <w:r>
        <w:t>Tokiko agintariek ere –besteak beste, Melidako Ud</w:t>
      </w:r>
      <w:r>
        <w:t>a</w:t>
      </w:r>
      <w:r>
        <w:t>lak– babesten dute proiektua.</w:t>
      </w:r>
    </w:p>
    <w:p w:rsidR="00051AC1" w:rsidRPr="00E87452" w:rsidRDefault="00051AC1" w:rsidP="00821BF8">
      <w:pPr>
        <w:pStyle w:val="texto"/>
        <w:rPr>
          <w:spacing w:val="4"/>
        </w:rPr>
      </w:pPr>
      <w:r>
        <w:t>Melidari dagokionez, herri-lurretako 37.300 m</w:t>
      </w:r>
      <w:r>
        <w:rPr>
          <w:vertAlign w:val="superscript"/>
        </w:rPr>
        <w:t>2</w:t>
      </w:r>
      <w:r>
        <w:t xml:space="preserve"> desafektatuz hasi zen “Seq</w:t>
      </w:r>
      <w:r>
        <w:t>u</w:t>
      </w:r>
      <w:r>
        <w:t>eroko ibarbasoan eta San Miguel ibarbasoan ibai-espazioa leheneratzea eta b</w:t>
      </w:r>
      <w:r>
        <w:t>i</w:t>
      </w:r>
      <w:r>
        <w:t>soiaren habitata sortzea” proiektua, gero GAN enpresa publikoari erabilera-lagapena egiteko. Desafektazioa Nafarroako Gobernuaren 2013ko apirilaren 17ko Erabakiaren bidez onetsi zen.</w:t>
      </w:r>
    </w:p>
    <w:p w:rsidR="00051AC1" w:rsidRPr="00821BF8" w:rsidRDefault="00051AC1" w:rsidP="00821BF8">
      <w:pPr>
        <w:pStyle w:val="texto"/>
      </w:pPr>
      <w:r>
        <w:t>Aldi berean, udalak eta GAN enpresak proiektua garatzeko akordioa sinatu zuten, zeinean onetsi baitzen lursailen erabilera-lagapena proiektuarekin lot</w:t>
      </w:r>
      <w:r>
        <w:t>u</w:t>
      </w:r>
      <w:r>
        <w:t>tako lanak egin zitezen.</w:t>
      </w:r>
    </w:p>
    <w:p w:rsidR="00051AC1" w:rsidRPr="00821BF8" w:rsidRDefault="00051AC1" w:rsidP="00821BF8">
      <w:pPr>
        <w:pStyle w:val="texto"/>
      </w:pPr>
      <w:r>
        <w:t>Akordio horretan, 20 urterako erabilera-lagapenaren baldintzak zehaztu z</w:t>
      </w:r>
      <w:r>
        <w:t>i</w:t>
      </w:r>
      <w:r>
        <w:t xml:space="preserve">ren, eta guztira 20.027 euroko prezioa ezarri zen. Bestalde, konpentsazio bat adostu zen lagatako lurzatietako makalak mozteagatik: 13.155 euro. </w:t>
      </w:r>
    </w:p>
    <w:p w:rsidR="00051AC1" w:rsidRPr="00821BF8" w:rsidRDefault="00051AC1" w:rsidP="00821BF8">
      <w:pPr>
        <w:pStyle w:val="texto"/>
      </w:pPr>
      <w:r>
        <w:t>2013ko abuztuaren 1ean, udalak 33.182 euro kobratu eta kontabilizatu zituen adostutako erabilera-lagapenagatik eta lurzati horietako arboladia dela-eta o</w:t>
      </w:r>
      <w:r>
        <w:t>r</w:t>
      </w:r>
      <w:r>
        <w:t>daindutako kalte-ordainagatik.</w:t>
      </w:r>
    </w:p>
    <w:p w:rsidR="00051AC1" w:rsidRPr="00821BF8" w:rsidRDefault="004B585C" w:rsidP="00821BF8">
      <w:pPr>
        <w:pStyle w:val="texto"/>
      </w:pPr>
      <w:r>
        <w:t>Ez da jasota ageri lagatako lurzatien errentamentu-kontratua formalizatu izana, udalak eta GANek sinatutako akordioak kontratu hori espresuki aipatzen duen arren.</w:t>
      </w:r>
    </w:p>
    <w:p w:rsidR="00051AC1" w:rsidRPr="00051AC1" w:rsidRDefault="00051AC1" w:rsidP="00051AC1">
      <w:pPr>
        <w:pStyle w:val="atitulo2"/>
      </w:pPr>
      <w:bookmarkStart w:id="33" w:name="_Toc66193838"/>
      <w:bookmarkStart w:id="34" w:name="_Toc69461100"/>
      <w:r>
        <w:lastRenderedPageBreak/>
        <w:t>V.2. Erabilera anitzeko eraikinaren kontratua.</w:t>
      </w:r>
      <w:bookmarkEnd w:id="33"/>
      <w:bookmarkEnd w:id="34"/>
    </w:p>
    <w:p w:rsidR="00051AC1" w:rsidRPr="00821BF8" w:rsidRDefault="00051AC1" w:rsidP="00821BF8">
      <w:pPr>
        <w:pStyle w:val="texto"/>
      </w:pPr>
      <w:r>
        <w:t>2017ko abenduaren 27an, Udalaren Osoko Bilkurak Melidako erabilera an</w:t>
      </w:r>
      <w:r>
        <w:t>i</w:t>
      </w:r>
      <w:r>
        <w:t xml:space="preserve">tzeko eraikinaren proiektua onetsi zuen, 659.711 euroko gastuarekin BEZa kanpo, eta kontratazio-espedientea abiarazteko agindua eman zuen. </w:t>
      </w:r>
    </w:p>
    <w:p w:rsidR="00051AC1" w:rsidRPr="00821BF8" w:rsidRDefault="00051AC1" w:rsidP="00821BF8">
      <w:pPr>
        <w:pStyle w:val="texto"/>
      </w:pPr>
      <w:r>
        <w:t>Obra 599.413 euroan esleitu zen (hau da, ehuneko bederatzi merkeago), eta exekuzio erreala 638.479 eurokoa izan da, BEZa kanpo bi kasuetan. Esleitutako zenbatekoarekiko ehuneko 6,52ko desbideratzea gertatu da.</w:t>
      </w:r>
    </w:p>
    <w:p w:rsidR="00051AC1" w:rsidRPr="00821BF8" w:rsidRDefault="00051AC1" w:rsidP="00821BF8">
      <w:pPr>
        <w:pStyle w:val="texto"/>
      </w:pPr>
      <w:r>
        <w:t>Obraren lizitazioa, esleipena eta exekuzioa aztertu ditugu, eta ikusi dugu oro har kontratuei buruzko legediaren arabera izapidetu dela eta gastua behar b</w:t>
      </w:r>
      <w:r>
        <w:t>e</w:t>
      </w:r>
      <w:r>
        <w:t>zala onetsi, justifikatu eta kontabilizatu dela. Dena den, honako akats hauek a</w:t>
      </w:r>
      <w:r>
        <w:t>i</w:t>
      </w:r>
      <w:r>
        <w:t>patu behar ditugu:</w:t>
      </w:r>
    </w:p>
    <w:p w:rsidR="00051AC1" w:rsidRDefault="00051AC1" w:rsidP="00821BF8">
      <w:pPr>
        <w:pStyle w:val="Prrafodelista"/>
        <w:numPr>
          <w:ilvl w:val="0"/>
          <w:numId w:val="9"/>
        </w:numPr>
        <w:tabs>
          <w:tab w:val="left" w:pos="426"/>
          <w:tab w:val="left" w:pos="567"/>
        </w:tabs>
        <w:ind w:left="0" w:firstLine="284"/>
        <w:contextualSpacing w:val="0"/>
        <w:rPr>
          <w:spacing w:val="6"/>
          <w:sz w:val="26"/>
          <w:szCs w:val="26"/>
        </w:rPr>
      </w:pPr>
      <w:r>
        <w:rPr>
          <w:sz w:val="26"/>
          <w:szCs w:val="26"/>
        </w:rPr>
        <w:t xml:space="preserve"> Lizitazioaren balio zenbatetsian ez da espresuki jasotzen balizko aldaketen zenbatekoa, zeinak bai jasotzen baitira administrazio-klausula partikularren agirian.</w:t>
      </w:r>
    </w:p>
    <w:p w:rsidR="00051AC1" w:rsidRDefault="00051AC1" w:rsidP="00821BF8">
      <w:pPr>
        <w:pStyle w:val="Prrafodelista"/>
        <w:numPr>
          <w:ilvl w:val="0"/>
          <w:numId w:val="9"/>
        </w:numPr>
        <w:tabs>
          <w:tab w:val="left" w:pos="426"/>
          <w:tab w:val="left" w:pos="567"/>
        </w:tabs>
        <w:ind w:left="0" w:firstLine="284"/>
        <w:contextualSpacing w:val="0"/>
        <w:rPr>
          <w:spacing w:val="6"/>
          <w:sz w:val="26"/>
          <w:szCs w:val="26"/>
        </w:rPr>
      </w:pPr>
      <w:r>
        <w:rPr>
          <w:sz w:val="26"/>
          <w:szCs w:val="26"/>
        </w:rPr>
        <w:t>Esleipen-hartzaileak eskainitako exekuzio-epea bederatzi hilabete eta erdikoa zen; egiazko epea, berriz, ia hamahiru hilabetekoa izan zen. Espedientean ez dira kreditatu atzerapen horren arrazoiak; beraz, ezin izan da baloratu administrazio-klausula partikularren agirian aurreikusitako zigorrak ezartzerik zegoen ala ez.</w:t>
      </w:r>
    </w:p>
    <w:p w:rsidR="00051AC1" w:rsidRDefault="00051AC1" w:rsidP="00821BF8">
      <w:pPr>
        <w:pStyle w:val="Prrafodelista"/>
        <w:numPr>
          <w:ilvl w:val="0"/>
          <w:numId w:val="9"/>
        </w:numPr>
        <w:tabs>
          <w:tab w:val="left" w:pos="426"/>
          <w:tab w:val="left" w:pos="567"/>
        </w:tabs>
        <w:ind w:left="0" w:firstLine="284"/>
        <w:contextualSpacing w:val="0"/>
        <w:rPr>
          <w:spacing w:val="6"/>
          <w:sz w:val="26"/>
          <w:szCs w:val="26"/>
        </w:rPr>
      </w:pPr>
      <w:r>
        <w:rPr>
          <w:sz w:val="26"/>
          <w:szCs w:val="26"/>
        </w:rPr>
        <w:t xml:space="preserve"> Geroago onetsi eta kontabilizatu da obraren esleipen-hartzaileak linea elektr</w:t>
      </w:r>
      <w:r>
        <w:rPr>
          <w:sz w:val="26"/>
          <w:szCs w:val="26"/>
        </w:rPr>
        <w:t>i</w:t>
      </w:r>
      <w:r>
        <w:rPr>
          <w:sz w:val="26"/>
          <w:szCs w:val="26"/>
        </w:rPr>
        <w:t>koa lurperatzeko obra dela-eta aurkeztutako faktura bat, 36.151eurokoa, BEZa kanpo, obraren proiektuan jasota ez zegoena.</w:t>
      </w:r>
    </w:p>
    <w:p w:rsidR="00051AC1" w:rsidRPr="00AC3CB9" w:rsidRDefault="00C1293C" w:rsidP="00821BF8">
      <w:pPr>
        <w:pStyle w:val="texto"/>
        <w:rPr>
          <w:shd w:val="clear" w:color="auto" w:fill="FFFFFF"/>
        </w:rPr>
      </w:pPr>
      <w:r>
        <w:rPr>
          <w:shd w:val="clear" w:color="auto" w:fill="FFFFFF"/>
        </w:rPr>
        <w:t>Obra nagusiaren obra osagarri bat da, guztira exekutatutakoaren ehuneko sei egiten duena eta Kontratu Publikoei buruzko ekainaren 9ko 6/2006 Foru L</w:t>
      </w:r>
      <w:r>
        <w:rPr>
          <w:shd w:val="clear" w:color="auto" w:fill="FFFFFF"/>
        </w:rPr>
        <w:t>e</w:t>
      </w:r>
      <w:r>
        <w:rPr>
          <w:shd w:val="clear" w:color="auto" w:fill="FFFFFF"/>
        </w:rPr>
        <w:t>gean ezarritakoaren arabera izapidetu behar zena.</w:t>
      </w:r>
    </w:p>
    <w:p w:rsidR="00051AC1" w:rsidRPr="00051AC1" w:rsidRDefault="00051AC1" w:rsidP="005B72E5">
      <w:pPr>
        <w:pStyle w:val="atitulo2"/>
        <w:spacing w:before="320"/>
      </w:pPr>
      <w:bookmarkStart w:id="35" w:name="_Toc66193839"/>
      <w:bookmarkStart w:id="36" w:name="_Toc69461101"/>
      <w:r>
        <w:t>V.3. Diario de Navarra Fundazioarekiko Erronka Solidarioa hitzarmena</w:t>
      </w:r>
      <w:bookmarkEnd w:id="35"/>
      <w:bookmarkEnd w:id="36"/>
    </w:p>
    <w:p w:rsidR="00051AC1" w:rsidRPr="00332D3A" w:rsidRDefault="00051AC1" w:rsidP="00332D3A">
      <w:pPr>
        <w:pStyle w:val="texto"/>
        <w:spacing w:after="180"/>
      </w:pPr>
      <w:r>
        <w:t>Erronka Solidarioa izeneko ekimena Fundazioak eta La Caixa gizarte-ekintzak taxutu zuten, jarduera fisikoaren sustapenaren bidez gizarte-ekintzetarako funtsak biltzeko helburuarekin. Enpresak, herritarrak eta gizarte-erakundeak aktiboki engaiatzea bilatzen zuen Fundazioak sustatutako proie</w:t>
      </w:r>
      <w:r>
        <w:t>k</w:t>
      </w:r>
      <w:r>
        <w:t>tuak, gizarte-xede baterako dohaintzak lortzeko xedez.</w:t>
      </w:r>
    </w:p>
    <w:p w:rsidR="00051AC1" w:rsidRPr="00821BF8" w:rsidRDefault="00051AC1" w:rsidP="00332D3A">
      <w:pPr>
        <w:pStyle w:val="texto"/>
        <w:spacing w:after="180"/>
      </w:pPr>
      <w:r>
        <w:t>2016ko urrian, Melidako Udalak eta irabazi asmorik gabeko herriko zazpi elkartek ekimen horretan elkarrekin parte hartzea erabaki zuten; halatan, k</w:t>
      </w:r>
      <w:r>
        <w:t>a</w:t>
      </w:r>
      <w:r>
        <w:t xml:space="preserve">suko lankidetza-hitzarmena sinatu zuten Fundazioarekin. </w:t>
      </w:r>
    </w:p>
    <w:p w:rsidR="00051AC1" w:rsidRPr="00821BF8" w:rsidRDefault="00051AC1" w:rsidP="00332D3A">
      <w:pPr>
        <w:pStyle w:val="texto"/>
        <w:spacing w:after="180"/>
      </w:pPr>
      <w:r>
        <w:t>Udalen borondatezko ekarpenek tokiko kausa bat edo gizarte-kausa orok</w:t>
      </w:r>
      <w:r>
        <w:t>o</w:t>
      </w:r>
      <w:r>
        <w:t>rrago bat aldezteko balio zezaketen. Melidan, Erronka Solidarioan parte hartu zuten zazpi elkarteei eman zitzaizkien Fundazioaren bidez lortutako funtsak eta udalak emandakoak.</w:t>
      </w:r>
    </w:p>
    <w:p w:rsidR="00051AC1" w:rsidRPr="00821BF8" w:rsidRDefault="00051AC1" w:rsidP="00332D3A">
      <w:pPr>
        <w:pStyle w:val="texto"/>
        <w:spacing w:after="180"/>
      </w:pPr>
      <w:r>
        <w:lastRenderedPageBreak/>
        <w:t xml:space="preserve"> 2017aren amaiera aldean, Fundazioak 1.353 euroko ordainketa bat egin zion Udalari (enpresek eta herriko partikularrek Fundazioari dohaintzan emandako funtsak), eta Udalak, 2018an, 468 euro eman zizkion zazpi elkarte horietako bakoitzari (guztira, 3.274 euro). Udalaren kargurako gastua 1.291 eurokoa izan da beraz, eta elkarteekiko kasuan kasuko hitzarmenen bidez gauzatu zen.</w:t>
      </w:r>
    </w:p>
    <w:p w:rsidR="00051AC1" w:rsidRPr="00821BF8" w:rsidRDefault="00051AC1" w:rsidP="00332D3A">
      <w:pPr>
        <w:pStyle w:val="texto"/>
        <w:spacing w:after="180"/>
      </w:pPr>
      <w:r>
        <w:t>Udalaren kontu-hartzaileak eragozpen-ohar bat egin zuen elkarteei egindako ordainketa horiek direla-eta, eta alkateak eragozpen hori altxatzea eta zenb</w:t>
      </w:r>
      <w:r>
        <w:t>a</w:t>
      </w:r>
      <w:r>
        <w:t>teko horiek ordaintzea erabaki zuen.</w:t>
      </w:r>
    </w:p>
    <w:p w:rsidR="00051AC1" w:rsidRPr="00821BF8" w:rsidRDefault="00051AC1" w:rsidP="00332D3A">
      <w:pPr>
        <w:pStyle w:val="texto"/>
        <w:spacing w:after="180"/>
      </w:pPr>
      <w:r>
        <w:t>Alegia, jasota ageri bada ere tokiko elkarteek erronka solidarioaren gizarte-ekimenean parte hartu zutela, justifikazioa osatzeke legoke, kasuko hitzarmen</w:t>
      </w:r>
      <w:r>
        <w:t>e</w:t>
      </w:r>
      <w:r>
        <w:t>tan ezarritakoarekin bat.</w:t>
      </w:r>
    </w:p>
    <w:p w:rsidR="00051AC1" w:rsidRPr="00821BF8" w:rsidRDefault="00051AC1" w:rsidP="00332D3A">
      <w:pPr>
        <w:pStyle w:val="texto"/>
        <w:spacing w:after="180"/>
      </w:pPr>
      <w:r>
        <w:t>Gure gomendioak:</w:t>
      </w:r>
    </w:p>
    <w:p w:rsidR="00051AC1" w:rsidRDefault="00051AC1" w:rsidP="00332D3A">
      <w:pPr>
        <w:pStyle w:val="Prrafodelista"/>
        <w:numPr>
          <w:ilvl w:val="0"/>
          <w:numId w:val="9"/>
        </w:numPr>
        <w:tabs>
          <w:tab w:val="left" w:pos="426"/>
          <w:tab w:val="left" w:pos="567"/>
        </w:tabs>
        <w:spacing w:after="180"/>
        <w:ind w:left="0" w:firstLine="284"/>
        <w:contextualSpacing w:val="0"/>
        <w:rPr>
          <w:i/>
          <w:spacing w:val="6"/>
          <w:sz w:val="26"/>
          <w:szCs w:val="26"/>
        </w:rPr>
      </w:pPr>
      <w:r>
        <w:rPr>
          <w:i/>
          <w:sz w:val="26"/>
          <w:szCs w:val="26"/>
        </w:rPr>
        <w:t xml:space="preserve"> Life+ Territorio Visón proiektua garatzeko akordioan aipatzen den errent</w:t>
      </w:r>
      <w:r>
        <w:rPr>
          <w:i/>
          <w:sz w:val="26"/>
          <w:szCs w:val="26"/>
        </w:rPr>
        <w:t>a</w:t>
      </w:r>
      <w:r>
        <w:rPr>
          <w:i/>
          <w:sz w:val="26"/>
          <w:szCs w:val="26"/>
        </w:rPr>
        <w:t>mendu-kontratua formalizatzea.</w:t>
      </w:r>
    </w:p>
    <w:p w:rsidR="00F00E4F" w:rsidRDefault="00F00E4F" w:rsidP="00332D3A">
      <w:pPr>
        <w:pStyle w:val="Prrafodelista"/>
        <w:numPr>
          <w:ilvl w:val="0"/>
          <w:numId w:val="9"/>
        </w:numPr>
        <w:tabs>
          <w:tab w:val="left" w:pos="426"/>
          <w:tab w:val="left" w:pos="567"/>
        </w:tabs>
        <w:spacing w:after="180"/>
        <w:ind w:left="0" w:firstLine="284"/>
        <w:contextualSpacing w:val="0"/>
        <w:rPr>
          <w:i/>
          <w:spacing w:val="6"/>
          <w:sz w:val="26"/>
          <w:szCs w:val="26"/>
        </w:rPr>
      </w:pPr>
      <w:r>
        <w:rPr>
          <w:i/>
          <w:sz w:val="26"/>
          <w:szCs w:val="26"/>
        </w:rPr>
        <w:t xml:space="preserve"> Obra-kontratuetan gertatu den atzerapenaren arrazoiak kreditatzea eta kasuko zigorrak ezartzea, baldin eta atzerapena kontratistari egozteko modukoa bada.</w:t>
      </w:r>
    </w:p>
    <w:p w:rsidR="00051AC1" w:rsidRPr="00CF35B6" w:rsidRDefault="00051AC1" w:rsidP="00332D3A">
      <w:pPr>
        <w:pStyle w:val="Prrafodelista"/>
        <w:numPr>
          <w:ilvl w:val="0"/>
          <w:numId w:val="9"/>
        </w:numPr>
        <w:tabs>
          <w:tab w:val="left" w:pos="426"/>
          <w:tab w:val="left" w:pos="567"/>
        </w:tabs>
        <w:spacing w:after="180"/>
        <w:ind w:left="0" w:firstLine="284"/>
        <w:contextualSpacing w:val="0"/>
        <w:rPr>
          <w:i/>
          <w:spacing w:val="4"/>
          <w:sz w:val="26"/>
          <w:szCs w:val="26"/>
        </w:rPr>
      </w:pPr>
      <w:r>
        <w:rPr>
          <w:i/>
          <w:sz w:val="26"/>
          <w:szCs w:val="26"/>
        </w:rPr>
        <w:t xml:space="preserve"> Kontratu Publikoei buruzko Foru Legean jasotzen den prozedura izapidetzea, baldin eta obra nagusiaren obra osagarri bat egiten bada.</w:t>
      </w:r>
    </w:p>
    <w:p w:rsidR="00051AC1" w:rsidRDefault="00051AC1" w:rsidP="00332D3A">
      <w:pPr>
        <w:pStyle w:val="Prrafodelista"/>
        <w:numPr>
          <w:ilvl w:val="0"/>
          <w:numId w:val="9"/>
        </w:numPr>
        <w:tabs>
          <w:tab w:val="left" w:pos="426"/>
          <w:tab w:val="left" w:pos="567"/>
        </w:tabs>
        <w:spacing w:after="240"/>
        <w:ind w:left="0" w:firstLine="284"/>
        <w:contextualSpacing w:val="0"/>
        <w:rPr>
          <w:i/>
          <w:spacing w:val="6"/>
          <w:sz w:val="26"/>
          <w:szCs w:val="26"/>
        </w:rPr>
      </w:pPr>
      <w:r>
        <w:rPr>
          <w:i/>
          <w:sz w:val="26"/>
          <w:szCs w:val="26"/>
        </w:rPr>
        <w:t xml:space="preserve"> Elkarteekiko hitzarmenetan ezarritakoarekin bat osatzea justifikazioa.</w:t>
      </w:r>
    </w:p>
    <w:bookmarkEnd w:id="21"/>
    <w:bookmarkEnd w:id="22"/>
    <w:p w:rsidR="00EA0EED" w:rsidRPr="00B876D9" w:rsidRDefault="00EA0EED" w:rsidP="00B876D9">
      <w:pPr>
        <w:pStyle w:val="texto"/>
        <w:spacing w:after="240"/>
      </w:pPr>
      <w:r>
        <w:t>Txosten hau, indarrean dagoen araudiak ezarritako izapideak bete ondoren, Edurne Martinikorena Matxain auditoreak proposatuta eman da, bera izan baita lan honen arduraduna.</w:t>
      </w:r>
    </w:p>
    <w:p w:rsidR="00EA0EED" w:rsidRPr="00A05059" w:rsidRDefault="00EA0EED" w:rsidP="00EA0EED">
      <w:pPr>
        <w:tabs>
          <w:tab w:val="center" w:pos="540"/>
          <w:tab w:val="center" w:pos="3969"/>
          <w:tab w:val="center" w:pos="5103"/>
          <w:tab w:val="center" w:pos="6237"/>
          <w:tab w:val="center" w:pos="7371"/>
        </w:tabs>
        <w:spacing w:before="280"/>
        <w:jc w:val="center"/>
        <w:rPr>
          <w:spacing w:val="6"/>
          <w:sz w:val="26"/>
          <w:szCs w:val="24"/>
        </w:rPr>
      </w:pPr>
      <w:r>
        <w:rPr>
          <w:sz w:val="26"/>
          <w:szCs w:val="24"/>
        </w:rPr>
        <w:t>Iruñean, 2021eko martxoaren 23an</w:t>
      </w:r>
    </w:p>
    <w:p w:rsidR="00EA0EED" w:rsidRDefault="00EA0EED" w:rsidP="00EA0EED">
      <w:pPr>
        <w:tabs>
          <w:tab w:val="center" w:pos="6237"/>
          <w:tab w:val="center" w:pos="7371"/>
        </w:tabs>
        <w:spacing w:after="60"/>
        <w:jc w:val="center"/>
        <w:rPr>
          <w:spacing w:val="6"/>
          <w:sz w:val="26"/>
          <w:szCs w:val="24"/>
        </w:rPr>
      </w:pPr>
      <w:r>
        <w:rPr>
          <w:sz w:val="26"/>
          <w:szCs w:val="24"/>
        </w:rPr>
        <w:t>Lehendakaria,</w:t>
      </w:r>
    </w:p>
    <w:p w:rsidR="00EA0EED" w:rsidRPr="007B4C24" w:rsidRDefault="00EA0EED" w:rsidP="00EA0EED">
      <w:pPr>
        <w:tabs>
          <w:tab w:val="center" w:pos="6237"/>
          <w:tab w:val="center" w:pos="7371"/>
        </w:tabs>
        <w:spacing w:after="60"/>
        <w:jc w:val="center"/>
        <w:rPr>
          <w:spacing w:val="6"/>
          <w:sz w:val="26"/>
          <w:szCs w:val="24"/>
        </w:rPr>
      </w:pPr>
      <w:r>
        <w:rPr>
          <w:sz w:val="26"/>
          <w:szCs w:val="24"/>
        </w:rPr>
        <w:t xml:space="preserve">Asunción Olaechea Estanga </w:t>
      </w:r>
    </w:p>
    <w:p w:rsidR="00D52170" w:rsidRDefault="00D52170">
      <w:pPr>
        <w:spacing w:after="0"/>
        <w:ind w:firstLine="0"/>
        <w:jc w:val="left"/>
        <w:rPr>
          <w:spacing w:val="6"/>
          <w:sz w:val="26"/>
          <w:szCs w:val="24"/>
        </w:rPr>
      </w:pPr>
      <w:r>
        <w:br w:type="page"/>
      </w:r>
    </w:p>
    <w:p w:rsidR="00D52170" w:rsidRDefault="00D52170" w:rsidP="008B2BA5">
      <w:pPr>
        <w:pStyle w:val="atitulo1"/>
        <w:jc w:val="left"/>
        <w:rPr>
          <w:bCs/>
          <w:color w:val="auto"/>
          <w:sz w:val="32"/>
        </w:rPr>
      </w:pPr>
      <w:bookmarkStart w:id="37" w:name="_Toc4671438"/>
      <w:bookmarkStart w:id="38" w:name="_Toc60127698"/>
      <w:bookmarkStart w:id="39" w:name="_Toc60127854"/>
      <w:bookmarkStart w:id="40" w:name="_Toc69461102"/>
      <w:r>
        <w:rPr>
          <w:bCs/>
          <w:color w:val="auto"/>
          <w:sz w:val="32"/>
        </w:rPr>
        <w:lastRenderedPageBreak/>
        <w:t>Behin-behineko txostenari aurkeztutako alegazioak</w:t>
      </w:r>
      <w:bookmarkEnd w:id="37"/>
      <w:bookmarkEnd w:id="38"/>
      <w:bookmarkEnd w:id="39"/>
      <w:bookmarkEnd w:id="40"/>
    </w:p>
    <w:p w:rsidR="008B2BA5" w:rsidRDefault="008B2BA5" w:rsidP="008B2BA5">
      <w:r>
        <w:t>José María Sesma Aznárez jauna, 2019ko hauteskundeak arte Melidako Udaleko alkatea izan nintzen aldetik (jakinarazpenetarako helbidea udalean bertan dut), Kontuen Ganberaren aurrean agertu eta, zuzenb</w:t>
      </w:r>
      <w:r>
        <w:t>i</w:t>
      </w:r>
      <w:r>
        <w:t>dean egokien den moduan,</w:t>
      </w:r>
    </w:p>
    <w:p w:rsidR="008B2BA5" w:rsidRDefault="008B2BA5" w:rsidP="008B2BA5">
      <w:r>
        <w:t>AZALTZEN DUT:</w:t>
      </w:r>
    </w:p>
    <w:p w:rsidR="008B2BA5" w:rsidRDefault="008B2BA5" w:rsidP="008B2BA5">
      <w:r>
        <w:t>Melidako Udalaren Territorio Visón programari, erabilera anitzeko eraikinaren kontratuari eta Erronka Solidarioa hitzarmenari buruzko behin-behineko fiskalizazio-txostena jaso dut.</w:t>
      </w:r>
    </w:p>
    <w:p w:rsidR="008B2BA5" w:rsidRDefault="008B2BA5" w:rsidP="008B2BA5">
      <w:r>
        <w:t>Behin-behineko txostenean emandako epearen barruan eta idazki honen bidez, ondotik heldu diren alegazioak aurkezten ditut, aintzat har daitezen eta behin betiko txostenean jaso daitezen:</w:t>
      </w:r>
    </w:p>
    <w:p w:rsidR="008B2BA5" w:rsidRDefault="008B2BA5" w:rsidP="008B2BA5">
      <w:r>
        <w:t>Ezer baino lehen argitu nahiko nuke txostenean aztertzen diren espedienteak orain dela zenbait urte izapidetu zirela eta une honetan ez daukadala horiek kontsultatzeko aukerarik, orain ez bainaiz Melidako alkatea. Hortaz, hori kontuan har dadila eskatzen dut, baldin eta nire alegazioetan zehaztugabetasunik b</w:t>
      </w:r>
      <w:r>
        <w:t>a</w:t>
      </w:r>
      <w:r>
        <w:t>dago.</w:t>
      </w:r>
    </w:p>
    <w:p w:rsidR="008B2BA5" w:rsidRDefault="008B2BA5" w:rsidP="008B2BA5">
      <w:r>
        <w:t>1. alegazioa: “Salbuespendun iritziaren oinarria” apartatuari dagokionez, une hartan idazkaritzan z</w:t>
      </w:r>
      <w:r>
        <w:t>e</w:t>
      </w:r>
      <w:r>
        <w:t>goen pertsonarekin hitz egin ondoren, honako hau adierazi nahiko nuke: “linea elektrikoaren lurperatzea ezin da obra osagarri gisa hartu, ez baita hasierako kontratua exekutatzeko beharrezkoa (6/2006 Foru Legeko 73.2.a artikulua). 73.2.c apartatua aplikatu behar da zuzenean, 105.4.b apartatuan oinarritua, aprobetxamendu independenterako modukoa baita. Hortaz, ez denez 30.000 eurotik goitikoa (BEZa kanpo), kreditu-erreserba betetzen denez eta faktura aurkeztu denez, posible da egindako izapidetzearen arabera egitea lurperatzea”.</w:t>
      </w:r>
    </w:p>
    <w:p w:rsidR="008B2BA5" w:rsidRDefault="008B2BA5" w:rsidP="008B2BA5">
      <w:r>
        <w:t>2. alegazioa: V.1 apartatuari dagokionez (Territorio Visón programa) alegatzen dut alkate nintzen a</w:t>
      </w:r>
      <w:r>
        <w:t>l</w:t>
      </w:r>
      <w:r>
        <w:t>detik sinatzen nituela idazkariaren esanetan zuzenbidearen araberakoak ziren dokumentuak. Espedienteen alderdi juridikoen izapidetze zehatzaren berri ez nuen. Errentamendu-kontratua formalizatu ez izana admini</w:t>
      </w:r>
      <w:r>
        <w:t>s</w:t>
      </w:r>
      <w:r>
        <w:t>trazio-kudeaketan izandako akats bati zor zaiola esanen nuke.</w:t>
      </w:r>
    </w:p>
    <w:p w:rsidR="008B2BA5" w:rsidRDefault="008B2BA5" w:rsidP="008B2BA5">
      <w:r>
        <w:t>Garaiz eta behar bezala aurkeztu denez, alegazio-idazki hau izapidetzeko onar dadila eta, edukiari erreparatuta, txostena alegazioetan adieraziaren arabera alda dadila.</w:t>
      </w:r>
    </w:p>
    <w:p w:rsidR="008B2BA5" w:rsidRDefault="008B2BA5" w:rsidP="008B2BA5">
      <w:r>
        <w:t>Melidan, 2021eko martxoaren 17an.</w:t>
      </w:r>
    </w:p>
    <w:p w:rsidR="008B2BA5" w:rsidRDefault="008B2BA5" w:rsidP="008B2BA5">
      <w:r>
        <w:t>Melidako alkate ohia: José María Sesma Aznárez</w:t>
      </w:r>
    </w:p>
    <w:p w:rsidR="00D52170" w:rsidRDefault="00D52170" w:rsidP="00D52170">
      <w:pPr>
        <w:pStyle w:val="texto"/>
        <w:tabs>
          <w:tab w:val="clear" w:pos="2835"/>
          <w:tab w:val="clear" w:pos="3969"/>
          <w:tab w:val="clear" w:pos="5103"/>
          <w:tab w:val="clear" w:pos="6237"/>
          <w:tab w:val="clear" w:pos="7371"/>
          <w:tab w:val="left" w:pos="480"/>
          <w:tab w:val="num" w:pos="600"/>
          <w:tab w:val="num" w:pos="720"/>
          <w:tab w:val="num" w:pos="1320"/>
        </w:tabs>
        <w:rPr>
          <w:sz w:val="24"/>
        </w:rPr>
      </w:pPr>
    </w:p>
    <w:p w:rsidR="008B2BA5" w:rsidRPr="00D52170" w:rsidRDefault="008B2BA5" w:rsidP="00D52170">
      <w:pPr>
        <w:pStyle w:val="texto"/>
        <w:tabs>
          <w:tab w:val="clear" w:pos="2835"/>
          <w:tab w:val="clear" w:pos="3969"/>
          <w:tab w:val="clear" w:pos="5103"/>
          <w:tab w:val="clear" w:pos="6237"/>
          <w:tab w:val="clear" w:pos="7371"/>
          <w:tab w:val="left" w:pos="480"/>
          <w:tab w:val="num" w:pos="600"/>
          <w:tab w:val="num" w:pos="720"/>
          <w:tab w:val="num" w:pos="1320"/>
        </w:tabs>
        <w:rPr>
          <w:sz w:val="24"/>
        </w:rPr>
      </w:pPr>
    </w:p>
    <w:p w:rsidR="00D52170" w:rsidRDefault="00D52170" w:rsidP="00D52170">
      <w:pPr>
        <w:pStyle w:val="texto"/>
        <w:tabs>
          <w:tab w:val="clear" w:pos="2835"/>
          <w:tab w:val="clear" w:pos="3969"/>
          <w:tab w:val="clear" w:pos="5103"/>
          <w:tab w:val="clear" w:pos="6237"/>
          <w:tab w:val="clear" w:pos="7371"/>
          <w:tab w:val="left" w:pos="480"/>
          <w:tab w:val="num" w:pos="600"/>
          <w:tab w:val="num" w:pos="720"/>
          <w:tab w:val="num" w:pos="1320"/>
        </w:tabs>
        <w:rPr>
          <w:sz w:val="24"/>
        </w:rPr>
        <w:sectPr w:rsidR="00D52170" w:rsidSect="00D2472C">
          <w:headerReference w:type="even" r:id="rId15"/>
          <w:footerReference w:type="default" r:id="rId16"/>
          <w:type w:val="oddPage"/>
          <w:pgSz w:w="11907" w:h="16840" w:code="9"/>
          <w:pgMar w:top="2109" w:right="1559" w:bottom="1644" w:left="1559" w:header="369" w:footer="136" w:gutter="0"/>
          <w:pgNumType w:start="3"/>
          <w:cols w:space="720"/>
          <w:docGrid w:linePitch="360"/>
        </w:sectPr>
      </w:pPr>
    </w:p>
    <w:p w:rsidR="00D52170" w:rsidRPr="00F555B0" w:rsidRDefault="00D52170" w:rsidP="00D52170">
      <w:pPr>
        <w:pStyle w:val="atitulo1"/>
        <w:rPr>
          <w:color w:val="auto"/>
        </w:rPr>
      </w:pPr>
      <w:bookmarkStart w:id="41" w:name="_Toc4671439"/>
      <w:bookmarkStart w:id="42" w:name="_Toc60127699"/>
      <w:bookmarkStart w:id="43" w:name="_Toc60127855"/>
      <w:bookmarkStart w:id="44" w:name="_Toc69461103"/>
      <w:r>
        <w:rPr>
          <w:color w:val="auto"/>
        </w:rPr>
        <w:lastRenderedPageBreak/>
        <w:t>Behin-behineko txostenari aurkeztutako alegazioei Kontuen Ganberak emandako erantzuna</w:t>
      </w:r>
      <w:bookmarkEnd w:id="41"/>
      <w:bookmarkEnd w:id="42"/>
      <w:bookmarkEnd w:id="43"/>
      <w:bookmarkEnd w:id="44"/>
    </w:p>
    <w:p w:rsidR="008143F5" w:rsidRPr="00441F71" w:rsidRDefault="008143F5" w:rsidP="008143F5">
      <w:pPr>
        <w:pStyle w:val="texto"/>
        <w:rPr>
          <w:rFonts w:ascii="Arial" w:hAnsi="Arial" w:cs="Arial"/>
          <w:sz w:val="24"/>
        </w:rPr>
      </w:pPr>
      <w:r>
        <w:rPr>
          <w:rFonts w:ascii="Arial" w:hAnsi="Arial"/>
          <w:noProof/>
          <w:sz w:val="24"/>
          <w:lang w:val="es-ES" w:eastAsia="es-ES"/>
        </w:rPr>
        <mc:AlternateContent>
          <mc:Choice Requires="wps">
            <w:drawing>
              <wp:anchor distT="0" distB="0" distL="114300" distR="114300" simplePos="0" relativeHeight="251659776" behindDoc="0" locked="0" layoutInCell="1" allowOverlap="1" wp14:anchorId="095C287E" wp14:editId="2F8A1994">
                <wp:simplePos x="0" y="0"/>
                <wp:positionH relativeFrom="column">
                  <wp:posOffset>2603500</wp:posOffset>
                </wp:positionH>
                <wp:positionV relativeFrom="paragraph">
                  <wp:posOffset>7532370</wp:posOffset>
                </wp:positionV>
                <wp:extent cx="698500" cy="431800"/>
                <wp:effectExtent l="0" t="0" r="6350" b="63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794A990" id="Rectángulo 11" o:spid="_x0000_s1026" style="position:absolute;margin-left:205pt;margin-top:593.1pt;width:55pt;height: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" stroked="f"/>
            </w:pict>
          </mc:Fallback>
        </mc:AlternateContent>
      </w:r>
      <w:r>
        <w:rPr>
          <w:rFonts w:ascii="Arial" w:hAnsi="Arial"/>
          <w:sz w:val="24"/>
        </w:rPr>
        <w:t xml:space="preserve"> Melidako Udaleko alkate ohiak aurkeztutako alegazioak aztertuta, txost</w:t>
      </w:r>
      <w:r>
        <w:rPr>
          <w:rFonts w:ascii="Arial" w:hAnsi="Arial"/>
          <w:sz w:val="24"/>
        </w:rPr>
        <w:t>e</w:t>
      </w:r>
      <w:r>
        <w:rPr>
          <w:rFonts w:ascii="Arial" w:hAnsi="Arial"/>
          <w:sz w:val="24"/>
        </w:rPr>
        <w:t>nean erantsi ditugu, uste baitugu ez diotela haren edukiari eragiten, eta txo</w:t>
      </w:r>
      <w:r>
        <w:rPr>
          <w:rFonts w:ascii="Arial" w:hAnsi="Arial"/>
          <w:sz w:val="24"/>
        </w:rPr>
        <w:t>s</w:t>
      </w:r>
      <w:r>
        <w:rPr>
          <w:rFonts w:ascii="Arial" w:hAnsi="Arial"/>
          <w:sz w:val="24"/>
        </w:rPr>
        <w:t>tena behin betikotzat jo dugu.</w:t>
      </w:r>
    </w:p>
    <w:p w:rsidR="008143F5" w:rsidRPr="006972AC" w:rsidRDefault="008143F5" w:rsidP="008143F5">
      <w:pPr>
        <w:pStyle w:val="texto"/>
        <w:tabs>
          <w:tab w:val="clear" w:pos="2835"/>
          <w:tab w:val="clear" w:pos="3969"/>
          <w:tab w:val="clear" w:pos="5103"/>
          <w:tab w:val="clear" w:pos="6237"/>
          <w:tab w:val="clear" w:pos="7371"/>
        </w:tabs>
        <w:spacing w:after="220"/>
        <w:ind w:firstLine="0"/>
        <w:jc w:val="center"/>
        <w:rPr>
          <w:rFonts w:ascii="Arial" w:hAnsi="Arial" w:cs="Arial"/>
          <w:sz w:val="24"/>
        </w:rPr>
      </w:pPr>
      <w:r>
        <w:rPr>
          <w:rFonts w:ascii="Arial" w:hAnsi="Arial"/>
          <w:sz w:val="24"/>
        </w:rPr>
        <w:t>Iruñean, 2021eko martxoaren 23an</w:t>
      </w:r>
    </w:p>
    <w:p w:rsidR="008143F5" w:rsidRPr="003D05F9" w:rsidRDefault="008143F5" w:rsidP="008143F5">
      <w:pPr>
        <w:pStyle w:val="texto"/>
        <w:spacing w:after="100"/>
        <w:jc w:val="center"/>
        <w:rPr>
          <w:rFonts w:ascii="Arial" w:hAnsi="Arial" w:cs="Arial"/>
          <w:sz w:val="24"/>
        </w:rPr>
      </w:pPr>
      <w:r>
        <w:rPr>
          <w:rFonts w:ascii="Arial" w:hAnsi="Arial"/>
          <w:sz w:val="24"/>
        </w:rPr>
        <w:t xml:space="preserve">Lehendakaria, </w:t>
      </w:r>
    </w:p>
    <w:p w:rsidR="008143F5" w:rsidRPr="003D05F9" w:rsidRDefault="008143F5" w:rsidP="008143F5">
      <w:pPr>
        <w:pStyle w:val="texto"/>
        <w:jc w:val="center"/>
        <w:rPr>
          <w:rFonts w:ascii="Arial" w:hAnsi="Arial" w:cs="Arial"/>
          <w:sz w:val="24"/>
        </w:rPr>
      </w:pPr>
      <w:r>
        <w:rPr>
          <w:rFonts w:ascii="Arial" w:hAnsi="Arial"/>
          <w:sz w:val="24"/>
        </w:rPr>
        <w:t>Asunción Olaechea Estanga</w:t>
      </w:r>
    </w:p>
    <w:p w:rsidR="008143F5" w:rsidRDefault="008143F5" w:rsidP="00D52170">
      <w:pPr>
        <w:autoSpaceDE w:val="0"/>
        <w:autoSpaceDN w:val="0"/>
        <w:adjustRightInd w:val="0"/>
        <w:spacing w:after="0"/>
        <w:rPr>
          <w:rFonts w:ascii="Arial" w:hAnsi="Arial" w:cs="Arial"/>
          <w:sz w:val="24"/>
          <w:szCs w:val="24"/>
          <w:lang w:val="es-ES"/>
        </w:rPr>
      </w:pPr>
    </w:p>
    <w:p w:rsidR="00D52170" w:rsidRDefault="00D52170" w:rsidP="00D52170">
      <w:pPr>
        <w:pStyle w:val="atitulo1"/>
        <w:jc w:val="right"/>
        <w:rPr>
          <w:bCs/>
          <w:color w:val="auto"/>
          <w:sz w:val="32"/>
        </w:rPr>
      </w:pPr>
    </w:p>
    <w:p w:rsidR="00FA4E1D" w:rsidRPr="004B2F01" w:rsidRDefault="00FA4E1D" w:rsidP="00EA0EED">
      <w:pPr>
        <w:pStyle w:val="texto"/>
        <w:tabs>
          <w:tab w:val="clear" w:pos="2835"/>
          <w:tab w:val="clear" w:pos="3969"/>
          <w:tab w:val="clear" w:pos="5103"/>
          <w:tab w:val="clear" w:pos="6237"/>
          <w:tab w:val="clear" w:pos="7371"/>
          <w:tab w:val="left" w:pos="480"/>
          <w:tab w:val="num" w:pos="720"/>
          <w:tab w:val="num" w:pos="1320"/>
        </w:tabs>
        <w:ind w:left="289" w:firstLine="0"/>
        <w:jc w:val="center"/>
      </w:pPr>
    </w:p>
    <w:sectPr w:rsidR="00FA4E1D" w:rsidRPr="004B2F01" w:rsidSect="00D52170">
      <w:footerReference w:type="default" r:id="rId17"/>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AC1" w:rsidRDefault="00051AC1">
      <w:r>
        <w:separator/>
      </w:r>
    </w:p>
    <w:p w:rsidR="00051AC1" w:rsidRDefault="00051AC1"/>
    <w:p w:rsidR="00051AC1" w:rsidRDefault="00051AC1"/>
    <w:p w:rsidR="00051AC1" w:rsidRDefault="00051AC1"/>
  </w:endnote>
  <w:endnote w:type="continuationSeparator" w:id="0">
    <w:p w:rsidR="00051AC1" w:rsidRDefault="00051AC1">
      <w:r>
        <w:continuationSeparator/>
      </w:r>
    </w:p>
    <w:p w:rsidR="00051AC1" w:rsidRDefault="00051AC1"/>
    <w:p w:rsidR="00051AC1" w:rsidRDefault="00051AC1"/>
    <w:p w:rsidR="00051AC1" w:rsidRDefault="00051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06" w:rsidRDefault="005C6406"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384C78">
      <w:rPr>
        <w:rStyle w:val="Nmerodepgina"/>
      </w:rPr>
      <w:fldChar w:fldCharType="separate"/>
    </w:r>
    <w:r w:rsidR="00384C78">
      <w:rPr>
        <w:rStyle w:val="Nmerodepgina"/>
        <w:noProof/>
      </w:rPr>
      <w:t>3</w:t>
    </w:r>
    <w:r>
      <w:rPr>
        <w:rStyle w:val="Nmerodepgina"/>
      </w:rPr>
      <w:fldChar w:fldCharType="end"/>
    </w:r>
  </w:p>
  <w:p w:rsidR="005C6406" w:rsidRDefault="005C6406"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06" w:rsidRPr="00F03814" w:rsidRDefault="00FA495F"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5C6406" w:rsidRPr="00F74E38" w:rsidRDefault="005C6406" w:rsidP="00F03814">
    <w:pPr>
      <w:pStyle w:val="Piedepgina"/>
      <w:tabs>
        <w:tab w:val="clear" w:pos="4252"/>
        <w:tab w:val="clear" w:pos="8504"/>
        <w:tab w:val="center" w:pos="4560"/>
      </w:tabs>
      <w:ind w:right="360"/>
      <w:jc w:val="left"/>
      <w:rPr>
        <w:rStyle w:val="Nmerodepgina"/>
      </w:rPr>
    </w:pPr>
  </w:p>
  <w:p w:rsidR="005C6406" w:rsidRPr="00C13453" w:rsidRDefault="005C6406"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06" w:rsidRDefault="005C6406"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06" w:rsidRPr="00F03814" w:rsidRDefault="00FA495F"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extent cx="213100" cy="371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sidR="005C6406" w:rsidRPr="001D4F09">
      <w:rPr>
        <w:rStyle w:val="Nmerodepgina"/>
        <w:szCs w:val="24"/>
      </w:rPr>
      <w:fldChar w:fldCharType="begin"/>
    </w:r>
    <w:r w:rsidR="005C6406" w:rsidRPr="001D4F09">
      <w:rPr>
        <w:rStyle w:val="Nmerodepgina"/>
        <w:szCs w:val="24"/>
      </w:rPr>
      <w:instrText xml:space="preserve"> PAGE </w:instrText>
    </w:r>
    <w:r w:rsidR="005C6406" w:rsidRPr="001D4F09">
      <w:rPr>
        <w:rStyle w:val="Nmerodepgina"/>
        <w:szCs w:val="24"/>
      </w:rPr>
      <w:fldChar w:fldCharType="separate"/>
    </w:r>
    <w:r w:rsidR="00384C78">
      <w:rPr>
        <w:rStyle w:val="Nmerodepgina"/>
        <w:noProof/>
        <w:szCs w:val="24"/>
      </w:rPr>
      <w:t>11</w:t>
    </w:r>
    <w:r w:rsidR="005C6406" w:rsidRPr="001D4F09">
      <w:rPr>
        <w:rStyle w:val="Nmerodepgina"/>
        <w:szCs w:val="24"/>
      </w:rPr>
      <w:fldChar w:fldCharType="end"/>
    </w:r>
    <w:r>
      <w:rPr>
        <w:rStyle w:val="Nmerodepgina"/>
        <w:szCs w:val="24"/>
      </w:rPr>
      <w:t xml:space="preserve"> -</w:t>
    </w:r>
  </w:p>
  <w:p w:rsidR="005C6406" w:rsidRPr="00C13453" w:rsidRDefault="005C6406" w:rsidP="00D2472C">
    <w:pPr>
      <w:pStyle w:val="BorradorProvisional"/>
      <w:ind w:left="0"/>
      <w:jc w:val="center"/>
    </w:pPr>
  </w:p>
  <w:p w:rsidR="005C6406" w:rsidRDefault="005C640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170" w:rsidRPr="00F03814" w:rsidRDefault="00D5217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392A46FC" wp14:editId="25F20A1D">
          <wp:extent cx="213100" cy="3714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p>
  <w:p w:rsidR="00D52170" w:rsidRPr="00C13453" w:rsidRDefault="00D52170" w:rsidP="00D2472C">
    <w:pPr>
      <w:pStyle w:val="BorradorProvisional"/>
      <w:ind w:left="0"/>
      <w:jc w:val="center"/>
    </w:pPr>
  </w:p>
  <w:p w:rsidR="00D52170" w:rsidRDefault="00D521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AC1" w:rsidRDefault="00051AC1">
      <w:r>
        <w:separator/>
      </w:r>
    </w:p>
    <w:p w:rsidR="00051AC1" w:rsidRDefault="00051AC1"/>
    <w:p w:rsidR="00051AC1" w:rsidRDefault="00051AC1"/>
    <w:p w:rsidR="00051AC1" w:rsidRDefault="00051AC1"/>
  </w:footnote>
  <w:footnote w:type="continuationSeparator" w:id="0">
    <w:p w:rsidR="00051AC1" w:rsidRDefault="00051AC1">
      <w:r>
        <w:continuationSeparator/>
      </w:r>
    </w:p>
    <w:p w:rsidR="00051AC1" w:rsidRDefault="00051AC1"/>
    <w:p w:rsidR="00051AC1" w:rsidRDefault="00051AC1"/>
    <w:p w:rsidR="00051AC1" w:rsidRDefault="00051A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A66" w:rsidRDefault="00FA495F" w:rsidP="00051AC1">
    <w:pPr>
      <w:pStyle w:val="Encabezado"/>
      <w:pBdr>
        <w:bottom w:val="single" w:sz="4" w:space="1" w:color="auto"/>
      </w:pBdr>
      <w:spacing w:after="40"/>
      <w:ind w:firstLine="0"/>
    </w:pPr>
    <w:r>
      <w:rPr>
        <w:b/>
        <w:noProof/>
        <w:lang w:val="es-ES" w:eastAsia="es-ES"/>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MELIDAKO UDALAREN TERRITORIO VISÓN PROGRAMARI, ERABILERA ANITZEKO ERAIKINAREN KONTRATUARI ETA ERRONKA SOLIDARIOA HITZARMENARI BURUZKO FISKALIZAZIO-TXOSTENA.</w:t>
    </w:r>
  </w:p>
  <w:p w:rsidR="005C6406" w:rsidRPr="0059650E" w:rsidRDefault="00387A66" w:rsidP="00051AC1">
    <w:pPr>
      <w:pStyle w:val="Encabezado"/>
      <w:pBdr>
        <w:bottom w:val="single" w:sz="4" w:space="1" w:color="auto"/>
      </w:pBdr>
      <w:spacing w:after="40"/>
      <w:ind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06" w:rsidRDefault="00FA495F"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06" w:rsidRDefault="005C6406"/>
  <w:p w:rsidR="005C6406" w:rsidRDefault="005C6406"/>
  <w:p w:rsidR="005C6406" w:rsidRDefault="005C64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1FA81F63"/>
    <w:multiLevelType w:val="hybridMultilevel"/>
    <w:tmpl w:val="6C44E796"/>
    <w:lvl w:ilvl="0" w:tplc="48E4AE5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4">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7A3C30BA"/>
    <w:multiLevelType w:val="hybridMultilevel"/>
    <w:tmpl w:val="FF6EBB62"/>
    <w:lvl w:ilvl="0" w:tplc="0C0A0001">
      <w:start w:val="1"/>
      <w:numFmt w:val="bullet"/>
      <w:lvlText w:val=""/>
      <w:lvlJc w:val="left"/>
      <w:pPr>
        <w:ind w:left="644" w:hanging="360"/>
      </w:pPr>
      <w:rPr>
        <w:rFonts w:ascii="Symbol" w:hAnsi="Symbol" w:hint="default"/>
        <w:sz w:val="20"/>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6"/>
  </w:num>
  <w:num w:numId="2">
    <w:abstractNumId w:val="3"/>
  </w:num>
  <w:num w:numId="3">
    <w:abstractNumId w:val="0"/>
  </w:num>
  <w:num w:numId="4">
    <w:abstractNumId w:val="2"/>
  </w:num>
  <w:num w:numId="5">
    <w:abstractNumId w:val="4"/>
  </w:num>
  <w:num w:numId="6">
    <w:abstractNumId w:val="0"/>
  </w:num>
  <w:num w:numId="7">
    <w:abstractNumId w:val="0"/>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AC1"/>
    <w:rsid w:val="000019D8"/>
    <w:rsid w:val="00006736"/>
    <w:rsid w:val="00006A97"/>
    <w:rsid w:val="0001123B"/>
    <w:rsid w:val="00012A7F"/>
    <w:rsid w:val="00017A3A"/>
    <w:rsid w:val="00036E42"/>
    <w:rsid w:val="0003777F"/>
    <w:rsid w:val="0004373B"/>
    <w:rsid w:val="000448FA"/>
    <w:rsid w:val="00051AC1"/>
    <w:rsid w:val="00053A42"/>
    <w:rsid w:val="0005517D"/>
    <w:rsid w:val="0006133D"/>
    <w:rsid w:val="00063585"/>
    <w:rsid w:val="00071CD0"/>
    <w:rsid w:val="00075692"/>
    <w:rsid w:val="0008268C"/>
    <w:rsid w:val="00086BCE"/>
    <w:rsid w:val="00087B8D"/>
    <w:rsid w:val="00093D67"/>
    <w:rsid w:val="00093E60"/>
    <w:rsid w:val="000A18B7"/>
    <w:rsid w:val="000A2C1E"/>
    <w:rsid w:val="000A2D21"/>
    <w:rsid w:val="000A4697"/>
    <w:rsid w:val="000A609A"/>
    <w:rsid w:val="000B2728"/>
    <w:rsid w:val="000B3943"/>
    <w:rsid w:val="000B4477"/>
    <w:rsid w:val="000C0704"/>
    <w:rsid w:val="000C2B07"/>
    <w:rsid w:val="000C39CC"/>
    <w:rsid w:val="000C4B82"/>
    <w:rsid w:val="000C7566"/>
    <w:rsid w:val="000D188E"/>
    <w:rsid w:val="000D5335"/>
    <w:rsid w:val="000D56CE"/>
    <w:rsid w:val="000D75D4"/>
    <w:rsid w:val="000E7B86"/>
    <w:rsid w:val="000F2B66"/>
    <w:rsid w:val="000F3D83"/>
    <w:rsid w:val="00100F12"/>
    <w:rsid w:val="00102556"/>
    <w:rsid w:val="00103589"/>
    <w:rsid w:val="001045C9"/>
    <w:rsid w:val="00104DF3"/>
    <w:rsid w:val="00107CC1"/>
    <w:rsid w:val="00111A92"/>
    <w:rsid w:val="001145C3"/>
    <w:rsid w:val="001161D2"/>
    <w:rsid w:val="00131DF1"/>
    <w:rsid w:val="00132C38"/>
    <w:rsid w:val="00133984"/>
    <w:rsid w:val="001365C4"/>
    <w:rsid w:val="0014147D"/>
    <w:rsid w:val="00141D29"/>
    <w:rsid w:val="0014506A"/>
    <w:rsid w:val="0014728F"/>
    <w:rsid w:val="001521A2"/>
    <w:rsid w:val="00152358"/>
    <w:rsid w:val="00155BFF"/>
    <w:rsid w:val="00160F66"/>
    <w:rsid w:val="001633AF"/>
    <w:rsid w:val="00166A6C"/>
    <w:rsid w:val="001728D0"/>
    <w:rsid w:val="00173EDD"/>
    <w:rsid w:val="0017402B"/>
    <w:rsid w:val="00181D37"/>
    <w:rsid w:val="001835B7"/>
    <w:rsid w:val="0018426B"/>
    <w:rsid w:val="00185A37"/>
    <w:rsid w:val="00194309"/>
    <w:rsid w:val="0019660E"/>
    <w:rsid w:val="001B39E2"/>
    <w:rsid w:val="001C2B26"/>
    <w:rsid w:val="001C3A32"/>
    <w:rsid w:val="001C4D95"/>
    <w:rsid w:val="001D4F09"/>
    <w:rsid w:val="001F1482"/>
    <w:rsid w:val="001F20D7"/>
    <w:rsid w:val="001F7744"/>
    <w:rsid w:val="00200793"/>
    <w:rsid w:val="002014EB"/>
    <w:rsid w:val="00202B1A"/>
    <w:rsid w:val="00204979"/>
    <w:rsid w:val="00211D69"/>
    <w:rsid w:val="002179DB"/>
    <w:rsid w:val="00227E48"/>
    <w:rsid w:val="00230577"/>
    <w:rsid w:val="0023159D"/>
    <w:rsid w:val="0023209D"/>
    <w:rsid w:val="002333F8"/>
    <w:rsid w:val="00233D79"/>
    <w:rsid w:val="00237657"/>
    <w:rsid w:val="00242BA7"/>
    <w:rsid w:val="002437B5"/>
    <w:rsid w:val="00244EF1"/>
    <w:rsid w:val="00246F21"/>
    <w:rsid w:val="00253E78"/>
    <w:rsid w:val="00262C3C"/>
    <w:rsid w:val="00264C88"/>
    <w:rsid w:val="0026532C"/>
    <w:rsid w:val="0026575D"/>
    <w:rsid w:val="002705B0"/>
    <w:rsid w:val="002717A6"/>
    <w:rsid w:val="00272015"/>
    <w:rsid w:val="00273C10"/>
    <w:rsid w:val="00274B4C"/>
    <w:rsid w:val="00276264"/>
    <w:rsid w:val="00281DCA"/>
    <w:rsid w:val="0028281D"/>
    <w:rsid w:val="00295529"/>
    <w:rsid w:val="00297B04"/>
    <w:rsid w:val="002A056C"/>
    <w:rsid w:val="002A66A5"/>
    <w:rsid w:val="002A6EBB"/>
    <w:rsid w:val="002B21E9"/>
    <w:rsid w:val="002B2B87"/>
    <w:rsid w:val="002B4E0F"/>
    <w:rsid w:val="002B5754"/>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2D3A"/>
    <w:rsid w:val="00337493"/>
    <w:rsid w:val="0034285F"/>
    <w:rsid w:val="003464A4"/>
    <w:rsid w:val="00351684"/>
    <w:rsid w:val="00354458"/>
    <w:rsid w:val="00363653"/>
    <w:rsid w:val="0036509D"/>
    <w:rsid w:val="0037228C"/>
    <w:rsid w:val="003738FD"/>
    <w:rsid w:val="003810BE"/>
    <w:rsid w:val="00384C78"/>
    <w:rsid w:val="00385512"/>
    <w:rsid w:val="00386F6C"/>
    <w:rsid w:val="00387709"/>
    <w:rsid w:val="00387794"/>
    <w:rsid w:val="00387A66"/>
    <w:rsid w:val="00397162"/>
    <w:rsid w:val="003A0ACF"/>
    <w:rsid w:val="003A335E"/>
    <w:rsid w:val="003A3DD2"/>
    <w:rsid w:val="003A62EA"/>
    <w:rsid w:val="003B0099"/>
    <w:rsid w:val="003B3573"/>
    <w:rsid w:val="003B5813"/>
    <w:rsid w:val="003C03EA"/>
    <w:rsid w:val="003C196B"/>
    <w:rsid w:val="003C6E1D"/>
    <w:rsid w:val="003D058C"/>
    <w:rsid w:val="003D76B1"/>
    <w:rsid w:val="003E17A6"/>
    <w:rsid w:val="003E4AA5"/>
    <w:rsid w:val="003F1CEC"/>
    <w:rsid w:val="003F43BF"/>
    <w:rsid w:val="003F6BE4"/>
    <w:rsid w:val="00403CF8"/>
    <w:rsid w:val="00407459"/>
    <w:rsid w:val="00414D01"/>
    <w:rsid w:val="004170FE"/>
    <w:rsid w:val="004209E6"/>
    <w:rsid w:val="0042324B"/>
    <w:rsid w:val="004234E8"/>
    <w:rsid w:val="00426805"/>
    <w:rsid w:val="00430150"/>
    <w:rsid w:val="004302F9"/>
    <w:rsid w:val="0043229B"/>
    <w:rsid w:val="00435287"/>
    <w:rsid w:val="00440A22"/>
    <w:rsid w:val="0045550E"/>
    <w:rsid w:val="00456456"/>
    <w:rsid w:val="00462367"/>
    <w:rsid w:val="0046490C"/>
    <w:rsid w:val="00470287"/>
    <w:rsid w:val="00470733"/>
    <w:rsid w:val="00477C53"/>
    <w:rsid w:val="00485380"/>
    <w:rsid w:val="00493D87"/>
    <w:rsid w:val="004950D4"/>
    <w:rsid w:val="004A0506"/>
    <w:rsid w:val="004A2342"/>
    <w:rsid w:val="004A2F62"/>
    <w:rsid w:val="004B1DB8"/>
    <w:rsid w:val="004B2F01"/>
    <w:rsid w:val="004B4182"/>
    <w:rsid w:val="004B4538"/>
    <w:rsid w:val="004B585C"/>
    <w:rsid w:val="004B6FB6"/>
    <w:rsid w:val="004C3423"/>
    <w:rsid w:val="004C571D"/>
    <w:rsid w:val="004D35A2"/>
    <w:rsid w:val="004D5FD1"/>
    <w:rsid w:val="004F7C93"/>
    <w:rsid w:val="00506105"/>
    <w:rsid w:val="00513162"/>
    <w:rsid w:val="00525809"/>
    <w:rsid w:val="005307A1"/>
    <w:rsid w:val="00533642"/>
    <w:rsid w:val="00535130"/>
    <w:rsid w:val="00537302"/>
    <w:rsid w:val="00555509"/>
    <w:rsid w:val="00561C5B"/>
    <w:rsid w:val="00564F2D"/>
    <w:rsid w:val="00565555"/>
    <w:rsid w:val="00566CDA"/>
    <w:rsid w:val="0056727E"/>
    <w:rsid w:val="00567BA6"/>
    <w:rsid w:val="00570033"/>
    <w:rsid w:val="00570147"/>
    <w:rsid w:val="0057307E"/>
    <w:rsid w:val="00573A4C"/>
    <w:rsid w:val="00574B79"/>
    <w:rsid w:val="00574D12"/>
    <w:rsid w:val="005800B4"/>
    <w:rsid w:val="0058070B"/>
    <w:rsid w:val="0058296F"/>
    <w:rsid w:val="00593C0F"/>
    <w:rsid w:val="00595152"/>
    <w:rsid w:val="00595E80"/>
    <w:rsid w:val="0059650E"/>
    <w:rsid w:val="00596953"/>
    <w:rsid w:val="005A6030"/>
    <w:rsid w:val="005B1BA9"/>
    <w:rsid w:val="005B57AD"/>
    <w:rsid w:val="005B722E"/>
    <w:rsid w:val="005B72E5"/>
    <w:rsid w:val="005C02FE"/>
    <w:rsid w:val="005C422A"/>
    <w:rsid w:val="005C440D"/>
    <w:rsid w:val="005C50AC"/>
    <w:rsid w:val="005C6406"/>
    <w:rsid w:val="005D69D1"/>
    <w:rsid w:val="005E210D"/>
    <w:rsid w:val="005F2425"/>
    <w:rsid w:val="005F5EC7"/>
    <w:rsid w:val="005F7207"/>
    <w:rsid w:val="005F7FCF"/>
    <w:rsid w:val="00607691"/>
    <w:rsid w:val="0061062C"/>
    <w:rsid w:val="00613183"/>
    <w:rsid w:val="006133F0"/>
    <w:rsid w:val="00616888"/>
    <w:rsid w:val="006176BE"/>
    <w:rsid w:val="006212CB"/>
    <w:rsid w:val="006279F9"/>
    <w:rsid w:val="006369EE"/>
    <w:rsid w:val="00645C96"/>
    <w:rsid w:val="0064700E"/>
    <w:rsid w:val="00650183"/>
    <w:rsid w:val="00650677"/>
    <w:rsid w:val="0067364C"/>
    <w:rsid w:val="006736A9"/>
    <w:rsid w:val="00673BC7"/>
    <w:rsid w:val="00674975"/>
    <w:rsid w:val="00675D39"/>
    <w:rsid w:val="0068560B"/>
    <w:rsid w:val="006A1277"/>
    <w:rsid w:val="006A2602"/>
    <w:rsid w:val="006A2D41"/>
    <w:rsid w:val="006A67E1"/>
    <w:rsid w:val="006A6813"/>
    <w:rsid w:val="006A6FA4"/>
    <w:rsid w:val="006C36FB"/>
    <w:rsid w:val="006C62B7"/>
    <w:rsid w:val="006C7D62"/>
    <w:rsid w:val="006D0B23"/>
    <w:rsid w:val="006D2ED6"/>
    <w:rsid w:val="006D5685"/>
    <w:rsid w:val="006E12BE"/>
    <w:rsid w:val="006E1987"/>
    <w:rsid w:val="006E23B2"/>
    <w:rsid w:val="006E5207"/>
    <w:rsid w:val="006F5C70"/>
    <w:rsid w:val="006F6A20"/>
    <w:rsid w:val="007047B2"/>
    <w:rsid w:val="00704DE7"/>
    <w:rsid w:val="00706868"/>
    <w:rsid w:val="007078B8"/>
    <w:rsid w:val="00715E32"/>
    <w:rsid w:val="007162D1"/>
    <w:rsid w:val="00716463"/>
    <w:rsid w:val="0071706E"/>
    <w:rsid w:val="00722A22"/>
    <w:rsid w:val="00727292"/>
    <w:rsid w:val="00737F58"/>
    <w:rsid w:val="00742F6A"/>
    <w:rsid w:val="007446E8"/>
    <w:rsid w:val="00751553"/>
    <w:rsid w:val="0075165E"/>
    <w:rsid w:val="007538DD"/>
    <w:rsid w:val="00754E10"/>
    <w:rsid w:val="00762A29"/>
    <w:rsid w:val="0076327D"/>
    <w:rsid w:val="00767745"/>
    <w:rsid w:val="007707FC"/>
    <w:rsid w:val="00770BE3"/>
    <w:rsid w:val="0077177A"/>
    <w:rsid w:val="007728A8"/>
    <w:rsid w:val="007844B0"/>
    <w:rsid w:val="00785A76"/>
    <w:rsid w:val="00787852"/>
    <w:rsid w:val="007915BC"/>
    <w:rsid w:val="007967FA"/>
    <w:rsid w:val="00797E7A"/>
    <w:rsid w:val="007A0EA6"/>
    <w:rsid w:val="007A2D9E"/>
    <w:rsid w:val="007B0381"/>
    <w:rsid w:val="007B0F3D"/>
    <w:rsid w:val="007B148D"/>
    <w:rsid w:val="007B18C8"/>
    <w:rsid w:val="007B28DE"/>
    <w:rsid w:val="007B7A5F"/>
    <w:rsid w:val="007C36BE"/>
    <w:rsid w:val="007D53ED"/>
    <w:rsid w:val="007D6001"/>
    <w:rsid w:val="007D7F94"/>
    <w:rsid w:val="007E1B76"/>
    <w:rsid w:val="007E219A"/>
    <w:rsid w:val="007E37BF"/>
    <w:rsid w:val="007E6593"/>
    <w:rsid w:val="007F1101"/>
    <w:rsid w:val="007F2CB1"/>
    <w:rsid w:val="00803D20"/>
    <w:rsid w:val="008112A0"/>
    <w:rsid w:val="008143F5"/>
    <w:rsid w:val="0081696D"/>
    <w:rsid w:val="00816E01"/>
    <w:rsid w:val="008173D0"/>
    <w:rsid w:val="00821BF8"/>
    <w:rsid w:val="00823235"/>
    <w:rsid w:val="008249F1"/>
    <w:rsid w:val="00824AF2"/>
    <w:rsid w:val="00826686"/>
    <w:rsid w:val="0083091E"/>
    <w:rsid w:val="00832EE8"/>
    <w:rsid w:val="00835563"/>
    <w:rsid w:val="00836511"/>
    <w:rsid w:val="00836B02"/>
    <w:rsid w:val="00836EC6"/>
    <w:rsid w:val="0083741E"/>
    <w:rsid w:val="00837703"/>
    <w:rsid w:val="00837985"/>
    <w:rsid w:val="00840E3D"/>
    <w:rsid w:val="00841D8C"/>
    <w:rsid w:val="00842220"/>
    <w:rsid w:val="00844111"/>
    <w:rsid w:val="00844F74"/>
    <w:rsid w:val="00846382"/>
    <w:rsid w:val="00850F57"/>
    <w:rsid w:val="008536C2"/>
    <w:rsid w:val="008600C7"/>
    <w:rsid w:val="008617D0"/>
    <w:rsid w:val="00861A60"/>
    <w:rsid w:val="00862357"/>
    <w:rsid w:val="00862D02"/>
    <w:rsid w:val="008637B9"/>
    <w:rsid w:val="00864194"/>
    <w:rsid w:val="00870399"/>
    <w:rsid w:val="008711EC"/>
    <w:rsid w:val="008718FE"/>
    <w:rsid w:val="00872946"/>
    <w:rsid w:val="00883928"/>
    <w:rsid w:val="00883DDE"/>
    <w:rsid w:val="00891D73"/>
    <w:rsid w:val="00892A44"/>
    <w:rsid w:val="008A2DE8"/>
    <w:rsid w:val="008A312D"/>
    <w:rsid w:val="008A3E09"/>
    <w:rsid w:val="008A3E57"/>
    <w:rsid w:val="008A5F50"/>
    <w:rsid w:val="008A77A7"/>
    <w:rsid w:val="008B2BA5"/>
    <w:rsid w:val="008B3F34"/>
    <w:rsid w:val="008C56B9"/>
    <w:rsid w:val="008D05E0"/>
    <w:rsid w:val="008D2600"/>
    <w:rsid w:val="008E0AC0"/>
    <w:rsid w:val="008E221A"/>
    <w:rsid w:val="008E3FFE"/>
    <w:rsid w:val="008E60BE"/>
    <w:rsid w:val="008E6B74"/>
    <w:rsid w:val="008F0FAF"/>
    <w:rsid w:val="008F46CD"/>
    <w:rsid w:val="008F6480"/>
    <w:rsid w:val="008F7740"/>
    <w:rsid w:val="00900CA2"/>
    <w:rsid w:val="0090327B"/>
    <w:rsid w:val="00903653"/>
    <w:rsid w:val="00910A52"/>
    <w:rsid w:val="00911479"/>
    <w:rsid w:val="0091484D"/>
    <w:rsid w:val="00925E71"/>
    <w:rsid w:val="0093329F"/>
    <w:rsid w:val="00937043"/>
    <w:rsid w:val="009445D3"/>
    <w:rsid w:val="00955A8A"/>
    <w:rsid w:val="0096400D"/>
    <w:rsid w:val="00966600"/>
    <w:rsid w:val="009671D9"/>
    <w:rsid w:val="00971352"/>
    <w:rsid w:val="00971577"/>
    <w:rsid w:val="00975E5B"/>
    <w:rsid w:val="00977C8F"/>
    <w:rsid w:val="00977F94"/>
    <w:rsid w:val="009863E9"/>
    <w:rsid w:val="00992E20"/>
    <w:rsid w:val="009936FC"/>
    <w:rsid w:val="00993925"/>
    <w:rsid w:val="00993977"/>
    <w:rsid w:val="009A05D1"/>
    <w:rsid w:val="009A234F"/>
    <w:rsid w:val="009A28AC"/>
    <w:rsid w:val="009A3A5B"/>
    <w:rsid w:val="009A3F2A"/>
    <w:rsid w:val="009B2AAC"/>
    <w:rsid w:val="009B3521"/>
    <w:rsid w:val="009B541C"/>
    <w:rsid w:val="009C10E0"/>
    <w:rsid w:val="009C4460"/>
    <w:rsid w:val="009D7192"/>
    <w:rsid w:val="009E0E38"/>
    <w:rsid w:val="009E1A35"/>
    <w:rsid w:val="009F09AA"/>
    <w:rsid w:val="009F2C16"/>
    <w:rsid w:val="009F2C1B"/>
    <w:rsid w:val="009F335C"/>
    <w:rsid w:val="00A002B5"/>
    <w:rsid w:val="00A00CBD"/>
    <w:rsid w:val="00A0260C"/>
    <w:rsid w:val="00A041B5"/>
    <w:rsid w:val="00A04F8C"/>
    <w:rsid w:val="00A05059"/>
    <w:rsid w:val="00A05158"/>
    <w:rsid w:val="00A13BF5"/>
    <w:rsid w:val="00A14837"/>
    <w:rsid w:val="00A225E3"/>
    <w:rsid w:val="00A23A26"/>
    <w:rsid w:val="00A24A8F"/>
    <w:rsid w:val="00A25708"/>
    <w:rsid w:val="00A25BF0"/>
    <w:rsid w:val="00A3026E"/>
    <w:rsid w:val="00A4576A"/>
    <w:rsid w:val="00A45AD0"/>
    <w:rsid w:val="00A45EE9"/>
    <w:rsid w:val="00A53C14"/>
    <w:rsid w:val="00A61410"/>
    <w:rsid w:val="00A6198A"/>
    <w:rsid w:val="00A65108"/>
    <w:rsid w:val="00A7067F"/>
    <w:rsid w:val="00A707A7"/>
    <w:rsid w:val="00A718FD"/>
    <w:rsid w:val="00A72341"/>
    <w:rsid w:val="00A776ED"/>
    <w:rsid w:val="00A80E50"/>
    <w:rsid w:val="00A8137F"/>
    <w:rsid w:val="00A83663"/>
    <w:rsid w:val="00A83B0F"/>
    <w:rsid w:val="00A84216"/>
    <w:rsid w:val="00A8792C"/>
    <w:rsid w:val="00A90BFA"/>
    <w:rsid w:val="00A92BF3"/>
    <w:rsid w:val="00A943C8"/>
    <w:rsid w:val="00A950A4"/>
    <w:rsid w:val="00A9520D"/>
    <w:rsid w:val="00A9747D"/>
    <w:rsid w:val="00AA00A6"/>
    <w:rsid w:val="00AA6BA8"/>
    <w:rsid w:val="00AA7978"/>
    <w:rsid w:val="00AA7F5A"/>
    <w:rsid w:val="00AB2340"/>
    <w:rsid w:val="00AB5FE4"/>
    <w:rsid w:val="00AB659D"/>
    <w:rsid w:val="00AC008F"/>
    <w:rsid w:val="00AC229F"/>
    <w:rsid w:val="00AD7671"/>
    <w:rsid w:val="00AE3689"/>
    <w:rsid w:val="00AE53E8"/>
    <w:rsid w:val="00AE5B2A"/>
    <w:rsid w:val="00AE6FE4"/>
    <w:rsid w:val="00AF2059"/>
    <w:rsid w:val="00AF3D84"/>
    <w:rsid w:val="00AF4161"/>
    <w:rsid w:val="00AF52C3"/>
    <w:rsid w:val="00AF580B"/>
    <w:rsid w:val="00B007C8"/>
    <w:rsid w:val="00B14410"/>
    <w:rsid w:val="00B15E61"/>
    <w:rsid w:val="00B24F35"/>
    <w:rsid w:val="00B276A8"/>
    <w:rsid w:val="00B32C88"/>
    <w:rsid w:val="00B34747"/>
    <w:rsid w:val="00B42E49"/>
    <w:rsid w:val="00B50903"/>
    <w:rsid w:val="00B52083"/>
    <w:rsid w:val="00B62FFE"/>
    <w:rsid w:val="00B65013"/>
    <w:rsid w:val="00B664F4"/>
    <w:rsid w:val="00B7123A"/>
    <w:rsid w:val="00B7435C"/>
    <w:rsid w:val="00B76F38"/>
    <w:rsid w:val="00B8085D"/>
    <w:rsid w:val="00B81EFF"/>
    <w:rsid w:val="00B836BB"/>
    <w:rsid w:val="00B84122"/>
    <w:rsid w:val="00B862B0"/>
    <w:rsid w:val="00B876D9"/>
    <w:rsid w:val="00BA2B7C"/>
    <w:rsid w:val="00BB142A"/>
    <w:rsid w:val="00BB34B9"/>
    <w:rsid w:val="00BB35C2"/>
    <w:rsid w:val="00BB553B"/>
    <w:rsid w:val="00BC28D7"/>
    <w:rsid w:val="00BC376C"/>
    <w:rsid w:val="00BC6321"/>
    <w:rsid w:val="00BC7817"/>
    <w:rsid w:val="00BD3819"/>
    <w:rsid w:val="00BD642D"/>
    <w:rsid w:val="00BD6988"/>
    <w:rsid w:val="00BE1A77"/>
    <w:rsid w:val="00BE4742"/>
    <w:rsid w:val="00BE7383"/>
    <w:rsid w:val="00BE754D"/>
    <w:rsid w:val="00BF1DB9"/>
    <w:rsid w:val="00BF6D10"/>
    <w:rsid w:val="00BF6E79"/>
    <w:rsid w:val="00C01C94"/>
    <w:rsid w:val="00C03F6C"/>
    <w:rsid w:val="00C12108"/>
    <w:rsid w:val="00C121D9"/>
    <w:rsid w:val="00C1293C"/>
    <w:rsid w:val="00C13453"/>
    <w:rsid w:val="00C220F9"/>
    <w:rsid w:val="00C2541C"/>
    <w:rsid w:val="00C26862"/>
    <w:rsid w:val="00C30458"/>
    <w:rsid w:val="00C31DA6"/>
    <w:rsid w:val="00C33260"/>
    <w:rsid w:val="00C4598F"/>
    <w:rsid w:val="00C50360"/>
    <w:rsid w:val="00C54E12"/>
    <w:rsid w:val="00C55468"/>
    <w:rsid w:val="00C622C3"/>
    <w:rsid w:val="00C63BD5"/>
    <w:rsid w:val="00C74906"/>
    <w:rsid w:val="00C81B40"/>
    <w:rsid w:val="00C81FEA"/>
    <w:rsid w:val="00C83969"/>
    <w:rsid w:val="00C86C95"/>
    <w:rsid w:val="00CA05EB"/>
    <w:rsid w:val="00CA3515"/>
    <w:rsid w:val="00CA3A05"/>
    <w:rsid w:val="00CB14E9"/>
    <w:rsid w:val="00CB6D90"/>
    <w:rsid w:val="00CB72C3"/>
    <w:rsid w:val="00CC45E4"/>
    <w:rsid w:val="00CD019F"/>
    <w:rsid w:val="00CD27C5"/>
    <w:rsid w:val="00CE4169"/>
    <w:rsid w:val="00CE7894"/>
    <w:rsid w:val="00CF06A1"/>
    <w:rsid w:val="00CF1467"/>
    <w:rsid w:val="00CF35B6"/>
    <w:rsid w:val="00CF48D6"/>
    <w:rsid w:val="00CF57D6"/>
    <w:rsid w:val="00CF6C1B"/>
    <w:rsid w:val="00D019D5"/>
    <w:rsid w:val="00D040FE"/>
    <w:rsid w:val="00D168FD"/>
    <w:rsid w:val="00D16F64"/>
    <w:rsid w:val="00D2472C"/>
    <w:rsid w:val="00D279BA"/>
    <w:rsid w:val="00D404B5"/>
    <w:rsid w:val="00D447CB"/>
    <w:rsid w:val="00D45F5A"/>
    <w:rsid w:val="00D47D16"/>
    <w:rsid w:val="00D505F4"/>
    <w:rsid w:val="00D51CE1"/>
    <w:rsid w:val="00D52170"/>
    <w:rsid w:val="00D562F2"/>
    <w:rsid w:val="00D61B93"/>
    <w:rsid w:val="00D67E4A"/>
    <w:rsid w:val="00D763FD"/>
    <w:rsid w:val="00D90AD1"/>
    <w:rsid w:val="00D941F7"/>
    <w:rsid w:val="00DA4DDF"/>
    <w:rsid w:val="00DB0804"/>
    <w:rsid w:val="00DB2FC4"/>
    <w:rsid w:val="00DC382A"/>
    <w:rsid w:val="00DE1923"/>
    <w:rsid w:val="00DE2B33"/>
    <w:rsid w:val="00DE2F17"/>
    <w:rsid w:val="00DE638B"/>
    <w:rsid w:val="00DE72EE"/>
    <w:rsid w:val="00DF37E5"/>
    <w:rsid w:val="00E034FE"/>
    <w:rsid w:val="00E041E5"/>
    <w:rsid w:val="00E04888"/>
    <w:rsid w:val="00E0763B"/>
    <w:rsid w:val="00E10302"/>
    <w:rsid w:val="00E17EC5"/>
    <w:rsid w:val="00E26BFD"/>
    <w:rsid w:val="00E27E90"/>
    <w:rsid w:val="00E33D02"/>
    <w:rsid w:val="00E34F2C"/>
    <w:rsid w:val="00E35D79"/>
    <w:rsid w:val="00E36872"/>
    <w:rsid w:val="00E4641E"/>
    <w:rsid w:val="00E519AE"/>
    <w:rsid w:val="00E55C49"/>
    <w:rsid w:val="00E57AF7"/>
    <w:rsid w:val="00E6241B"/>
    <w:rsid w:val="00E64FCC"/>
    <w:rsid w:val="00E703B6"/>
    <w:rsid w:val="00E72200"/>
    <w:rsid w:val="00E72B1B"/>
    <w:rsid w:val="00E75D47"/>
    <w:rsid w:val="00E766F5"/>
    <w:rsid w:val="00E82948"/>
    <w:rsid w:val="00E87452"/>
    <w:rsid w:val="00E90218"/>
    <w:rsid w:val="00E913BB"/>
    <w:rsid w:val="00E95F2E"/>
    <w:rsid w:val="00EA0EED"/>
    <w:rsid w:val="00EA1508"/>
    <w:rsid w:val="00EA1541"/>
    <w:rsid w:val="00EA32E4"/>
    <w:rsid w:val="00EA7E36"/>
    <w:rsid w:val="00EB089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0E4F"/>
    <w:rsid w:val="00F01100"/>
    <w:rsid w:val="00F03814"/>
    <w:rsid w:val="00F0749D"/>
    <w:rsid w:val="00F07A09"/>
    <w:rsid w:val="00F1390C"/>
    <w:rsid w:val="00F14D98"/>
    <w:rsid w:val="00F20C5E"/>
    <w:rsid w:val="00F25B83"/>
    <w:rsid w:val="00F36A1D"/>
    <w:rsid w:val="00F44278"/>
    <w:rsid w:val="00F51B65"/>
    <w:rsid w:val="00F52AAB"/>
    <w:rsid w:val="00F52EB6"/>
    <w:rsid w:val="00F55260"/>
    <w:rsid w:val="00F6316B"/>
    <w:rsid w:val="00F65AE0"/>
    <w:rsid w:val="00F678F8"/>
    <w:rsid w:val="00F74E38"/>
    <w:rsid w:val="00F76D6F"/>
    <w:rsid w:val="00F778B0"/>
    <w:rsid w:val="00F83BC2"/>
    <w:rsid w:val="00F861B7"/>
    <w:rsid w:val="00F875ED"/>
    <w:rsid w:val="00F92EC1"/>
    <w:rsid w:val="00F94C47"/>
    <w:rsid w:val="00FA0421"/>
    <w:rsid w:val="00FA3389"/>
    <w:rsid w:val="00FA3476"/>
    <w:rsid w:val="00FA495F"/>
    <w:rsid w:val="00FA4E1D"/>
    <w:rsid w:val="00FB0C10"/>
    <w:rsid w:val="00FB3C36"/>
    <w:rsid w:val="00FB4280"/>
    <w:rsid w:val="00FB7CCE"/>
    <w:rsid w:val="00FC01C8"/>
    <w:rsid w:val="00FC5027"/>
    <w:rsid w:val="00FC50C7"/>
    <w:rsid w:val="00FC511D"/>
    <w:rsid w:val="00FC68BC"/>
    <w:rsid w:val="00FD11D4"/>
    <w:rsid w:val="00FD225D"/>
    <w:rsid w:val="00FD2384"/>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051AC1"/>
    <w:rPr>
      <w:rFonts w:ascii="Arial" w:hAnsi="Arial"/>
      <w:b/>
      <w:color w:val="000000"/>
      <w:kern w:val="28"/>
      <w:sz w:val="25"/>
      <w:szCs w:val="26"/>
      <w:lang w:val="eu-ES" w:eastAsia="en-US"/>
    </w:rPr>
  </w:style>
  <w:style w:type="character" w:customStyle="1" w:styleId="atitulo2Car">
    <w:name w:val="atitulo2 Car"/>
    <w:link w:val="atitulo2"/>
    <w:locked/>
    <w:rsid w:val="00051AC1"/>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051AC1"/>
    <w:pPr>
      <w:ind w:left="720"/>
      <w:contextualSpacing/>
    </w:pPr>
  </w:style>
  <w:style w:type="paragraph" w:customStyle="1" w:styleId="Default">
    <w:name w:val="Default"/>
    <w:rsid w:val="00051AC1"/>
    <w:pPr>
      <w:autoSpaceDE w:val="0"/>
      <w:autoSpaceDN w:val="0"/>
      <w:adjustRightInd w:val="0"/>
    </w:pPr>
    <w:rPr>
      <w:color w:val="000000"/>
      <w:sz w:val="24"/>
      <w:szCs w:val="24"/>
    </w:rPr>
  </w:style>
  <w:style w:type="character" w:styleId="Textoennegrita">
    <w:name w:val="Strong"/>
    <w:basedOn w:val="Fuentedeprrafopredeter"/>
    <w:uiPriority w:val="22"/>
    <w:qFormat/>
    <w:rsid w:val="00051AC1"/>
    <w:rPr>
      <w:b/>
      <w:bCs/>
    </w:rPr>
  </w:style>
  <w:style w:type="character" w:customStyle="1" w:styleId="EncabezadoCar">
    <w:name w:val="Encabezado Car"/>
    <w:basedOn w:val="Fuentedeprrafopredeter"/>
    <w:link w:val="Encabezado"/>
    <w:uiPriority w:val="99"/>
    <w:rsid w:val="00051AC1"/>
    <w:rPr>
      <w:bCs/>
      <w:caps/>
      <w:sz w:val="14"/>
      <w:szCs w:val="12"/>
      <w:lang w:val="eu-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051AC1"/>
    <w:rPr>
      <w:rFonts w:ascii="Arial" w:hAnsi="Arial"/>
      <w:b/>
      <w:color w:val="000000"/>
      <w:kern w:val="28"/>
      <w:sz w:val="25"/>
      <w:szCs w:val="26"/>
      <w:lang w:val="eu-ES" w:eastAsia="en-US"/>
    </w:rPr>
  </w:style>
  <w:style w:type="character" w:customStyle="1" w:styleId="atitulo2Car">
    <w:name w:val="atitulo2 Car"/>
    <w:link w:val="atitulo2"/>
    <w:locked/>
    <w:rsid w:val="00051AC1"/>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051AC1"/>
    <w:pPr>
      <w:ind w:left="720"/>
      <w:contextualSpacing/>
    </w:pPr>
  </w:style>
  <w:style w:type="paragraph" w:customStyle="1" w:styleId="Default">
    <w:name w:val="Default"/>
    <w:rsid w:val="00051AC1"/>
    <w:pPr>
      <w:autoSpaceDE w:val="0"/>
      <w:autoSpaceDN w:val="0"/>
      <w:adjustRightInd w:val="0"/>
    </w:pPr>
    <w:rPr>
      <w:color w:val="000000"/>
      <w:sz w:val="24"/>
      <w:szCs w:val="24"/>
    </w:rPr>
  </w:style>
  <w:style w:type="character" w:styleId="Textoennegrita">
    <w:name w:val="Strong"/>
    <w:basedOn w:val="Fuentedeprrafopredeter"/>
    <w:uiPriority w:val="22"/>
    <w:qFormat/>
    <w:rsid w:val="00051AC1"/>
    <w:rPr>
      <w:b/>
      <w:bCs/>
    </w:rPr>
  </w:style>
  <w:style w:type="character" w:customStyle="1" w:styleId="EncabezadoCar">
    <w:name w:val="Encabezado Car"/>
    <w:basedOn w:val="Fuentedeprrafopredeter"/>
    <w:link w:val="Encabezado"/>
    <w:uiPriority w:val="99"/>
    <w:rsid w:val="00051AC1"/>
    <w:rPr>
      <w:bCs/>
      <w:caps/>
      <w:sz w:val="14"/>
      <w:szCs w:val="12"/>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771290">
      <w:bodyDiv w:val="1"/>
      <w:marLeft w:val="0"/>
      <w:marRight w:val="0"/>
      <w:marTop w:val="0"/>
      <w:marBottom w:val="0"/>
      <w:divBdr>
        <w:top w:val="none" w:sz="0" w:space="0" w:color="auto"/>
        <w:left w:val="none" w:sz="0" w:space="0" w:color="auto"/>
        <w:bottom w:val="none" w:sz="0" w:space="0" w:color="auto"/>
        <w:right w:val="none" w:sz="0" w:space="0" w:color="auto"/>
      </w:divBdr>
    </w:div>
    <w:div w:id="18297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ragsa.es/es/Paginas/defaul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46B2E-CDE0-4033-A46C-A4665A6F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1778</Words>
  <Characters>14274</Characters>
  <Application>Microsoft Office Word</Application>
  <DocSecurity>0</DocSecurity>
  <Lines>118</Lines>
  <Paragraphs>32</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d841144</dc:creator>
  <cp:lastModifiedBy>Iñaki De Santiago</cp:lastModifiedBy>
  <cp:revision>2</cp:revision>
  <cp:lastPrinted>2021-03-15T09:57:00Z</cp:lastPrinted>
  <dcterms:created xsi:type="dcterms:W3CDTF">2021-04-16T08:24:00Z</dcterms:created>
  <dcterms:modified xsi:type="dcterms:W3CDTF">2021-04-16T08:24:00Z</dcterms:modified>
</cp:coreProperties>
</file>