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Entiende necesario seguir avanzando en el desarrollo de los planes de acción de eliminación de amianto.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Considera fundamental continuar con los programas de vigilancia de la salud de los trabajadores expuestos al amianto en nuestra Comunidad.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Muestra su respaldo a la creación a nivel estatal de un fondo de compensación para las víctimas de amianto.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Reconoce el trabajo imprescindible de las asociaciones navarras de víctimas de amianto, como son ANANAR y ADAVAN.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Traslada su apoyo a todas las victimas de cánceres producidos por amianto, así como a sus familiares y amistades, y se compromete a actuar en defensa de sus legítimos intereses.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Iluminará su fachada de color gris el día 30 de abril de 2021 con motivo de la celebración del “Día de las víctimas del amianto”.»(10-21/DEC-00020).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