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D6" w:rsidRDefault="006F3270" w:rsidP="000126F4">
      <w:pPr>
        <w:spacing w:after="200" w:line="276" w:lineRule="auto"/>
        <w:ind w:firstLine="708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bookmarkStart w:id="0" w:name="_GoBack"/>
      <w:bookmarkEnd w:id="0"/>
      <w:r w:rsidRPr="00204105">
        <w:rPr>
          <w:rFonts w:asciiTheme="minorHAnsi" w:eastAsia="Calibri" w:hAnsiTheme="minorHAnsi" w:cs="Arial"/>
          <w:sz w:val="22"/>
          <w:szCs w:val="22"/>
          <w:lang w:eastAsia="en-US"/>
        </w:rPr>
        <w:t xml:space="preserve">El Consejero de Desarrollo Económico y Empresarial, </w:t>
      </w:r>
      <w:r w:rsidR="000126F4">
        <w:rPr>
          <w:rFonts w:asciiTheme="minorHAnsi" w:eastAsia="Calibri" w:hAnsiTheme="minorHAnsi" w:cs="Arial"/>
          <w:sz w:val="22"/>
          <w:szCs w:val="22"/>
          <w:lang w:eastAsia="en-US"/>
        </w:rPr>
        <w:t xml:space="preserve">D. Mikel Irujo Amezaga, </w:t>
      </w:r>
      <w:r w:rsidRPr="00204105">
        <w:rPr>
          <w:rFonts w:asciiTheme="minorHAnsi" w:eastAsia="Calibri" w:hAnsiTheme="minorHAnsi" w:cs="Arial"/>
          <w:sz w:val="22"/>
          <w:szCs w:val="22"/>
          <w:lang w:eastAsia="en-US"/>
        </w:rPr>
        <w:t>en</w:t>
      </w:r>
      <w:r w:rsidR="000126F4">
        <w:rPr>
          <w:rFonts w:asciiTheme="minorHAnsi" w:eastAsia="Calibri" w:hAnsiTheme="minorHAnsi" w:cs="Arial"/>
          <w:sz w:val="22"/>
          <w:szCs w:val="22"/>
          <w:lang w:eastAsia="en-US"/>
        </w:rPr>
        <w:t xml:space="preserve"> relación a la pregunta escrita, </w:t>
      </w:r>
      <w:r w:rsidR="001360A4">
        <w:rPr>
          <w:rFonts w:asciiTheme="minorHAnsi" w:eastAsia="Calibri" w:hAnsiTheme="minorHAnsi" w:cs="Arial"/>
          <w:sz w:val="22"/>
          <w:szCs w:val="22"/>
          <w:lang w:eastAsia="en-US"/>
        </w:rPr>
        <w:t>10-21</w:t>
      </w:r>
      <w:r w:rsidR="000126F4" w:rsidRPr="00204105">
        <w:rPr>
          <w:rFonts w:asciiTheme="minorHAnsi" w:eastAsia="Calibri" w:hAnsiTheme="minorHAnsi" w:cs="Arial"/>
          <w:sz w:val="22"/>
          <w:szCs w:val="22"/>
          <w:lang w:eastAsia="en-US"/>
        </w:rPr>
        <w:t>/</w:t>
      </w:r>
      <w:r w:rsidR="000126F4">
        <w:rPr>
          <w:rFonts w:asciiTheme="minorHAnsi" w:eastAsia="Calibri" w:hAnsiTheme="minorHAnsi" w:cs="Arial"/>
          <w:sz w:val="22"/>
          <w:szCs w:val="22"/>
          <w:lang w:eastAsia="en-US"/>
        </w:rPr>
        <w:t>PES-00</w:t>
      </w:r>
      <w:r w:rsidR="000A6FD6">
        <w:rPr>
          <w:rFonts w:asciiTheme="minorHAnsi" w:eastAsia="Calibri" w:hAnsiTheme="minorHAnsi" w:cs="Arial"/>
          <w:sz w:val="22"/>
          <w:szCs w:val="22"/>
          <w:lang w:eastAsia="en-US"/>
        </w:rPr>
        <w:t>106</w:t>
      </w:r>
      <w:r w:rsidR="000126F4">
        <w:rPr>
          <w:rFonts w:asciiTheme="minorHAnsi" w:eastAsia="Calibri" w:hAnsiTheme="minorHAnsi" w:cs="Arial"/>
          <w:sz w:val="22"/>
          <w:szCs w:val="22"/>
          <w:lang w:eastAsia="en-US"/>
        </w:rPr>
        <w:t>,</w:t>
      </w:r>
      <w:r w:rsidR="001360A4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Pr="00204105">
        <w:rPr>
          <w:rFonts w:asciiTheme="minorHAnsi" w:eastAsia="Calibri" w:hAnsiTheme="minorHAnsi" w:cs="Arial"/>
          <w:sz w:val="22"/>
          <w:szCs w:val="22"/>
          <w:lang w:eastAsia="en-US"/>
        </w:rPr>
        <w:t>presentada por</w:t>
      </w:r>
      <w:r w:rsidR="00287512" w:rsidRPr="00204105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0126F4">
        <w:rPr>
          <w:rFonts w:asciiTheme="minorHAnsi" w:eastAsia="Calibri" w:hAnsiTheme="minorHAnsi" w:cs="Arial"/>
          <w:sz w:val="22"/>
          <w:szCs w:val="22"/>
          <w:lang w:eastAsia="en-US"/>
        </w:rPr>
        <w:t>D</w:t>
      </w:r>
      <w:r w:rsidR="00A956D5">
        <w:rPr>
          <w:rFonts w:asciiTheme="minorHAnsi" w:eastAsia="Calibri" w:hAnsiTheme="minorHAnsi" w:cs="Arial"/>
          <w:sz w:val="22"/>
          <w:szCs w:val="22"/>
          <w:lang w:eastAsia="en-US"/>
        </w:rPr>
        <w:t>ª</w:t>
      </w:r>
      <w:r w:rsidR="000126F4">
        <w:rPr>
          <w:rFonts w:asciiTheme="minorHAnsi" w:eastAsia="Calibri" w:hAnsiTheme="minorHAnsi" w:cs="Arial"/>
          <w:sz w:val="22"/>
          <w:szCs w:val="22"/>
          <w:lang w:eastAsia="en-US"/>
        </w:rPr>
        <w:t xml:space="preserve">. </w:t>
      </w:r>
      <w:r w:rsidR="000A6FD6">
        <w:rPr>
          <w:rFonts w:asciiTheme="minorHAnsi" w:eastAsia="Calibri" w:hAnsiTheme="minorHAnsi" w:cs="Arial"/>
          <w:sz w:val="22"/>
          <w:szCs w:val="22"/>
          <w:lang w:eastAsia="en-US"/>
        </w:rPr>
        <w:t>Arantxa Izurdiaga Osinaga</w:t>
      </w:r>
      <w:r w:rsidRPr="00204105">
        <w:rPr>
          <w:rFonts w:asciiTheme="minorHAnsi" w:eastAsia="Calibri" w:hAnsiTheme="minorHAnsi" w:cs="Arial"/>
          <w:sz w:val="22"/>
          <w:szCs w:val="22"/>
          <w:lang w:eastAsia="en-US"/>
        </w:rPr>
        <w:t>, parlamentari</w:t>
      </w:r>
      <w:r w:rsidR="00A956D5">
        <w:rPr>
          <w:rFonts w:asciiTheme="minorHAnsi" w:eastAsia="Calibri" w:hAnsiTheme="minorHAnsi" w:cs="Arial"/>
          <w:sz w:val="22"/>
          <w:szCs w:val="22"/>
          <w:lang w:eastAsia="en-US"/>
        </w:rPr>
        <w:t>a</w:t>
      </w:r>
      <w:r w:rsidRPr="00204105">
        <w:rPr>
          <w:rFonts w:asciiTheme="minorHAnsi" w:eastAsia="Calibri" w:hAnsiTheme="minorHAnsi" w:cs="Arial"/>
          <w:sz w:val="22"/>
          <w:szCs w:val="22"/>
          <w:lang w:eastAsia="en-US"/>
        </w:rPr>
        <w:t xml:space="preserve"> foral adscrit</w:t>
      </w:r>
      <w:r w:rsidR="00A956D5">
        <w:rPr>
          <w:rFonts w:asciiTheme="minorHAnsi" w:eastAsia="Calibri" w:hAnsiTheme="minorHAnsi" w:cs="Arial"/>
          <w:sz w:val="22"/>
          <w:szCs w:val="22"/>
          <w:lang w:eastAsia="en-US"/>
        </w:rPr>
        <w:t>a</w:t>
      </w:r>
      <w:r w:rsidRPr="00204105">
        <w:rPr>
          <w:rFonts w:asciiTheme="minorHAnsi" w:eastAsia="Calibri" w:hAnsiTheme="minorHAnsi" w:cs="Arial"/>
          <w:sz w:val="22"/>
          <w:szCs w:val="22"/>
          <w:lang w:eastAsia="en-US"/>
        </w:rPr>
        <w:t xml:space="preserve"> al Grupo Parlamentario</w:t>
      </w:r>
      <w:r w:rsidR="00287512" w:rsidRPr="00204105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A956D5">
        <w:rPr>
          <w:rFonts w:asciiTheme="minorHAnsi" w:eastAsia="Calibri" w:hAnsiTheme="minorHAnsi" w:cs="Arial"/>
          <w:sz w:val="22"/>
          <w:szCs w:val="22"/>
          <w:lang w:eastAsia="en-US"/>
        </w:rPr>
        <w:t xml:space="preserve">EH </w:t>
      </w:r>
      <w:r w:rsidR="00D16613">
        <w:rPr>
          <w:rFonts w:asciiTheme="minorHAnsi" w:eastAsia="Calibri" w:hAnsiTheme="minorHAnsi" w:cs="Arial"/>
          <w:sz w:val="22"/>
          <w:szCs w:val="22"/>
          <w:lang w:eastAsia="en-US"/>
        </w:rPr>
        <w:t>Bildu Nafarroa</w:t>
      </w:r>
      <w:r w:rsidRPr="00204105">
        <w:rPr>
          <w:rFonts w:asciiTheme="minorHAnsi" w:eastAsia="Calibri" w:hAnsiTheme="minorHAnsi" w:cs="Arial"/>
          <w:sz w:val="22"/>
          <w:szCs w:val="22"/>
          <w:lang w:eastAsia="en-US"/>
        </w:rPr>
        <w:t xml:space="preserve">, </w:t>
      </w:r>
      <w:r w:rsidR="00434B31">
        <w:rPr>
          <w:rFonts w:asciiTheme="minorHAnsi" w:eastAsia="Calibri" w:hAnsiTheme="minorHAnsi" w:cs="Arial"/>
          <w:sz w:val="22"/>
          <w:szCs w:val="22"/>
          <w:lang w:eastAsia="en-US"/>
        </w:rPr>
        <w:t xml:space="preserve">en la que se pregunta por beneficios fiscales y </w:t>
      </w:r>
      <w:r w:rsidR="000A6FD6">
        <w:rPr>
          <w:rFonts w:asciiTheme="minorHAnsi" w:eastAsia="Calibri" w:hAnsiTheme="minorHAnsi" w:cs="Arial"/>
          <w:sz w:val="22"/>
          <w:szCs w:val="22"/>
          <w:lang w:eastAsia="en-US"/>
        </w:rPr>
        <w:t xml:space="preserve">ayudas o subvenciones </w:t>
      </w:r>
      <w:r w:rsidR="00434B31">
        <w:rPr>
          <w:rFonts w:asciiTheme="minorHAnsi" w:eastAsia="Calibri" w:hAnsiTheme="minorHAnsi" w:cs="Arial"/>
          <w:sz w:val="22"/>
          <w:szCs w:val="22"/>
          <w:lang w:eastAsia="en-US"/>
        </w:rPr>
        <w:t xml:space="preserve">públicas </w:t>
      </w:r>
      <w:r w:rsidR="000A6FD6">
        <w:rPr>
          <w:rFonts w:asciiTheme="minorHAnsi" w:eastAsia="Calibri" w:hAnsiTheme="minorHAnsi" w:cs="Arial"/>
          <w:sz w:val="22"/>
          <w:szCs w:val="22"/>
          <w:lang w:eastAsia="en-US"/>
        </w:rPr>
        <w:t xml:space="preserve">por distintos conceptos </w:t>
      </w:r>
      <w:r w:rsidR="00434B31">
        <w:rPr>
          <w:rFonts w:asciiTheme="minorHAnsi" w:eastAsia="Calibri" w:hAnsiTheme="minorHAnsi" w:cs="Arial"/>
          <w:sz w:val="22"/>
          <w:szCs w:val="22"/>
          <w:lang w:eastAsia="en-US"/>
        </w:rPr>
        <w:t>percibidos por</w:t>
      </w:r>
      <w:r w:rsidR="000A6FD6">
        <w:rPr>
          <w:rFonts w:asciiTheme="minorHAnsi" w:eastAsia="Calibri" w:hAnsiTheme="minorHAnsi" w:cs="Arial"/>
          <w:sz w:val="22"/>
          <w:szCs w:val="22"/>
          <w:lang w:eastAsia="en-US"/>
        </w:rPr>
        <w:t xml:space="preserve"> la empresa </w:t>
      </w:r>
      <w:r w:rsidR="00D16613">
        <w:rPr>
          <w:rFonts w:asciiTheme="minorHAnsi" w:eastAsia="Calibri" w:hAnsiTheme="minorHAnsi" w:cs="Arial"/>
          <w:sz w:val="22"/>
          <w:szCs w:val="22"/>
          <w:lang w:eastAsia="en-US"/>
        </w:rPr>
        <w:t xml:space="preserve">Benecke Kaliko </w:t>
      </w:r>
      <w:r w:rsidR="000A6FD6">
        <w:rPr>
          <w:rFonts w:asciiTheme="minorHAnsi" w:eastAsia="Calibri" w:hAnsiTheme="minorHAnsi" w:cs="Arial"/>
          <w:sz w:val="22"/>
          <w:szCs w:val="22"/>
          <w:lang w:eastAsia="en-US"/>
        </w:rPr>
        <w:t xml:space="preserve">SAU, en los últimos diez años, </w:t>
      </w:r>
      <w:r w:rsidR="00434B31">
        <w:rPr>
          <w:rFonts w:asciiTheme="minorHAnsi" w:eastAsia="Calibri" w:hAnsiTheme="minorHAnsi" w:cs="Arial"/>
          <w:sz w:val="22"/>
          <w:szCs w:val="22"/>
          <w:lang w:eastAsia="en-US"/>
        </w:rPr>
        <w:t>tiene el honor de informar que en lo que toca a expedientes de ayudas o subvenciones, se han identificado los</w:t>
      </w:r>
      <w:r w:rsidR="000A6FD6">
        <w:rPr>
          <w:rFonts w:asciiTheme="minorHAnsi" w:eastAsia="Calibri" w:hAnsiTheme="minorHAnsi" w:cs="Arial"/>
          <w:sz w:val="22"/>
          <w:szCs w:val="22"/>
          <w:lang w:eastAsia="en-US"/>
        </w:rPr>
        <w:t xml:space="preserve"> siguientes:</w:t>
      </w:r>
    </w:p>
    <w:tbl>
      <w:tblPr>
        <w:tblW w:w="92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1164"/>
        <w:gridCol w:w="3100"/>
        <w:gridCol w:w="1180"/>
        <w:gridCol w:w="2980"/>
      </w:tblGrid>
      <w:tr w:rsidR="000A6FD6" w:rsidRPr="006741A7" w:rsidTr="000A6FD6">
        <w:trPr>
          <w:trHeight w:val="25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6FD6" w:rsidRPr="006741A7" w:rsidRDefault="000A6FD6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A31003049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BENECKE-KALIKO SAU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6FD6" w:rsidRPr="006741A7" w:rsidRDefault="000A6FD6">
            <w:pPr>
              <w:rPr>
                <w:sz w:val="18"/>
                <w:szCs w:val="18"/>
              </w:rPr>
            </w:pPr>
          </w:p>
        </w:tc>
      </w:tr>
      <w:tr w:rsidR="000A6FD6" w:rsidRPr="006741A7" w:rsidTr="000A6FD6">
        <w:trPr>
          <w:trHeight w:val="255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CUANTÍA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TEXTO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Fecha pago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PARTIDA PRESUPUESTARIA</w:t>
            </w:r>
          </w:p>
        </w:tc>
      </w:tr>
      <w:tr w:rsidR="000A6FD6" w:rsidRPr="006741A7" w:rsidTr="000A6FD6">
        <w:trPr>
          <w:trHeight w:val="282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A6FD6" w:rsidRPr="006741A7" w:rsidTr="000A6FD6">
        <w:trPr>
          <w:trHeight w:val="255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2.910,96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GORVI SA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31/12/2010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G/870000/7709/494100</w:t>
            </w:r>
          </w:p>
        </w:tc>
      </w:tr>
      <w:tr w:rsidR="000A6FD6" w:rsidRPr="006741A7" w:rsidTr="000A6FD6">
        <w:trPr>
          <w:trHeight w:val="52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Inversiones en prevención de riesgos laborales</w:t>
            </w:r>
          </w:p>
        </w:tc>
      </w:tr>
      <w:tr w:rsidR="000A6FD6" w:rsidRPr="006741A7" w:rsidTr="000A6FD6">
        <w:trPr>
          <w:trHeight w:val="51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2.790,00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*EXPTE PEE10ICO1220 SUBV ENERGIA INDUST Y COGENERA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30/11/2011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G/810003/4701/425202</w:t>
            </w:r>
          </w:p>
        </w:tc>
      </w:tr>
      <w:tr w:rsidR="000A6FD6" w:rsidRPr="006741A7" w:rsidTr="000A6FD6">
        <w:trPr>
          <w:trHeight w:val="27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Auditorías, diagnósticos y cursos</w:t>
            </w:r>
          </w:p>
        </w:tc>
      </w:tr>
      <w:tr w:rsidR="000A6FD6" w:rsidRPr="006741A7" w:rsidTr="000A6FD6">
        <w:trPr>
          <w:trHeight w:val="255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3.586,92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GORVI SA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06/06/2012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G/760000/7709/494100</w:t>
            </w:r>
          </w:p>
        </w:tc>
      </w:tr>
      <w:tr w:rsidR="000A6FD6" w:rsidRPr="006741A7" w:rsidTr="000A6FD6">
        <w:trPr>
          <w:trHeight w:val="52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A6FD6" w:rsidRPr="006741A7" w:rsidRDefault="000A6F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A6FD6" w:rsidRPr="006741A7" w:rsidRDefault="000A6FD6">
            <w:pPr>
              <w:rPr>
                <w:rFonts w:ascii="Arial" w:hAnsi="Arial" w:cs="Arial"/>
                <w:sz w:val="18"/>
                <w:szCs w:val="18"/>
              </w:rPr>
            </w:pPr>
            <w:r w:rsidRPr="006741A7">
              <w:rPr>
                <w:rFonts w:ascii="Arial" w:hAnsi="Arial" w:cs="Arial"/>
                <w:sz w:val="18"/>
                <w:szCs w:val="18"/>
              </w:rPr>
              <w:t>Plan Empleo. Inversiones en prevención de riesgos laborales</w:t>
            </w:r>
          </w:p>
        </w:tc>
      </w:tr>
    </w:tbl>
    <w:p w:rsidR="000A6FD6" w:rsidRDefault="000A6FD6" w:rsidP="00A07C53">
      <w:pPr>
        <w:spacing w:after="200" w:line="276" w:lineRule="auto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D16613" w:rsidRDefault="002A03EC" w:rsidP="00A07C53">
      <w:pPr>
        <w:spacing w:after="200" w:line="276" w:lineRule="auto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204105">
        <w:rPr>
          <w:rFonts w:asciiTheme="minorHAnsi" w:eastAsia="Calibri" w:hAnsiTheme="minorHAnsi" w:cs="Arial"/>
          <w:sz w:val="22"/>
          <w:szCs w:val="22"/>
          <w:lang w:eastAsia="en-US"/>
        </w:rPr>
        <w:t>Es cuanto tengo el honor de informar en cumplimiento de lo dispuesto en al artículo 194 del Reglamento del Parlamento de Navarra.</w:t>
      </w:r>
    </w:p>
    <w:p w:rsidR="002A03EC" w:rsidRPr="00204105" w:rsidRDefault="002A03EC" w:rsidP="002A03EC">
      <w:pPr>
        <w:spacing w:after="200" w:line="276" w:lineRule="auto"/>
        <w:jc w:val="center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204105">
        <w:rPr>
          <w:rFonts w:asciiTheme="minorHAnsi" w:eastAsia="Calibri" w:hAnsiTheme="minorHAnsi" w:cs="Arial"/>
          <w:sz w:val="22"/>
          <w:szCs w:val="22"/>
          <w:lang w:eastAsia="en-US"/>
        </w:rPr>
        <w:t xml:space="preserve">Pamplona, </w:t>
      </w:r>
      <w:r w:rsidR="00A07C53">
        <w:rPr>
          <w:rFonts w:asciiTheme="minorHAnsi" w:eastAsia="Calibri" w:hAnsiTheme="minorHAnsi" w:cs="Arial"/>
          <w:sz w:val="22"/>
          <w:szCs w:val="22"/>
          <w:lang w:eastAsia="en-US"/>
        </w:rPr>
        <w:t>2</w:t>
      </w:r>
      <w:r w:rsidR="000D5A36">
        <w:rPr>
          <w:rFonts w:asciiTheme="minorHAnsi" w:eastAsia="Calibri" w:hAnsiTheme="minorHAnsi" w:cs="Arial"/>
          <w:sz w:val="22"/>
          <w:szCs w:val="22"/>
          <w:lang w:eastAsia="en-US"/>
        </w:rPr>
        <w:t>9</w:t>
      </w:r>
      <w:r w:rsidR="00A07C53">
        <w:rPr>
          <w:rFonts w:asciiTheme="minorHAnsi" w:eastAsia="Calibri" w:hAnsiTheme="minorHAnsi" w:cs="Arial"/>
          <w:sz w:val="22"/>
          <w:szCs w:val="22"/>
          <w:lang w:eastAsia="en-US"/>
        </w:rPr>
        <w:t xml:space="preserve"> de </w:t>
      </w:r>
      <w:r w:rsidR="000D5A36">
        <w:rPr>
          <w:rFonts w:asciiTheme="minorHAnsi" w:eastAsia="Calibri" w:hAnsiTheme="minorHAnsi" w:cs="Arial"/>
          <w:sz w:val="22"/>
          <w:szCs w:val="22"/>
          <w:lang w:eastAsia="en-US"/>
        </w:rPr>
        <w:t>marzo</w:t>
      </w:r>
      <w:r w:rsidR="00A07C53">
        <w:rPr>
          <w:rFonts w:asciiTheme="minorHAnsi" w:eastAsia="Calibri" w:hAnsiTheme="minorHAnsi" w:cs="Arial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 xml:space="preserve"> 2021</w:t>
      </w:r>
    </w:p>
    <w:p w:rsidR="00A07C53" w:rsidRPr="00204105" w:rsidRDefault="002A03EC" w:rsidP="002A03EC">
      <w:pPr>
        <w:spacing w:after="200" w:line="276" w:lineRule="auto"/>
        <w:jc w:val="center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204105">
        <w:rPr>
          <w:rFonts w:asciiTheme="minorHAnsi" w:eastAsia="Calibri" w:hAnsiTheme="minorHAnsi" w:cs="Arial"/>
          <w:sz w:val="22"/>
          <w:szCs w:val="22"/>
          <w:lang w:eastAsia="en-US"/>
        </w:rPr>
        <w:t>El Consejero de Desarrollo Económico y Empresarial</w:t>
      </w:r>
      <w:r w:rsidR="00D16613">
        <w:rPr>
          <w:rFonts w:asciiTheme="minorHAnsi" w:eastAsia="Calibri" w:hAnsiTheme="minorHAnsi" w:cs="Arial"/>
          <w:sz w:val="22"/>
          <w:szCs w:val="22"/>
          <w:lang w:eastAsia="en-US"/>
        </w:rPr>
        <w:t xml:space="preserve">: </w:t>
      </w:r>
      <w:r w:rsidR="00A07C53">
        <w:rPr>
          <w:rFonts w:asciiTheme="minorHAnsi" w:eastAsia="Calibri" w:hAnsiTheme="minorHAnsi" w:cs="Arial"/>
          <w:sz w:val="22"/>
          <w:szCs w:val="22"/>
          <w:lang w:eastAsia="en-US"/>
        </w:rPr>
        <w:t>Mikel Irujo Amezaga</w:t>
      </w:r>
    </w:p>
    <w:p w:rsidR="008F42F9" w:rsidRDefault="008F42F9" w:rsidP="008F42F9">
      <w:pPr>
        <w:rPr>
          <w:rFonts w:asciiTheme="minorHAnsi" w:hAnsiTheme="minorHAnsi"/>
        </w:rPr>
      </w:pPr>
    </w:p>
    <w:p w:rsidR="00CB16DC" w:rsidRDefault="00CB16DC" w:rsidP="00414E92">
      <w:pPr>
        <w:autoSpaceDE w:val="0"/>
        <w:autoSpaceDN w:val="0"/>
        <w:adjustRightInd w:val="0"/>
        <w:spacing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t>La Consejera de Economía y Hacienda, en relación con la Pregunta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escrita planteada por Doña Arantxa Izurdiaga Osinaga, Parlamentaria Foral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adscrita al EH </w:t>
      </w:r>
      <w:r w:rsidR="00414E92">
        <w:rPr>
          <w:rFonts w:ascii="ArialMT" w:hAnsi="ArialMT" w:cs="ArialMT"/>
        </w:rPr>
        <w:t>Bildu Nafarroa</w:t>
      </w:r>
      <w:r>
        <w:rPr>
          <w:rFonts w:ascii="ArialMT" w:hAnsi="ArialMT" w:cs="ArialMT"/>
        </w:rPr>
        <w:t>, registrada con número de entrada 106, de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24 de febrero de 2021, (2021 PES-00106), relativa a la información sobre las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ayudas o subvenciones por inversiones estructurales o tecnológicas,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implantación de sistemas por energías renovables, creación de empleo,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formación, sistema de formación, sistemas de prevención, apoyo a I+D+I,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elaboración o desarrollo del Plan de Igualdad, o por cualquier otro concepto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percibidas y beneficios fiscales (deducciones por I+D+I, deducción por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inversiones, u otras deducciones) aplicados en los últimos diez años por la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empresa </w:t>
      </w:r>
      <w:r w:rsidR="00414E92">
        <w:rPr>
          <w:rFonts w:ascii="ArialMT" w:hAnsi="ArialMT" w:cs="ArialMT"/>
        </w:rPr>
        <w:t>Benecke Kaliko</w:t>
      </w:r>
      <w:r>
        <w:rPr>
          <w:rFonts w:ascii="ArialMT" w:hAnsi="ArialMT" w:cs="ArialMT"/>
        </w:rPr>
        <w:t>, tiene el honor de informarle lo siguiente:</w:t>
      </w:r>
    </w:p>
    <w:p w:rsidR="00CB16DC" w:rsidRDefault="00CB16DC" w:rsidP="00414E92">
      <w:pPr>
        <w:autoSpaceDE w:val="0"/>
        <w:autoSpaceDN w:val="0"/>
        <w:adjustRightInd w:val="0"/>
        <w:spacing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t>En primer lugar, ha de tenerse en cuenta el contenido de la petición: se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refiere a subvenciones y beneficios fiscales aplicados por la empresa</w:t>
      </w:r>
      <w:r w:rsidR="00414E92">
        <w:rPr>
          <w:rFonts w:ascii="ArialMT" w:hAnsi="ArialMT" w:cs="ArialMT"/>
        </w:rPr>
        <w:t xml:space="preserve"> Benecke Kaliko</w:t>
      </w:r>
      <w:r>
        <w:rPr>
          <w:rFonts w:ascii="ArialMT" w:hAnsi="ArialMT" w:cs="ArialMT"/>
        </w:rPr>
        <w:t>. Con arreglo a ello, se considera que la parlamentaria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solicitante pretende distinguir </w:t>
      </w:r>
      <w:r>
        <w:rPr>
          <w:rFonts w:ascii="ArialMT" w:hAnsi="ArialMT" w:cs="ArialMT"/>
        </w:rPr>
        <w:lastRenderedPageBreak/>
        <w:t>precisamente entre los conceptos de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subvenciones y de beneficios fiscales, en razón de su diferente calificación y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alcance.</w:t>
      </w:r>
    </w:p>
    <w:p w:rsidR="00CB16DC" w:rsidRDefault="00CB16DC" w:rsidP="00414E92">
      <w:pPr>
        <w:autoSpaceDE w:val="0"/>
        <w:autoSpaceDN w:val="0"/>
        <w:adjustRightInd w:val="0"/>
        <w:spacing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t>Así, la Ley Foral 11/2005, de 9 de noviembre, de subvenciones,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establece en su artículo 2.1 que se entiende por subvención toda disposición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dineraria realizada a favor de personas públicas o privadas, y que cumpla los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siguientes requisitos:</w:t>
      </w:r>
    </w:p>
    <w:p w:rsidR="00CB16DC" w:rsidRDefault="00CB16DC" w:rsidP="00414E92">
      <w:pPr>
        <w:autoSpaceDE w:val="0"/>
        <w:autoSpaceDN w:val="0"/>
        <w:adjustRightInd w:val="0"/>
        <w:spacing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t>a) Que la entrega se realice sin contraprestación directa de los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beneficiarios ni de terceras personas.</w:t>
      </w:r>
    </w:p>
    <w:p w:rsidR="00CB16DC" w:rsidRPr="00CB16DC" w:rsidRDefault="00CB16DC" w:rsidP="00414E92">
      <w:pPr>
        <w:autoSpaceDE w:val="0"/>
        <w:autoSpaceDN w:val="0"/>
        <w:adjustRightInd w:val="0"/>
        <w:spacing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t>b) Que la entrega esté sujeta al cumplimiento de un determinado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objetivo, la ejecución de un proyecto, la realización de una actividad, la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adopción de un comportamiento singular, ya realizados o por desarrollar, o la </w:t>
      </w:r>
      <w:r w:rsidR="00414E92">
        <w:rPr>
          <w:rFonts w:ascii="ArialMT" w:hAnsi="ArialMT" w:cs="ArialMT"/>
        </w:rPr>
        <w:t xml:space="preserve">concurrencia de una </w:t>
      </w:r>
      <w:r w:rsidRPr="00CB16DC">
        <w:rPr>
          <w:rFonts w:ascii="ArialMT" w:hAnsi="ArialMT" w:cs="ArialMT"/>
        </w:rPr>
        <w:t>situación, debiendo el beneficiario cumplir las obligaciones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materiales y formales que se hubieran establecido.</w:t>
      </w:r>
    </w:p>
    <w:p w:rsidR="00CB16DC" w:rsidRPr="00CB16DC" w:rsidRDefault="00CB16DC" w:rsidP="00414E92">
      <w:pPr>
        <w:spacing w:line="276" w:lineRule="auto"/>
        <w:rPr>
          <w:rFonts w:ascii="ArialMT" w:hAnsi="ArialMT" w:cs="ArialMT"/>
        </w:rPr>
      </w:pPr>
      <w:r w:rsidRPr="00CB16DC">
        <w:rPr>
          <w:rFonts w:ascii="ArialMT" w:hAnsi="ArialMT" w:cs="ArialMT"/>
        </w:rPr>
        <w:t>c) Que el proyecto, la acción, conducta o situación financiada tenga por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objeto el fomento de una actividad de utilidad pública o interés social o de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promoción de una finalidad pública.</w:t>
      </w:r>
    </w:p>
    <w:p w:rsidR="00CB16DC" w:rsidRPr="00CB16DC" w:rsidRDefault="00CB16DC" w:rsidP="00414E92">
      <w:pPr>
        <w:spacing w:line="276" w:lineRule="auto"/>
        <w:rPr>
          <w:rFonts w:ascii="ArialMT" w:hAnsi="ArialMT" w:cs="ArialMT"/>
        </w:rPr>
      </w:pPr>
      <w:r w:rsidRPr="00CB16DC">
        <w:rPr>
          <w:rFonts w:ascii="ArialMT" w:hAnsi="ArialMT" w:cs="ArialMT"/>
        </w:rPr>
        <w:t>Además, la misma norma legal precisa en su artículo 2.3.b) que no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tendrán carácter de subvenciones los beneficios fiscales.</w:t>
      </w:r>
    </w:p>
    <w:p w:rsidR="00CB16DC" w:rsidRPr="00CB16DC" w:rsidRDefault="00CB16DC" w:rsidP="00414E92">
      <w:pPr>
        <w:spacing w:line="276" w:lineRule="auto"/>
        <w:rPr>
          <w:rFonts w:ascii="ArialMT" w:hAnsi="ArialMT" w:cs="ArialMT"/>
        </w:rPr>
      </w:pPr>
      <w:r w:rsidRPr="00CB16DC">
        <w:rPr>
          <w:rFonts w:ascii="ArialMT" w:hAnsi="ArialMT" w:cs="ArialMT"/>
        </w:rPr>
        <w:t>Por ello, se advierte que la contestación se refiere solamente a la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información solicitada sobre los beneficios fiscales aplicados por la entidad</w:t>
      </w:r>
      <w:r w:rsidR="00414E92">
        <w:rPr>
          <w:rFonts w:ascii="ArialMT" w:hAnsi="ArialMT" w:cs="ArialMT"/>
        </w:rPr>
        <w:t xml:space="preserve"> </w:t>
      </w:r>
      <w:r w:rsidR="00414E92" w:rsidRPr="00CB16DC">
        <w:rPr>
          <w:rFonts w:ascii="ArialMT" w:hAnsi="ArialMT" w:cs="ArialMT"/>
        </w:rPr>
        <w:t xml:space="preserve">Benecke Kaliko </w:t>
      </w:r>
      <w:r w:rsidRPr="00CB16DC">
        <w:rPr>
          <w:rFonts w:ascii="ArialMT" w:hAnsi="ArialMT" w:cs="ArialMT"/>
        </w:rPr>
        <w:t>y no a las subvenciones que haya podido percibir. En ese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sentido, el concepto de beneficios fiscales ha de ser interpretado en sentido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amplio, esto es, incluyendo las deducciones o exenciones fiscales que pudieran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haber disfrutado el mencionado contribuyente. La contestación no afecta ni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alude, sin embargo, a la solicitud de información sobre las posibles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subvenciones que, en su caso, haya podido percibir dicha entidad de otros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Departamentos del Gobierno de Navarra.</w:t>
      </w:r>
    </w:p>
    <w:p w:rsidR="00CB16DC" w:rsidRPr="00CB16DC" w:rsidRDefault="00CB16DC" w:rsidP="00414E92">
      <w:pPr>
        <w:spacing w:line="276" w:lineRule="auto"/>
        <w:rPr>
          <w:rFonts w:ascii="ArialMT" w:hAnsi="ArialMT" w:cs="ArialMT"/>
        </w:rPr>
      </w:pPr>
      <w:r w:rsidRPr="00CB16DC">
        <w:rPr>
          <w:rFonts w:ascii="ArialMT" w:hAnsi="ArialMT" w:cs="ArialMT"/>
        </w:rPr>
        <w:t>Como ya se ha contestado en similares solicitudes de información, la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cesión de datos por parte de la Administración tributaria de la Comunidad Foral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de Navarra está regulada en el artículo 105.1 de la Ley Foral 13/2000, de 14 de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diciembre, General Tributaria (en adelante, LFGT), que se inicia con el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siguiente contenido: “los datos, informes o antecedentes obtenidos por la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Administración Tributaria en el desempeño de sus funciones tienen carácter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reservado y sólo podrán ser utilizados para la efectiva aplicación de los tributos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o recursos cuya gestión tenga encomendada, sin que puedan ser cedidos o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comunicados a terceros”.</w:t>
      </w:r>
    </w:p>
    <w:p w:rsidR="007C1F4C" w:rsidRDefault="00CB16DC" w:rsidP="00414E92">
      <w:pPr>
        <w:spacing w:line="276" w:lineRule="auto"/>
        <w:rPr>
          <w:rFonts w:ascii="ArialMT" w:hAnsi="ArialMT" w:cs="ArialMT"/>
        </w:rPr>
      </w:pPr>
      <w:r w:rsidRPr="00CB16DC">
        <w:rPr>
          <w:rFonts w:ascii="ArialMT" w:hAnsi="ArialMT" w:cs="ArialMT"/>
        </w:rPr>
        <w:t>Por tanto, la norma legal dispone con nitidez que los datos obtenidos por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la Administración Tributaria en el desempeño de sus funciones tienen carácter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reservado y solamente podrán ser destinados o empleados para finalidades de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trascendencia tributaria, esto es, únicamente podrán ser utilizados para la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aplicación de los tributos. La razón de este carácter reservado radica en la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necesidad de preservar la privacidad de los datos que los contribuyentes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 xml:space="preserve">remiten y suministran a la </w:t>
      </w:r>
      <w:r w:rsidRPr="00CB16DC">
        <w:rPr>
          <w:rFonts w:ascii="ArialMT" w:hAnsi="ArialMT" w:cs="ArialMT"/>
        </w:rPr>
        <w:lastRenderedPageBreak/>
        <w:t>Administración tributaria para que esta cumpla con</w:t>
      </w:r>
      <w:r w:rsidR="00414E92">
        <w:rPr>
          <w:rFonts w:ascii="ArialMT" w:hAnsi="ArialMT" w:cs="ArialMT"/>
        </w:rPr>
        <w:t xml:space="preserve"> </w:t>
      </w:r>
      <w:r w:rsidRPr="00CB16DC">
        <w:rPr>
          <w:rFonts w:ascii="ArialMT" w:hAnsi="ArialMT" w:cs="ArialMT"/>
        </w:rPr>
        <w:t>eficacia su función de aplicar la normativa tributaria. Sin embargo, es fácil</w:t>
      </w:r>
      <w:r>
        <w:rPr>
          <w:rFonts w:ascii="ArialMT" w:hAnsi="ArialMT" w:cs="ArialMT"/>
        </w:rPr>
        <w:t xml:space="preserve"> </w:t>
      </w:r>
      <w:r w:rsidR="007C1F4C">
        <w:rPr>
          <w:rFonts w:ascii="ArialMT" w:hAnsi="ArialMT" w:cs="ArialMT"/>
        </w:rPr>
        <w:t>comprender que esa reserva no puede ser absoluta, ya que en ocasiones</w:t>
      </w:r>
      <w:r w:rsidR="00414E92">
        <w:rPr>
          <w:rFonts w:ascii="ArialMT" w:hAnsi="ArialMT" w:cs="ArialMT"/>
        </w:rPr>
        <w:t xml:space="preserve"> </w:t>
      </w:r>
      <w:r w:rsidR="007C1F4C">
        <w:rPr>
          <w:rFonts w:ascii="ArialMT" w:hAnsi="ArialMT" w:cs="ArialMT"/>
        </w:rPr>
        <w:t>puede existir una tensión entre la privacidad de los datos y la transparencia que</w:t>
      </w:r>
      <w:r w:rsidR="00414E92">
        <w:rPr>
          <w:rFonts w:ascii="ArialMT" w:hAnsi="ArialMT" w:cs="ArialMT"/>
        </w:rPr>
        <w:t xml:space="preserve"> </w:t>
      </w:r>
      <w:r w:rsidR="007C1F4C">
        <w:rPr>
          <w:rFonts w:ascii="ArialMT" w:hAnsi="ArialMT" w:cs="ArialMT"/>
        </w:rPr>
        <w:t>debe imperar en</w:t>
      </w:r>
      <w:r w:rsidR="00414E92">
        <w:rPr>
          <w:rFonts w:ascii="ArialMT" w:hAnsi="ArialMT" w:cs="ArialMT"/>
        </w:rPr>
        <w:t xml:space="preserve"> </w:t>
      </w:r>
      <w:r w:rsidR="007C1F4C">
        <w:rPr>
          <w:rFonts w:ascii="ArialMT" w:hAnsi="ArialMT" w:cs="ArialMT"/>
        </w:rPr>
        <w:t>la gestión pública de los recursos. En función de ello, es necesario buscar un</w:t>
      </w:r>
      <w:r w:rsidR="00414E92">
        <w:rPr>
          <w:rFonts w:ascii="ArialMT" w:hAnsi="ArialMT" w:cs="ArialMT"/>
        </w:rPr>
        <w:t xml:space="preserve"> </w:t>
      </w:r>
      <w:r w:rsidR="007C1F4C">
        <w:rPr>
          <w:rFonts w:ascii="ArialMT" w:hAnsi="ArialMT" w:cs="ArialMT"/>
        </w:rPr>
        <w:t>equilibrio entre ambas (privacidad y transparencia) sin que se produzca un</w:t>
      </w:r>
      <w:r w:rsidR="00414E92">
        <w:rPr>
          <w:rFonts w:ascii="ArialMT" w:hAnsi="ArialMT" w:cs="ArialMT"/>
        </w:rPr>
        <w:t xml:space="preserve"> </w:t>
      </w:r>
      <w:r w:rsidR="007C1F4C">
        <w:rPr>
          <w:rFonts w:ascii="ArialMT" w:hAnsi="ArialMT" w:cs="ArialMT"/>
        </w:rPr>
        <w:t>menoscabo de los derechos individuales ni tampoco de los colectivos o de la</w:t>
      </w:r>
      <w:r w:rsidR="00414E92">
        <w:rPr>
          <w:rFonts w:ascii="ArialMT" w:hAnsi="ArialMT" w:cs="ArialMT"/>
        </w:rPr>
        <w:t xml:space="preserve"> </w:t>
      </w:r>
      <w:r w:rsidR="007C1F4C">
        <w:rPr>
          <w:rFonts w:ascii="ArialMT" w:hAnsi="ArialMT" w:cs="ArialMT"/>
        </w:rPr>
        <w:t>sociedad.</w:t>
      </w:r>
    </w:p>
    <w:p w:rsidR="007C1F4C" w:rsidRDefault="007C1F4C" w:rsidP="00414E92">
      <w:pPr>
        <w:autoSpaceDE w:val="0"/>
        <w:autoSpaceDN w:val="0"/>
        <w:adjustRightInd w:val="0"/>
        <w:spacing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t>A la consecución de ese equilibrio se encamina el propio artículo 105.1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de la referida LFGT, el cual, no obstante la claridad y contundencia inicial de la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norma, permite una serie de excepciones o habilitaciones legales en las que se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autoriza esa cesión o comunicación.</w:t>
      </w:r>
    </w:p>
    <w:p w:rsidR="007C1F4C" w:rsidRDefault="007C1F4C" w:rsidP="00414E92">
      <w:pPr>
        <w:autoSpaceDE w:val="0"/>
        <w:autoSpaceDN w:val="0"/>
        <w:adjustRightInd w:val="0"/>
        <w:spacing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t>Entre las excepciones o habilitaciones del mencionado artículo 105.1 no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se encuentra supuesto alguno en el que encaje la petición de información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solicitada, por lo que no se puede proporcionar información sobre los beneficios</w:t>
      </w:r>
      <w:r w:rsidR="00414E9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fiscales aplicados en los últimos diez años por </w:t>
      </w:r>
      <w:r w:rsidR="00414E92">
        <w:rPr>
          <w:rFonts w:ascii="ArialMT" w:hAnsi="ArialMT" w:cs="ArialMT"/>
        </w:rPr>
        <w:t>Benecke Kaliko</w:t>
      </w:r>
      <w:r>
        <w:rPr>
          <w:rFonts w:ascii="ArialMT" w:hAnsi="ArialMT" w:cs="ArialMT"/>
        </w:rPr>
        <w:t>.</w:t>
      </w:r>
    </w:p>
    <w:p w:rsidR="007C1F4C" w:rsidRDefault="007C1F4C" w:rsidP="00414E92">
      <w:pPr>
        <w:autoSpaceDE w:val="0"/>
        <w:autoSpaceDN w:val="0"/>
        <w:adjustRightInd w:val="0"/>
        <w:spacing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t>Pamplona, 29 de marzo de 2021.</w:t>
      </w:r>
    </w:p>
    <w:p w:rsidR="00CB16DC" w:rsidRDefault="007C1F4C" w:rsidP="00414E92">
      <w:pPr>
        <w:autoSpaceDE w:val="0"/>
        <w:autoSpaceDN w:val="0"/>
        <w:adjustRightInd w:val="0"/>
        <w:spacing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t>La Consejera de Economía y Hacienda</w:t>
      </w:r>
      <w:r w:rsidR="00414E92">
        <w:rPr>
          <w:rFonts w:ascii="ArialMT" w:hAnsi="ArialMT" w:cs="ArialMT"/>
        </w:rPr>
        <w:t xml:space="preserve">: </w:t>
      </w:r>
      <w:r>
        <w:rPr>
          <w:rFonts w:ascii="ArialMT" w:hAnsi="ArialMT" w:cs="ArialMT"/>
        </w:rPr>
        <w:t>Elma Saiz Delgado</w:t>
      </w:r>
    </w:p>
    <w:p w:rsidR="007C1F4C" w:rsidRDefault="007C1F4C" w:rsidP="00414E92">
      <w:pPr>
        <w:spacing w:line="276" w:lineRule="auto"/>
        <w:rPr>
          <w:rFonts w:ascii="ArialMT" w:hAnsi="ArialMT" w:cs="ArialMT"/>
        </w:rPr>
      </w:pPr>
    </w:p>
    <w:p w:rsidR="007C1F4C" w:rsidRPr="007C1F4C" w:rsidRDefault="007C1F4C" w:rsidP="00414E92">
      <w:pPr>
        <w:spacing w:line="276" w:lineRule="auto"/>
        <w:rPr>
          <w:rFonts w:asciiTheme="minorHAnsi" w:hAnsiTheme="minorHAnsi"/>
        </w:rPr>
      </w:pPr>
      <w:r w:rsidRPr="007C1F4C">
        <w:rPr>
          <w:rFonts w:asciiTheme="minorHAnsi" w:hAnsiTheme="minorHAnsi"/>
        </w:rPr>
        <w:t>En relación con la Pregunta Escrita (PES-00106) realizada por al Ilma. Sra.</w:t>
      </w:r>
      <w:r w:rsidR="00077F21">
        <w:rPr>
          <w:rFonts w:asciiTheme="minorHAnsi" w:hAnsiTheme="minorHAnsi"/>
        </w:rPr>
        <w:t xml:space="preserve"> </w:t>
      </w:r>
      <w:r w:rsidRPr="007C1F4C">
        <w:rPr>
          <w:rFonts w:asciiTheme="minorHAnsi" w:hAnsiTheme="minorHAnsi"/>
        </w:rPr>
        <w:t>D</w:t>
      </w:r>
      <w:r w:rsidR="00077F21">
        <w:rPr>
          <w:rFonts w:asciiTheme="minorHAnsi" w:hAnsiTheme="minorHAnsi"/>
        </w:rPr>
        <w:t>.ª</w:t>
      </w:r>
      <w:r w:rsidRPr="007C1F4C">
        <w:rPr>
          <w:rFonts w:asciiTheme="minorHAnsi" w:hAnsiTheme="minorHAnsi"/>
        </w:rPr>
        <w:t xml:space="preserve"> Arantxa Izurdiaga Osinaga, Parlamentaria Foral adscrita al Grupo</w:t>
      </w:r>
      <w:r w:rsidR="00077F21">
        <w:rPr>
          <w:rFonts w:asciiTheme="minorHAnsi" w:hAnsiTheme="minorHAnsi"/>
        </w:rPr>
        <w:t xml:space="preserve"> </w:t>
      </w:r>
      <w:r w:rsidRPr="007C1F4C">
        <w:rPr>
          <w:rFonts w:asciiTheme="minorHAnsi" w:hAnsiTheme="minorHAnsi"/>
        </w:rPr>
        <w:t xml:space="preserve">Parlamentario de EH </w:t>
      </w:r>
      <w:r w:rsidR="00077F21" w:rsidRPr="007C1F4C">
        <w:rPr>
          <w:rFonts w:asciiTheme="minorHAnsi" w:hAnsiTheme="minorHAnsi"/>
        </w:rPr>
        <w:t>Bildu Nafarroa</w:t>
      </w:r>
      <w:r w:rsidRPr="007C1F4C">
        <w:rPr>
          <w:rFonts w:asciiTheme="minorHAnsi" w:hAnsiTheme="minorHAnsi"/>
        </w:rPr>
        <w:t xml:space="preserve">, </w:t>
      </w:r>
      <w:r w:rsidR="00077F21">
        <w:rPr>
          <w:rFonts w:asciiTheme="minorHAnsi" w:hAnsiTheme="minorHAnsi"/>
        </w:rPr>
        <w:t>se remite</w:t>
      </w:r>
      <w:r w:rsidRPr="007C1F4C">
        <w:rPr>
          <w:rFonts w:asciiTheme="minorHAnsi" w:hAnsiTheme="minorHAnsi"/>
        </w:rPr>
        <w:t xml:space="preserve"> la siguiente información:</w:t>
      </w:r>
    </w:p>
    <w:p w:rsidR="007C1F4C" w:rsidRDefault="007C1F4C" w:rsidP="00414E92">
      <w:pPr>
        <w:spacing w:line="276" w:lineRule="auto"/>
        <w:rPr>
          <w:rFonts w:asciiTheme="minorHAnsi" w:hAnsiTheme="minorHAnsi"/>
        </w:rPr>
      </w:pPr>
      <w:r w:rsidRPr="007C1F4C">
        <w:rPr>
          <w:rFonts w:asciiTheme="minorHAnsi" w:hAnsiTheme="minorHAnsi"/>
        </w:rPr>
        <w:t>Por resolución 31E/2020, de 27 de marzo, de la Directora Gerente del</w:t>
      </w:r>
      <w:r w:rsidR="00077F21">
        <w:rPr>
          <w:rFonts w:asciiTheme="minorHAnsi" w:hAnsiTheme="minorHAnsi"/>
        </w:rPr>
        <w:t xml:space="preserve"> </w:t>
      </w:r>
      <w:r w:rsidRPr="007C1F4C">
        <w:rPr>
          <w:rFonts w:asciiTheme="minorHAnsi" w:hAnsiTheme="minorHAnsi"/>
        </w:rPr>
        <w:t>Instituto Navarro para la Igualdad/Nafarroako Berdintasunerako Institutua</w:t>
      </w:r>
      <w:r w:rsidR="00077F21">
        <w:rPr>
          <w:rFonts w:asciiTheme="minorHAnsi" w:hAnsiTheme="minorHAnsi"/>
        </w:rPr>
        <w:t xml:space="preserve"> </w:t>
      </w:r>
      <w:r w:rsidRPr="007C1F4C">
        <w:rPr>
          <w:rFonts w:asciiTheme="minorHAnsi" w:hAnsiTheme="minorHAnsi"/>
        </w:rPr>
        <w:t>(en adelante INAI/NABI), se procedió a aprobar la convocatoria de</w:t>
      </w:r>
      <w:r w:rsidR="00077F21">
        <w:rPr>
          <w:rFonts w:asciiTheme="minorHAnsi" w:hAnsiTheme="minorHAnsi"/>
        </w:rPr>
        <w:t xml:space="preserve"> </w:t>
      </w:r>
      <w:r w:rsidRPr="007C1F4C">
        <w:rPr>
          <w:rFonts w:asciiTheme="minorHAnsi" w:hAnsiTheme="minorHAnsi"/>
        </w:rPr>
        <w:t>subvenciones a conceder en el año 2020, a empresas y entidades sin ánimo</w:t>
      </w:r>
      <w:r w:rsidR="00077F21">
        <w:rPr>
          <w:rFonts w:asciiTheme="minorHAnsi" w:hAnsiTheme="minorHAnsi"/>
        </w:rPr>
        <w:t xml:space="preserve"> </w:t>
      </w:r>
      <w:r w:rsidRPr="007C1F4C">
        <w:rPr>
          <w:rFonts w:asciiTheme="minorHAnsi" w:hAnsiTheme="minorHAnsi"/>
        </w:rPr>
        <w:t>de lucro, para la implantación de sus Planes de Igualdad entre mujeres y</w:t>
      </w:r>
      <w:r w:rsidR="00077F21">
        <w:rPr>
          <w:rFonts w:asciiTheme="minorHAnsi" w:hAnsiTheme="minorHAnsi"/>
        </w:rPr>
        <w:t xml:space="preserve"> </w:t>
      </w:r>
      <w:r w:rsidRPr="007C1F4C">
        <w:rPr>
          <w:rFonts w:asciiTheme="minorHAnsi" w:hAnsiTheme="minorHAnsi"/>
        </w:rPr>
        <w:t>hombres. Posteriormente, por resolución 90E/2020, de 3 de agosto, de la</w:t>
      </w:r>
      <w:r w:rsidR="00077F21">
        <w:rPr>
          <w:rFonts w:asciiTheme="minorHAnsi" w:hAnsiTheme="minorHAnsi"/>
        </w:rPr>
        <w:t xml:space="preserve"> </w:t>
      </w:r>
      <w:r w:rsidRPr="007C1F4C">
        <w:rPr>
          <w:rFonts w:asciiTheme="minorHAnsi" w:hAnsiTheme="minorHAnsi"/>
        </w:rPr>
        <w:t>Directora Gerente del INAI/NABI resolvió la convocatoria de la subvención</w:t>
      </w:r>
      <w:r w:rsidR="00077F21">
        <w:rPr>
          <w:rFonts w:asciiTheme="minorHAnsi" w:hAnsiTheme="minorHAnsi"/>
        </w:rPr>
        <w:t xml:space="preserve"> </w:t>
      </w:r>
      <w:r w:rsidRPr="007C1F4C">
        <w:rPr>
          <w:rFonts w:asciiTheme="minorHAnsi" w:hAnsiTheme="minorHAnsi"/>
        </w:rPr>
        <w:t>antes citada concediendo la cantidad de 2.400 €. Así, mediante resolución</w:t>
      </w:r>
      <w:r w:rsidR="00077F21">
        <w:rPr>
          <w:rFonts w:asciiTheme="minorHAnsi" w:hAnsiTheme="minorHAnsi"/>
        </w:rPr>
        <w:t xml:space="preserve"> </w:t>
      </w:r>
      <w:r w:rsidRPr="007C1F4C">
        <w:rPr>
          <w:rFonts w:asciiTheme="minorHAnsi" w:hAnsiTheme="minorHAnsi"/>
        </w:rPr>
        <w:t>117E/2020, de 16 de diciembre, de la Directora Gerente del INAI / NABI, se</w:t>
      </w:r>
      <w:r w:rsidR="00077F21">
        <w:rPr>
          <w:rFonts w:asciiTheme="minorHAnsi" w:hAnsiTheme="minorHAnsi"/>
        </w:rPr>
        <w:t xml:space="preserve"> </w:t>
      </w:r>
      <w:r w:rsidRPr="007C1F4C">
        <w:rPr>
          <w:rFonts w:asciiTheme="minorHAnsi" w:hAnsiTheme="minorHAnsi"/>
        </w:rPr>
        <w:t>abonó el 22 de diciembre de 2020, la subvención concedida otorgando la</w:t>
      </w:r>
      <w:r w:rsidR="00077F21">
        <w:rPr>
          <w:rFonts w:asciiTheme="minorHAnsi" w:hAnsiTheme="minorHAnsi"/>
        </w:rPr>
        <w:t xml:space="preserve"> </w:t>
      </w:r>
      <w:r w:rsidRPr="007C1F4C">
        <w:rPr>
          <w:rFonts w:asciiTheme="minorHAnsi" w:hAnsiTheme="minorHAnsi"/>
        </w:rPr>
        <w:t xml:space="preserve">cantidad antes citada a </w:t>
      </w:r>
      <w:r w:rsidR="00077F21" w:rsidRPr="007C1F4C">
        <w:rPr>
          <w:rFonts w:asciiTheme="minorHAnsi" w:hAnsiTheme="minorHAnsi"/>
        </w:rPr>
        <w:t xml:space="preserve">Benecke Kaliko </w:t>
      </w:r>
      <w:r w:rsidRPr="007C1F4C">
        <w:rPr>
          <w:rFonts w:asciiTheme="minorHAnsi" w:hAnsiTheme="minorHAnsi"/>
        </w:rPr>
        <w:t>S.A.U.</w:t>
      </w:r>
    </w:p>
    <w:p w:rsidR="007C1F4C" w:rsidRPr="007C1F4C" w:rsidRDefault="007C1F4C" w:rsidP="00414E92">
      <w:pPr>
        <w:spacing w:line="276" w:lineRule="auto"/>
        <w:rPr>
          <w:rFonts w:asciiTheme="minorHAnsi" w:hAnsiTheme="minorHAnsi"/>
        </w:rPr>
      </w:pPr>
      <w:r w:rsidRPr="007C1F4C">
        <w:rPr>
          <w:rFonts w:asciiTheme="minorHAnsi" w:hAnsiTheme="minorHAnsi"/>
        </w:rPr>
        <w:t>Es cuanto tengo el honor de informar en cumplimiento de lo dispuesto en el</w:t>
      </w:r>
      <w:r w:rsidR="00077F21">
        <w:rPr>
          <w:rFonts w:asciiTheme="minorHAnsi" w:hAnsiTheme="minorHAnsi"/>
        </w:rPr>
        <w:t xml:space="preserve"> </w:t>
      </w:r>
      <w:r w:rsidRPr="007C1F4C">
        <w:rPr>
          <w:rFonts w:asciiTheme="minorHAnsi" w:hAnsiTheme="minorHAnsi"/>
        </w:rPr>
        <w:t>artículo 194 del Reglamento del Parlamento de Navarra.</w:t>
      </w:r>
    </w:p>
    <w:p w:rsidR="007C1F4C" w:rsidRPr="007C1F4C" w:rsidRDefault="007C1F4C" w:rsidP="00414E92">
      <w:pPr>
        <w:spacing w:line="276" w:lineRule="auto"/>
        <w:rPr>
          <w:rFonts w:asciiTheme="minorHAnsi" w:hAnsiTheme="minorHAnsi"/>
        </w:rPr>
      </w:pPr>
      <w:r w:rsidRPr="007C1F4C">
        <w:rPr>
          <w:rFonts w:asciiTheme="minorHAnsi" w:hAnsiTheme="minorHAnsi"/>
        </w:rPr>
        <w:t>Pamplona-Iruñea, 30 de marzo de 2021</w:t>
      </w:r>
    </w:p>
    <w:p w:rsidR="007C1F4C" w:rsidRPr="00204105" w:rsidRDefault="00077F21" w:rsidP="00414E92">
      <w:pPr>
        <w:spacing w:line="276" w:lineRule="auto"/>
        <w:rPr>
          <w:rFonts w:asciiTheme="minorHAnsi" w:hAnsiTheme="minorHAnsi"/>
        </w:rPr>
      </w:pPr>
      <w:r w:rsidRPr="007C1F4C">
        <w:rPr>
          <w:rFonts w:asciiTheme="minorHAnsi" w:hAnsiTheme="minorHAnsi"/>
        </w:rPr>
        <w:t>El Consejero de Presidencia, Igualdad, Función Pública e</w:t>
      </w:r>
      <w:r>
        <w:rPr>
          <w:rFonts w:asciiTheme="minorHAnsi" w:hAnsiTheme="minorHAnsi"/>
        </w:rPr>
        <w:t xml:space="preserve"> </w:t>
      </w:r>
      <w:r w:rsidRPr="007C1F4C">
        <w:rPr>
          <w:rFonts w:asciiTheme="minorHAnsi" w:hAnsiTheme="minorHAnsi"/>
        </w:rPr>
        <w:t>Interior</w:t>
      </w:r>
      <w:r>
        <w:rPr>
          <w:rFonts w:asciiTheme="minorHAnsi" w:hAnsiTheme="minorHAnsi"/>
        </w:rPr>
        <w:t xml:space="preserve">: </w:t>
      </w:r>
      <w:r w:rsidR="007C1F4C" w:rsidRPr="007C1F4C">
        <w:rPr>
          <w:rFonts w:asciiTheme="minorHAnsi" w:hAnsiTheme="minorHAnsi"/>
        </w:rPr>
        <w:t>Javier Remírez Apesteguía</w:t>
      </w:r>
    </w:p>
    <w:sectPr w:rsidR="007C1F4C" w:rsidRPr="00204105" w:rsidSect="00204105">
      <w:headerReference w:type="first" r:id="rId8"/>
      <w:pgSz w:w="11906" w:h="16838" w:code="9"/>
      <w:pgMar w:top="2942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C4" w:rsidRDefault="00BF22C4">
      <w:r>
        <w:separator/>
      </w:r>
    </w:p>
  </w:endnote>
  <w:endnote w:type="continuationSeparator" w:id="0">
    <w:p w:rsidR="00BF22C4" w:rsidRDefault="00BF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C4" w:rsidRDefault="00BF22C4">
      <w:r>
        <w:separator/>
      </w:r>
    </w:p>
  </w:footnote>
  <w:footnote w:type="continuationSeparator" w:id="0">
    <w:p w:rsidR="00BF22C4" w:rsidRDefault="00BF2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997" w:rsidRDefault="00F73997" w:rsidP="00D67B41">
    <w:pPr>
      <w:pStyle w:val="Encabezado"/>
      <w:tabs>
        <w:tab w:val="clear" w:pos="4252"/>
        <w:tab w:val="clear" w:pos="8504"/>
      </w:tabs>
      <w:ind w:left="-765"/>
      <w:jc w:val="center"/>
    </w:pPr>
    <w:r>
      <w:rPr>
        <w:noProof/>
      </w:rPr>
      <w:drawing>
        <wp:inline distT="0" distB="0" distL="0" distR="0" wp14:anchorId="45DB851A" wp14:editId="118E1B01">
          <wp:extent cx="2626248" cy="576000"/>
          <wp:effectExtent l="0" t="0" r="3175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B + Agenda 2030-2 colores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248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8F3"/>
    <w:multiLevelType w:val="multilevel"/>
    <w:tmpl w:val="AD6C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972AE"/>
    <w:multiLevelType w:val="hybridMultilevel"/>
    <w:tmpl w:val="890AC9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55F4C"/>
    <w:multiLevelType w:val="hybridMultilevel"/>
    <w:tmpl w:val="F58212A2"/>
    <w:lvl w:ilvl="0" w:tplc="9EA6E9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E4814"/>
    <w:multiLevelType w:val="hybridMultilevel"/>
    <w:tmpl w:val="EF9011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13B2D"/>
    <w:multiLevelType w:val="hybridMultilevel"/>
    <w:tmpl w:val="D1C2905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459AF"/>
    <w:multiLevelType w:val="hybridMultilevel"/>
    <w:tmpl w:val="A74C91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56182"/>
    <w:multiLevelType w:val="hybridMultilevel"/>
    <w:tmpl w:val="20B2D12E"/>
    <w:lvl w:ilvl="0" w:tplc="945CF964">
      <w:start w:val="1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A547E"/>
    <w:multiLevelType w:val="hybridMultilevel"/>
    <w:tmpl w:val="F6CCB1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97369"/>
    <w:multiLevelType w:val="hybridMultilevel"/>
    <w:tmpl w:val="6ADCF30A"/>
    <w:lvl w:ilvl="0" w:tplc="A09ACBB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89511F"/>
    <w:multiLevelType w:val="hybridMultilevel"/>
    <w:tmpl w:val="962A4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B1B6E"/>
    <w:multiLevelType w:val="hybridMultilevel"/>
    <w:tmpl w:val="3CB6A436"/>
    <w:lvl w:ilvl="0" w:tplc="3BC42E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D68E8"/>
    <w:multiLevelType w:val="hybridMultilevel"/>
    <w:tmpl w:val="C4824C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54AC6"/>
    <w:multiLevelType w:val="hybridMultilevel"/>
    <w:tmpl w:val="282C8BD4"/>
    <w:lvl w:ilvl="0" w:tplc="34C00E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0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84"/>
    <w:rsid w:val="000126F4"/>
    <w:rsid w:val="00034604"/>
    <w:rsid w:val="00052B59"/>
    <w:rsid w:val="00077F21"/>
    <w:rsid w:val="000A6FD6"/>
    <w:rsid w:val="000D5A36"/>
    <w:rsid w:val="00100E08"/>
    <w:rsid w:val="001356D8"/>
    <w:rsid w:val="001360A4"/>
    <w:rsid w:val="001D0723"/>
    <w:rsid w:val="001E3FB5"/>
    <w:rsid w:val="001E7275"/>
    <w:rsid w:val="00204105"/>
    <w:rsid w:val="00287512"/>
    <w:rsid w:val="002A03EC"/>
    <w:rsid w:val="002E36EF"/>
    <w:rsid w:val="003326DB"/>
    <w:rsid w:val="00355E3F"/>
    <w:rsid w:val="003737A4"/>
    <w:rsid w:val="00377B13"/>
    <w:rsid w:val="003B13FB"/>
    <w:rsid w:val="003B6B5E"/>
    <w:rsid w:val="003F5379"/>
    <w:rsid w:val="00414E92"/>
    <w:rsid w:val="00434B31"/>
    <w:rsid w:val="00437DEA"/>
    <w:rsid w:val="004E6EBA"/>
    <w:rsid w:val="005332E5"/>
    <w:rsid w:val="00535B11"/>
    <w:rsid w:val="00556C67"/>
    <w:rsid w:val="005D2A5C"/>
    <w:rsid w:val="006741A7"/>
    <w:rsid w:val="0069291B"/>
    <w:rsid w:val="006F3270"/>
    <w:rsid w:val="00790268"/>
    <w:rsid w:val="007C1F4C"/>
    <w:rsid w:val="007C2B39"/>
    <w:rsid w:val="007C6FF0"/>
    <w:rsid w:val="00830057"/>
    <w:rsid w:val="00850F2C"/>
    <w:rsid w:val="008B423E"/>
    <w:rsid w:val="008F42F9"/>
    <w:rsid w:val="00A07C53"/>
    <w:rsid w:val="00A632F0"/>
    <w:rsid w:val="00A956D5"/>
    <w:rsid w:val="00A95C02"/>
    <w:rsid w:val="00AA3DE7"/>
    <w:rsid w:val="00AF706D"/>
    <w:rsid w:val="00B819BB"/>
    <w:rsid w:val="00BB2C36"/>
    <w:rsid w:val="00BC6038"/>
    <w:rsid w:val="00BF22C4"/>
    <w:rsid w:val="00C1598D"/>
    <w:rsid w:val="00C175B4"/>
    <w:rsid w:val="00C30218"/>
    <w:rsid w:val="00CB16DC"/>
    <w:rsid w:val="00CD2A74"/>
    <w:rsid w:val="00D16613"/>
    <w:rsid w:val="00D67B41"/>
    <w:rsid w:val="00DC7DCE"/>
    <w:rsid w:val="00DD777A"/>
    <w:rsid w:val="00DF6784"/>
    <w:rsid w:val="00E8213F"/>
    <w:rsid w:val="00F73997"/>
    <w:rsid w:val="00FA3E20"/>
    <w:rsid w:val="00F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360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360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1166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Aranaz, Carlota</cp:lastModifiedBy>
  <cp:revision>8</cp:revision>
  <cp:lastPrinted>2021-03-30T06:57:00Z</cp:lastPrinted>
  <dcterms:created xsi:type="dcterms:W3CDTF">2021-03-30T06:57:00Z</dcterms:created>
  <dcterms:modified xsi:type="dcterms:W3CDTF">2021-05-14T13:35:00Z</dcterms:modified>
</cp:coreProperties>
</file>