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de la PAC,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oral dirigida a la Consejera de Desarrollo Rural y Medio Ambiente para su contestación en Pleno:</w:t>
      </w:r>
    </w:p>
    <w:p>
      <w:pPr>
        <w:pStyle w:val="0"/>
        <w:suppressAutoHyphens w:val="false"/>
        <w:rPr>
          <w:rStyle w:val="1"/>
        </w:rPr>
      </w:pPr>
      <w:r>
        <w:rPr>
          <w:rStyle w:val="1"/>
        </w:rPr>
        <w:t xml:space="preserve">¿Cuál es la situación de la PAC después de las últimas reuniones entre comunidades autónomas, forales y el ministerio?</w:t>
      </w:r>
    </w:p>
    <w:p>
      <w:pPr>
        <w:pStyle w:val="0"/>
        <w:suppressAutoHyphens w:val="false"/>
        <w:rPr>
          <w:rStyle w:val="1"/>
        </w:rPr>
      </w:pPr>
      <w:r>
        <w:rPr>
          <w:rStyle w:val="1"/>
        </w:rPr>
        <w:t xml:space="preserve">Pamplona, a 10 de junio de 2021</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