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0849DA">
      <w:pPr>
        <w:pStyle w:val="EstiloPortada"/>
        <w:ind w:left="3969" w:right="-58" w:hanging="427"/>
        <w:jc w:val="right"/>
      </w:pPr>
      <w:bookmarkStart w:id="0" w:name="_GoBack"/>
      <w:bookmarkEnd w:id="0"/>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A5EFE" w:rsidRPr="003A7956" w:rsidRDefault="001A5EFE" w:rsidP="004C3423">
                            <w:pPr>
                              <w:spacing w:after="0"/>
                              <w:ind w:firstLine="0"/>
                              <w:jc w:val="center"/>
                              <w:rPr>
                                <w:sz w:val="18"/>
                                <w:szCs w:val="18"/>
                              </w:rPr>
                            </w:pPr>
                            <w:r>
                              <w:rPr>
                                <w:sz w:val="18"/>
                                <w:szCs w:val="18"/>
                              </w:rPr>
                              <w:t>CAMARA DE</w:t>
                            </w:r>
                          </w:p>
                          <w:p w:rsidR="001A5EFE" w:rsidRPr="003A7956" w:rsidRDefault="001A5EFE" w:rsidP="004C3423">
                            <w:pPr>
                              <w:spacing w:after="0"/>
                              <w:ind w:firstLine="0"/>
                              <w:jc w:val="center"/>
                              <w:rPr>
                                <w:sz w:val="18"/>
                                <w:szCs w:val="18"/>
                              </w:rPr>
                            </w:pPr>
                            <w:r>
                              <w:rPr>
                                <w:sz w:val="18"/>
                                <w:szCs w:val="18"/>
                              </w:rPr>
                              <w:t>COMPTOS</w:t>
                            </w:r>
                          </w:p>
                          <w:p w:rsidR="001A5EFE" w:rsidRPr="003A7956" w:rsidRDefault="001A5EFE" w:rsidP="004C3423">
                            <w:pPr>
                              <w:spacing w:after="0"/>
                              <w:ind w:firstLine="0"/>
                              <w:jc w:val="center"/>
                              <w:rPr>
                                <w:sz w:val="18"/>
                                <w:szCs w:val="18"/>
                              </w:rPr>
                            </w:pPr>
                            <w:r>
                              <w:rPr>
                                <w:sz w:val="18"/>
                                <w:szCs w:val="18"/>
                              </w:rPr>
                              <w:t>DE NAVARRA</w:t>
                            </w:r>
                          </w:p>
                          <w:p w:rsidR="001A5EFE" w:rsidRPr="003A7956" w:rsidRDefault="001A5EFE" w:rsidP="004C3423">
                            <w:pPr>
                              <w:spacing w:after="0"/>
                              <w:ind w:firstLine="0"/>
                              <w:jc w:val="center"/>
                              <w:rPr>
                                <w:color w:val="808080"/>
                                <w:sz w:val="18"/>
                                <w:szCs w:val="18"/>
                              </w:rPr>
                            </w:pPr>
                            <w:r>
                              <w:rPr>
                                <w:color w:val="808080"/>
                                <w:sz w:val="18"/>
                                <w:szCs w:val="18"/>
                              </w:rPr>
                              <w:t>NAFARROAKO</w:t>
                            </w:r>
                          </w:p>
                          <w:p w:rsidR="001A5EFE" w:rsidRPr="003A7956" w:rsidRDefault="001A5EFE" w:rsidP="004C3423">
                            <w:pPr>
                              <w:spacing w:after="0"/>
                              <w:ind w:firstLine="0"/>
                              <w:jc w:val="center"/>
                              <w:rPr>
                                <w:color w:val="808080"/>
                                <w:sz w:val="18"/>
                                <w:szCs w:val="18"/>
                              </w:rPr>
                            </w:pPr>
                            <w:r>
                              <w:rPr>
                                <w:color w:val="808080"/>
                                <w:sz w:val="18"/>
                                <w:szCs w:val="18"/>
                              </w:rPr>
                              <w:t>KONTUEN</w:t>
                            </w:r>
                          </w:p>
                          <w:p w:rsidR="001A5EFE" w:rsidRPr="003A7956" w:rsidRDefault="001A5EFE" w:rsidP="004C3423">
                            <w:pPr>
                              <w:spacing w:after="0"/>
                              <w:ind w:firstLine="0"/>
                              <w:jc w:val="center"/>
                              <w:rPr>
                                <w:color w:val="808080"/>
                                <w:sz w:val="18"/>
                                <w:szCs w:val="18"/>
                              </w:rPr>
                            </w:pPr>
                            <w:r>
                              <w:rPr>
                                <w:color w:val="808080"/>
                                <w:sz w:val="18"/>
                                <w:szCs w:val="18"/>
                              </w:rPr>
                              <w:t>GANBERA</w:t>
                            </w:r>
                          </w:p>
                          <w:p w:rsidR="001A5EFE" w:rsidRPr="002C7026" w:rsidRDefault="001A5EFE"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1A5EFE" w:rsidRPr="003A7956" w:rsidRDefault="001A5EFE" w:rsidP="004C3423">
                      <w:pPr>
                        <w:spacing w:after="0"/>
                        <w:ind w:firstLine="0"/>
                        <w:jc w:val="center"/>
                        <w:rPr>
                          <w:sz w:val="18"/>
                          <w:szCs w:val="18"/>
                        </w:rPr>
                      </w:pPr>
                      <w:r>
                        <w:rPr>
                          <w:sz w:val="18"/>
                          <w:szCs w:val="18"/>
                        </w:rPr>
                        <w:t>CAMARA DE</w:t>
                      </w:r>
                    </w:p>
                    <w:p w:rsidR="001A5EFE" w:rsidRPr="003A7956" w:rsidRDefault="001A5EFE" w:rsidP="004C3423">
                      <w:pPr>
                        <w:spacing w:after="0"/>
                        <w:ind w:firstLine="0"/>
                        <w:jc w:val="center"/>
                        <w:rPr>
                          <w:sz w:val="18"/>
                          <w:szCs w:val="18"/>
                        </w:rPr>
                      </w:pPr>
                      <w:r>
                        <w:rPr>
                          <w:sz w:val="18"/>
                          <w:szCs w:val="18"/>
                        </w:rPr>
                        <w:t>COMPTOS</w:t>
                      </w:r>
                    </w:p>
                    <w:p w:rsidR="001A5EFE" w:rsidRPr="003A7956" w:rsidRDefault="001A5EFE" w:rsidP="004C3423">
                      <w:pPr>
                        <w:spacing w:after="0"/>
                        <w:ind w:firstLine="0"/>
                        <w:jc w:val="center"/>
                        <w:rPr>
                          <w:sz w:val="18"/>
                          <w:szCs w:val="18"/>
                        </w:rPr>
                      </w:pPr>
                      <w:r>
                        <w:rPr>
                          <w:sz w:val="18"/>
                          <w:szCs w:val="18"/>
                        </w:rPr>
                        <w:t>DE NAVARRA</w:t>
                      </w:r>
                    </w:p>
                    <w:p w:rsidR="001A5EFE" w:rsidRPr="003A7956" w:rsidRDefault="001A5EFE" w:rsidP="004C3423">
                      <w:pPr>
                        <w:spacing w:after="0"/>
                        <w:ind w:firstLine="0"/>
                        <w:jc w:val="center"/>
                        <w:rPr>
                          <w:color w:val="808080"/>
                          <w:sz w:val="18"/>
                          <w:szCs w:val="18"/>
                        </w:rPr>
                      </w:pPr>
                      <w:r>
                        <w:rPr>
                          <w:color w:val="808080"/>
                          <w:sz w:val="18"/>
                          <w:szCs w:val="18"/>
                        </w:rPr>
                        <w:t>NAFARROAKO</w:t>
                      </w:r>
                    </w:p>
                    <w:p w:rsidR="001A5EFE" w:rsidRPr="003A7956" w:rsidRDefault="001A5EFE" w:rsidP="004C3423">
                      <w:pPr>
                        <w:spacing w:after="0"/>
                        <w:ind w:firstLine="0"/>
                        <w:jc w:val="center"/>
                        <w:rPr>
                          <w:color w:val="808080"/>
                          <w:sz w:val="18"/>
                          <w:szCs w:val="18"/>
                        </w:rPr>
                      </w:pPr>
                      <w:r>
                        <w:rPr>
                          <w:color w:val="808080"/>
                          <w:sz w:val="18"/>
                          <w:szCs w:val="18"/>
                        </w:rPr>
                        <w:t>KONTUEN</w:t>
                      </w:r>
                    </w:p>
                    <w:p w:rsidR="001A5EFE" w:rsidRPr="003A7956" w:rsidRDefault="001A5EFE" w:rsidP="004C3423">
                      <w:pPr>
                        <w:spacing w:after="0"/>
                        <w:ind w:firstLine="0"/>
                        <w:jc w:val="center"/>
                        <w:rPr>
                          <w:color w:val="808080"/>
                          <w:sz w:val="18"/>
                          <w:szCs w:val="18"/>
                        </w:rPr>
                      </w:pPr>
                      <w:r>
                        <w:rPr>
                          <w:color w:val="808080"/>
                          <w:sz w:val="18"/>
                          <w:szCs w:val="18"/>
                        </w:rPr>
                        <w:t>GANBERA</w:t>
                      </w:r>
                    </w:p>
                    <w:p w:rsidR="001A5EFE" w:rsidRPr="002C7026" w:rsidRDefault="001A5EFE" w:rsidP="002C7026">
                      <w:pPr>
                        <w:spacing w:after="0"/>
                        <w:ind w:firstLine="0"/>
                        <w:jc w:val="center"/>
                        <w:rPr>
                          <w:rFonts w:ascii="Trajan" w:hAnsi="Trajan"/>
                          <w:color w:val="808080"/>
                          <w:sz w:val="18"/>
                          <w:szCs w:val="18"/>
                          <w:lang w:val="es-ES"/>
                        </w:rPr>
                      </w:pPr>
                    </w:p>
                  </w:txbxContent>
                </v:textbox>
              </v:shape>
            </w:pict>
          </mc:Fallback>
        </mc:AlternateContent>
      </w:r>
    </w:p>
    <w:p w:rsidR="006E43C0" w:rsidRPr="006E43C0" w:rsidRDefault="001B054E" w:rsidP="006E43C0">
      <w:pPr>
        <w:pStyle w:val="EstiloPortada"/>
        <w:ind w:left="1276" w:right="0"/>
        <w:jc w:val="right"/>
        <w:rPr>
          <w:sz w:val="36"/>
          <w:szCs w:val="36"/>
        </w:rPr>
      </w:pPr>
      <w:r>
        <w:rPr>
          <w:sz w:val="36"/>
          <w:szCs w:val="36"/>
        </w:rPr>
        <w:t xml:space="preserve">Politika komertzialetik eratorritako deskontuak direla-eta Nafarroako Foru Komunitateak </w:t>
      </w:r>
      <w:proofErr w:type="spellStart"/>
      <w:r>
        <w:rPr>
          <w:sz w:val="36"/>
          <w:szCs w:val="36"/>
        </w:rPr>
        <w:t>A</w:t>
      </w:r>
      <w:r>
        <w:rPr>
          <w:sz w:val="36"/>
          <w:szCs w:val="36"/>
        </w:rPr>
        <w:t>u</w:t>
      </w:r>
      <w:r>
        <w:rPr>
          <w:sz w:val="36"/>
          <w:szCs w:val="36"/>
        </w:rPr>
        <w:t>denasari</w:t>
      </w:r>
      <w:proofErr w:type="spellEnd"/>
      <w:r>
        <w:rPr>
          <w:sz w:val="36"/>
          <w:szCs w:val="36"/>
        </w:rPr>
        <w:t xml:space="preserve"> eginiko konpentsazioa (2020) </w:t>
      </w:r>
    </w:p>
    <w:p w:rsidR="006C4DAC" w:rsidRPr="006C4DAC" w:rsidRDefault="006C4DAC" w:rsidP="006E43C0">
      <w:pPr>
        <w:pStyle w:val="EstiloPortada"/>
        <w:ind w:left="1276" w:right="0"/>
        <w:jc w:val="right"/>
        <w:rPr>
          <w:sz w:val="40"/>
          <w:szCs w:val="40"/>
        </w:rPr>
      </w:pPr>
    </w:p>
    <w:p w:rsidR="001C3A32" w:rsidRPr="006C4DAC" w:rsidRDefault="001C3A32" w:rsidP="00891D73">
      <w:pPr>
        <w:pStyle w:val="texto"/>
        <w:rPr>
          <w:sz w:val="44"/>
          <w:szCs w:val="44"/>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6C4DAC" w:rsidRPr="00204979" w:rsidRDefault="006C4DAC"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5B04C5" w:rsidRDefault="00580BF6" w:rsidP="005B04C5">
      <w:pPr>
        <w:pStyle w:val="Fechaportada"/>
      </w:pPr>
      <w:r>
        <w:t>2021eko ekaina</w:t>
      </w:r>
    </w:p>
    <w:p w:rsidR="005B04C5" w:rsidRPr="00E703B6" w:rsidRDefault="005B04C5" w:rsidP="005B04C5"/>
    <w:p w:rsidR="008E3FFE" w:rsidRPr="001D4F09" w:rsidRDefault="008E3FFE" w:rsidP="005B04C5">
      <w:pPr>
        <w:pStyle w:val="Fechaportada"/>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B56671"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78530033" w:history="1">
        <w:r w:rsidR="00B56671" w:rsidRPr="00216765">
          <w:rPr>
            <w:rStyle w:val="Hipervnculo"/>
            <w:noProof/>
          </w:rPr>
          <w:t>I. Sarrera</w:t>
        </w:r>
        <w:r w:rsidR="00B56671">
          <w:rPr>
            <w:noProof/>
            <w:webHidden/>
          </w:rPr>
          <w:tab/>
        </w:r>
        <w:r w:rsidR="00B56671">
          <w:rPr>
            <w:noProof/>
            <w:webHidden/>
          </w:rPr>
          <w:fldChar w:fldCharType="begin"/>
        </w:r>
        <w:r w:rsidR="00B56671">
          <w:rPr>
            <w:noProof/>
            <w:webHidden/>
          </w:rPr>
          <w:instrText xml:space="preserve"> PAGEREF _Toc78530033 \h </w:instrText>
        </w:r>
        <w:r w:rsidR="00B56671">
          <w:rPr>
            <w:noProof/>
            <w:webHidden/>
          </w:rPr>
        </w:r>
        <w:r w:rsidR="00B56671">
          <w:rPr>
            <w:noProof/>
            <w:webHidden/>
          </w:rPr>
          <w:fldChar w:fldCharType="separate"/>
        </w:r>
        <w:r w:rsidR="00B56671">
          <w:rPr>
            <w:noProof/>
            <w:webHidden/>
          </w:rPr>
          <w:t>3</w:t>
        </w:r>
        <w:r w:rsidR="00B56671">
          <w:rPr>
            <w:noProof/>
            <w:webHidden/>
          </w:rPr>
          <w:fldChar w:fldCharType="end"/>
        </w:r>
      </w:hyperlink>
    </w:p>
    <w:p w:rsidR="00B56671" w:rsidRDefault="00B56671">
      <w:pPr>
        <w:pStyle w:val="TDC1"/>
        <w:rPr>
          <w:rFonts w:asciiTheme="minorHAnsi" w:eastAsiaTheme="minorEastAsia" w:hAnsiTheme="minorHAnsi" w:cstheme="minorBidi"/>
          <w:smallCaps w:val="0"/>
          <w:noProof/>
          <w:szCs w:val="22"/>
          <w:lang w:val="es-ES" w:eastAsia="es-ES"/>
        </w:rPr>
      </w:pPr>
      <w:hyperlink w:anchor="_Toc78530034" w:history="1">
        <w:r w:rsidRPr="00216765">
          <w:rPr>
            <w:rStyle w:val="Hipervnculo"/>
            <w:noProof/>
          </w:rPr>
          <w:t>II. Politika komertzialetik eratorritako deskontuak direla-eta Nafarroako Foru Komunitateko Administrazioak Audenasari eginiko konpentsazioa</w:t>
        </w:r>
        <w:r>
          <w:rPr>
            <w:noProof/>
            <w:webHidden/>
          </w:rPr>
          <w:tab/>
        </w:r>
        <w:r>
          <w:rPr>
            <w:noProof/>
            <w:webHidden/>
          </w:rPr>
          <w:fldChar w:fldCharType="begin"/>
        </w:r>
        <w:r>
          <w:rPr>
            <w:noProof/>
            <w:webHidden/>
          </w:rPr>
          <w:instrText xml:space="preserve"> PAGEREF _Toc78530034 \h </w:instrText>
        </w:r>
        <w:r>
          <w:rPr>
            <w:noProof/>
            <w:webHidden/>
          </w:rPr>
        </w:r>
        <w:r>
          <w:rPr>
            <w:noProof/>
            <w:webHidden/>
          </w:rPr>
          <w:fldChar w:fldCharType="separate"/>
        </w:r>
        <w:r>
          <w:rPr>
            <w:noProof/>
            <w:webHidden/>
          </w:rPr>
          <w:t>5</w:t>
        </w:r>
        <w:r>
          <w:rPr>
            <w:noProof/>
            <w:webHidden/>
          </w:rPr>
          <w:fldChar w:fldCharType="end"/>
        </w:r>
      </w:hyperlink>
    </w:p>
    <w:p w:rsidR="00B56671" w:rsidRDefault="00B56671">
      <w:pPr>
        <w:pStyle w:val="TDC1"/>
        <w:rPr>
          <w:rFonts w:asciiTheme="minorHAnsi" w:eastAsiaTheme="minorEastAsia" w:hAnsiTheme="minorHAnsi" w:cstheme="minorBidi"/>
          <w:smallCaps w:val="0"/>
          <w:noProof/>
          <w:szCs w:val="22"/>
          <w:lang w:val="es-ES" w:eastAsia="es-ES"/>
        </w:rPr>
      </w:pPr>
      <w:hyperlink w:anchor="_Toc78530035" w:history="1">
        <w:r w:rsidRPr="00216765">
          <w:rPr>
            <w:rStyle w:val="Hipervnculo"/>
            <w:noProof/>
          </w:rPr>
          <w:t>III. Helburuak eta norainokoa</w:t>
        </w:r>
        <w:r>
          <w:rPr>
            <w:noProof/>
            <w:webHidden/>
          </w:rPr>
          <w:tab/>
        </w:r>
        <w:r>
          <w:rPr>
            <w:noProof/>
            <w:webHidden/>
          </w:rPr>
          <w:fldChar w:fldCharType="begin"/>
        </w:r>
        <w:r>
          <w:rPr>
            <w:noProof/>
            <w:webHidden/>
          </w:rPr>
          <w:instrText xml:space="preserve"> PAGEREF _Toc78530035 \h </w:instrText>
        </w:r>
        <w:r>
          <w:rPr>
            <w:noProof/>
            <w:webHidden/>
          </w:rPr>
        </w:r>
        <w:r>
          <w:rPr>
            <w:noProof/>
            <w:webHidden/>
          </w:rPr>
          <w:fldChar w:fldCharType="separate"/>
        </w:r>
        <w:r>
          <w:rPr>
            <w:noProof/>
            <w:webHidden/>
          </w:rPr>
          <w:t>15</w:t>
        </w:r>
        <w:r>
          <w:rPr>
            <w:noProof/>
            <w:webHidden/>
          </w:rPr>
          <w:fldChar w:fldCharType="end"/>
        </w:r>
      </w:hyperlink>
    </w:p>
    <w:p w:rsidR="00B56671" w:rsidRDefault="00B56671">
      <w:pPr>
        <w:pStyle w:val="TDC1"/>
        <w:rPr>
          <w:rFonts w:asciiTheme="minorHAnsi" w:eastAsiaTheme="minorEastAsia" w:hAnsiTheme="minorHAnsi" w:cstheme="minorBidi"/>
          <w:smallCaps w:val="0"/>
          <w:noProof/>
          <w:szCs w:val="22"/>
          <w:lang w:val="es-ES" w:eastAsia="es-ES"/>
        </w:rPr>
      </w:pPr>
      <w:hyperlink w:anchor="_Toc78530036" w:history="1">
        <w:r w:rsidRPr="00216765">
          <w:rPr>
            <w:rStyle w:val="Hipervnculo"/>
            <w:noProof/>
          </w:rPr>
          <w:t>IV. Konklusioak eta gomendioak</w:t>
        </w:r>
        <w:r>
          <w:rPr>
            <w:noProof/>
            <w:webHidden/>
          </w:rPr>
          <w:tab/>
        </w:r>
        <w:r>
          <w:rPr>
            <w:noProof/>
            <w:webHidden/>
          </w:rPr>
          <w:fldChar w:fldCharType="begin"/>
        </w:r>
        <w:r>
          <w:rPr>
            <w:noProof/>
            <w:webHidden/>
          </w:rPr>
          <w:instrText xml:space="preserve"> PAGEREF _Toc78530036 \h </w:instrText>
        </w:r>
        <w:r>
          <w:rPr>
            <w:noProof/>
            <w:webHidden/>
          </w:rPr>
        </w:r>
        <w:r>
          <w:rPr>
            <w:noProof/>
            <w:webHidden/>
          </w:rPr>
          <w:fldChar w:fldCharType="separate"/>
        </w:r>
        <w:r>
          <w:rPr>
            <w:noProof/>
            <w:webHidden/>
          </w:rPr>
          <w:t>16</w:t>
        </w:r>
        <w:r>
          <w:rPr>
            <w:noProof/>
            <w:webHidden/>
          </w:rPr>
          <w:fldChar w:fldCharType="end"/>
        </w:r>
      </w:hyperlink>
    </w:p>
    <w:p w:rsidR="00B56671" w:rsidRDefault="00B56671">
      <w:pPr>
        <w:pStyle w:val="TDC2"/>
        <w:rPr>
          <w:rFonts w:asciiTheme="minorHAnsi" w:eastAsiaTheme="minorEastAsia" w:hAnsiTheme="minorHAnsi" w:cstheme="minorBidi"/>
          <w:noProof/>
          <w:szCs w:val="22"/>
          <w:lang w:val="es-ES" w:eastAsia="es-ES"/>
        </w:rPr>
      </w:pPr>
      <w:hyperlink w:anchor="_Toc78530037" w:history="1">
        <w:r w:rsidRPr="00216765">
          <w:rPr>
            <w:rStyle w:val="Hipervnculo"/>
            <w:noProof/>
          </w:rPr>
          <w:t>IV.1. Legeriaren betetzearen fiskalizazio-iritzia</w:t>
        </w:r>
        <w:r>
          <w:rPr>
            <w:noProof/>
            <w:webHidden/>
          </w:rPr>
          <w:tab/>
        </w:r>
        <w:r>
          <w:rPr>
            <w:noProof/>
            <w:webHidden/>
          </w:rPr>
          <w:fldChar w:fldCharType="begin"/>
        </w:r>
        <w:r>
          <w:rPr>
            <w:noProof/>
            <w:webHidden/>
          </w:rPr>
          <w:instrText xml:space="preserve"> PAGEREF _Toc78530037 \h </w:instrText>
        </w:r>
        <w:r>
          <w:rPr>
            <w:noProof/>
            <w:webHidden/>
          </w:rPr>
        </w:r>
        <w:r>
          <w:rPr>
            <w:noProof/>
            <w:webHidden/>
          </w:rPr>
          <w:fldChar w:fldCharType="separate"/>
        </w:r>
        <w:r>
          <w:rPr>
            <w:noProof/>
            <w:webHidden/>
          </w:rPr>
          <w:t>17</w:t>
        </w:r>
        <w:r>
          <w:rPr>
            <w:noProof/>
            <w:webHidden/>
          </w:rPr>
          <w:fldChar w:fldCharType="end"/>
        </w:r>
      </w:hyperlink>
    </w:p>
    <w:p w:rsidR="00B56671" w:rsidRDefault="00B56671">
      <w:pPr>
        <w:pStyle w:val="TDC2"/>
        <w:rPr>
          <w:rFonts w:asciiTheme="minorHAnsi" w:eastAsiaTheme="minorEastAsia" w:hAnsiTheme="minorHAnsi" w:cstheme="minorBidi"/>
          <w:noProof/>
          <w:szCs w:val="22"/>
          <w:lang w:val="es-ES" w:eastAsia="es-ES"/>
        </w:rPr>
      </w:pPr>
      <w:hyperlink w:anchor="_Toc78530038" w:history="1">
        <w:r w:rsidRPr="00216765">
          <w:rPr>
            <w:rStyle w:val="Hipervnculo"/>
            <w:noProof/>
          </w:rPr>
          <w:t>IV.2. Auditoretza finantzarioko iritzia</w:t>
        </w:r>
        <w:r>
          <w:rPr>
            <w:noProof/>
            <w:webHidden/>
          </w:rPr>
          <w:tab/>
        </w:r>
        <w:r>
          <w:rPr>
            <w:noProof/>
            <w:webHidden/>
          </w:rPr>
          <w:fldChar w:fldCharType="begin"/>
        </w:r>
        <w:r>
          <w:rPr>
            <w:noProof/>
            <w:webHidden/>
          </w:rPr>
          <w:instrText xml:space="preserve"> PAGEREF _Toc78530038 \h </w:instrText>
        </w:r>
        <w:r>
          <w:rPr>
            <w:noProof/>
            <w:webHidden/>
          </w:rPr>
        </w:r>
        <w:r>
          <w:rPr>
            <w:noProof/>
            <w:webHidden/>
          </w:rPr>
          <w:fldChar w:fldCharType="separate"/>
        </w:r>
        <w:r>
          <w:rPr>
            <w:noProof/>
            <w:webHidden/>
          </w:rPr>
          <w:t>18</w:t>
        </w:r>
        <w:r>
          <w:rPr>
            <w:noProof/>
            <w:webHidden/>
          </w:rPr>
          <w:fldChar w:fldCharType="end"/>
        </w:r>
      </w:hyperlink>
    </w:p>
    <w:p w:rsidR="00B56671" w:rsidRDefault="00B56671">
      <w:pPr>
        <w:pStyle w:val="TDC2"/>
        <w:rPr>
          <w:rFonts w:asciiTheme="minorHAnsi" w:eastAsiaTheme="minorEastAsia" w:hAnsiTheme="minorHAnsi" w:cstheme="minorBidi"/>
          <w:noProof/>
          <w:szCs w:val="22"/>
          <w:lang w:val="es-ES" w:eastAsia="es-ES"/>
        </w:rPr>
      </w:pPr>
      <w:hyperlink w:anchor="_Toc78530039" w:history="1">
        <w:r w:rsidRPr="00216765">
          <w:rPr>
            <w:rStyle w:val="Hipervnculo"/>
            <w:noProof/>
          </w:rPr>
          <w:t>IV.3. 2020ko azaroko konpentsazioaren onespenak 2020-2029 epean izan ditzakeen efektuen analisia</w:t>
        </w:r>
        <w:r>
          <w:rPr>
            <w:noProof/>
            <w:webHidden/>
          </w:rPr>
          <w:tab/>
        </w:r>
        <w:r>
          <w:rPr>
            <w:noProof/>
            <w:webHidden/>
          </w:rPr>
          <w:fldChar w:fldCharType="begin"/>
        </w:r>
        <w:r>
          <w:rPr>
            <w:noProof/>
            <w:webHidden/>
          </w:rPr>
          <w:instrText xml:space="preserve"> PAGEREF _Toc78530039 \h </w:instrText>
        </w:r>
        <w:r>
          <w:rPr>
            <w:noProof/>
            <w:webHidden/>
          </w:rPr>
        </w:r>
        <w:r>
          <w:rPr>
            <w:noProof/>
            <w:webHidden/>
          </w:rPr>
          <w:fldChar w:fldCharType="separate"/>
        </w:r>
        <w:r>
          <w:rPr>
            <w:noProof/>
            <w:webHidden/>
          </w:rPr>
          <w:t>19</w:t>
        </w:r>
        <w:r>
          <w:rPr>
            <w:noProof/>
            <w:webHidden/>
          </w:rPr>
          <w:fldChar w:fldCharType="end"/>
        </w:r>
      </w:hyperlink>
    </w:p>
    <w:p w:rsidR="00B56671" w:rsidRDefault="00B56671">
      <w:pPr>
        <w:pStyle w:val="TDC2"/>
        <w:rPr>
          <w:rFonts w:asciiTheme="minorHAnsi" w:eastAsiaTheme="minorEastAsia" w:hAnsiTheme="minorHAnsi" w:cstheme="minorBidi"/>
          <w:noProof/>
          <w:szCs w:val="22"/>
          <w:lang w:val="es-ES" w:eastAsia="es-ES"/>
        </w:rPr>
      </w:pPr>
      <w:hyperlink w:anchor="_Toc78530040" w:history="1">
        <w:r w:rsidRPr="00216765">
          <w:rPr>
            <w:rStyle w:val="Hipervnculo"/>
            <w:noProof/>
          </w:rPr>
          <w:t>IV.4. Amaierako konklusioa eta gomendioak</w:t>
        </w:r>
        <w:r>
          <w:rPr>
            <w:noProof/>
            <w:webHidden/>
          </w:rPr>
          <w:tab/>
        </w:r>
        <w:r>
          <w:rPr>
            <w:noProof/>
            <w:webHidden/>
          </w:rPr>
          <w:fldChar w:fldCharType="begin"/>
        </w:r>
        <w:r>
          <w:rPr>
            <w:noProof/>
            <w:webHidden/>
          </w:rPr>
          <w:instrText xml:space="preserve"> PAGEREF _Toc78530040 \h </w:instrText>
        </w:r>
        <w:r>
          <w:rPr>
            <w:noProof/>
            <w:webHidden/>
          </w:rPr>
        </w:r>
        <w:r>
          <w:rPr>
            <w:noProof/>
            <w:webHidden/>
          </w:rPr>
          <w:fldChar w:fldCharType="separate"/>
        </w:r>
        <w:r>
          <w:rPr>
            <w:noProof/>
            <w:webHidden/>
          </w:rPr>
          <w:t>24</w:t>
        </w:r>
        <w:r>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6C4DAC" w:rsidRPr="00AA7CB8" w:rsidRDefault="006C4DAC" w:rsidP="006C4DAC">
      <w:pPr>
        <w:pStyle w:val="atitulo1"/>
      </w:pPr>
      <w:bookmarkStart w:id="1" w:name="_Toc291067874"/>
      <w:bookmarkStart w:id="2" w:name="_Toc121293081"/>
      <w:bookmarkStart w:id="3" w:name="_Toc121292758"/>
      <w:bookmarkStart w:id="4" w:name="_Toc432757078"/>
      <w:bookmarkStart w:id="5" w:name="_Toc447195010"/>
      <w:bookmarkStart w:id="6" w:name="_Toc499802362"/>
      <w:bookmarkStart w:id="7" w:name="_Toc511907525"/>
      <w:bookmarkStart w:id="8" w:name="_Toc67394574"/>
      <w:bookmarkStart w:id="9" w:name="_Toc78530033"/>
      <w:r>
        <w:lastRenderedPageBreak/>
        <w:t>I. Sarrera</w:t>
      </w:r>
      <w:bookmarkEnd w:id="1"/>
      <w:bookmarkEnd w:id="2"/>
      <w:bookmarkEnd w:id="3"/>
      <w:bookmarkEnd w:id="4"/>
      <w:bookmarkEnd w:id="5"/>
      <w:bookmarkEnd w:id="6"/>
      <w:bookmarkEnd w:id="7"/>
      <w:bookmarkEnd w:id="8"/>
      <w:bookmarkEnd w:id="9"/>
    </w:p>
    <w:p w:rsidR="006C4DAC" w:rsidRDefault="00580BF6" w:rsidP="006C4DAC">
      <w:pPr>
        <w:pStyle w:val="texto"/>
        <w:tabs>
          <w:tab w:val="clear" w:pos="2835"/>
          <w:tab w:val="clear" w:pos="3969"/>
          <w:tab w:val="clear" w:pos="5103"/>
          <w:tab w:val="clear" w:pos="6237"/>
          <w:tab w:val="clear" w:pos="7371"/>
        </w:tabs>
        <w:rPr>
          <w:szCs w:val="26"/>
        </w:rPr>
      </w:pPr>
      <w:r>
        <w:t>Nafarroako Parlamentuko Eledunen Batzarrak, 2021eko apirilaren 19an eg</w:t>
      </w:r>
      <w:r>
        <w:t>i</w:t>
      </w:r>
      <w:r>
        <w:t>niko bilkuran, erabaki zuen Kontuen Ganberari fiskalizazio-txosten urgente bat eskatzea, “</w:t>
      </w:r>
      <w:r>
        <w:rPr>
          <w:i/>
          <w:iCs/>
        </w:rPr>
        <w:t xml:space="preserve">autobideko erabiltzaileei aplikatzen zaizkien deskontuak direla-eta Nafarroako Gobernuak </w:t>
      </w:r>
      <w:proofErr w:type="spellStart"/>
      <w:r>
        <w:rPr>
          <w:i/>
          <w:iCs/>
        </w:rPr>
        <w:t>AUDENASAri</w:t>
      </w:r>
      <w:proofErr w:type="spellEnd"/>
      <w:r>
        <w:rPr>
          <w:i/>
          <w:iCs/>
        </w:rPr>
        <w:t xml:space="preserve"> fakturak ordaintzean aplikatutako ko</w:t>
      </w:r>
      <w:r>
        <w:rPr>
          <w:i/>
          <w:iCs/>
        </w:rPr>
        <w:t>n</w:t>
      </w:r>
      <w:r>
        <w:rPr>
          <w:i/>
          <w:iCs/>
        </w:rPr>
        <w:t>pentsazio-formulari</w:t>
      </w:r>
      <w:r>
        <w:t>” buruzkoa.</w:t>
      </w:r>
    </w:p>
    <w:p w:rsidR="00580BF6" w:rsidRPr="00434D41" w:rsidRDefault="00580BF6" w:rsidP="00434D41">
      <w:pPr>
        <w:pStyle w:val="texto"/>
        <w:tabs>
          <w:tab w:val="clear" w:pos="2835"/>
          <w:tab w:val="clear" w:pos="3969"/>
          <w:tab w:val="clear" w:pos="5103"/>
          <w:tab w:val="clear" w:pos="6237"/>
          <w:tab w:val="clear" w:pos="7371"/>
          <w:tab w:val="left" w:pos="567"/>
        </w:tabs>
        <w:ind w:left="284" w:firstLine="0"/>
        <w:rPr>
          <w:szCs w:val="26"/>
        </w:rPr>
      </w:pPr>
      <w:r>
        <w:t>Zehazki, eskariak eskatzen du honako alderdi hauek aztertzea:</w:t>
      </w:r>
    </w:p>
    <w:p w:rsidR="00580BF6" w:rsidRPr="00580BF6" w:rsidRDefault="00434D41" w:rsidP="00434D41">
      <w:pPr>
        <w:pStyle w:val="texto"/>
        <w:numPr>
          <w:ilvl w:val="0"/>
          <w:numId w:val="10"/>
        </w:numPr>
        <w:tabs>
          <w:tab w:val="clear" w:pos="2835"/>
          <w:tab w:val="clear" w:pos="3969"/>
          <w:tab w:val="clear" w:pos="5103"/>
          <w:tab w:val="clear" w:pos="6237"/>
          <w:tab w:val="clear" w:pos="7371"/>
          <w:tab w:val="left" w:pos="567"/>
        </w:tabs>
        <w:ind w:left="0" w:firstLine="284"/>
        <w:rPr>
          <w:i/>
          <w:sz w:val="24"/>
        </w:rPr>
      </w:pPr>
      <w:r>
        <w:rPr>
          <w:i/>
          <w:sz w:val="24"/>
        </w:rPr>
        <w:t>"...Aldaketarik izan ote den enpresa adjudikazio-hartzaileari AP-15 autobideko deskontuak konpentsatzeko adosturiko formularen (emakida-kontratukoaren nahiz hitzarmen ezberdinetakoen) aplikazioan.</w:t>
      </w:r>
    </w:p>
    <w:p w:rsidR="00580BF6" w:rsidRPr="00580BF6" w:rsidRDefault="00580BF6" w:rsidP="00580BF6">
      <w:pPr>
        <w:pStyle w:val="texto"/>
        <w:numPr>
          <w:ilvl w:val="0"/>
          <w:numId w:val="10"/>
        </w:numPr>
        <w:tabs>
          <w:tab w:val="clear" w:pos="2835"/>
          <w:tab w:val="clear" w:pos="3969"/>
          <w:tab w:val="clear" w:pos="5103"/>
          <w:tab w:val="clear" w:pos="6237"/>
          <w:tab w:val="clear" w:pos="7371"/>
          <w:tab w:val="left" w:pos="567"/>
        </w:tabs>
        <w:ind w:left="0" w:firstLine="284"/>
        <w:rPr>
          <w:i/>
          <w:sz w:val="24"/>
        </w:rPr>
      </w:pPr>
      <w:r>
        <w:rPr>
          <w:i/>
          <w:sz w:val="24"/>
        </w:rPr>
        <w:t xml:space="preserve">Ea Nafarroako Gobernuaren eta </w:t>
      </w:r>
      <w:proofErr w:type="spellStart"/>
      <w:r>
        <w:rPr>
          <w:i/>
          <w:sz w:val="24"/>
        </w:rPr>
        <w:t>AUDENASAren</w:t>
      </w:r>
      <w:proofErr w:type="spellEnd"/>
      <w:r>
        <w:rPr>
          <w:i/>
          <w:sz w:val="24"/>
        </w:rPr>
        <w:t xml:space="preserve"> artean sinaturiko hitzarmenak legezkotasunari loturik ote dauden, trafiko-beherakada izanez gero.</w:t>
      </w:r>
    </w:p>
    <w:p w:rsidR="00580BF6" w:rsidRPr="00580BF6" w:rsidRDefault="00580BF6" w:rsidP="00580BF6">
      <w:pPr>
        <w:pStyle w:val="texto"/>
        <w:numPr>
          <w:ilvl w:val="0"/>
          <w:numId w:val="10"/>
        </w:numPr>
        <w:tabs>
          <w:tab w:val="clear" w:pos="2835"/>
          <w:tab w:val="clear" w:pos="3969"/>
          <w:tab w:val="clear" w:pos="5103"/>
          <w:tab w:val="clear" w:pos="6237"/>
          <w:tab w:val="clear" w:pos="7371"/>
          <w:tab w:val="left" w:pos="567"/>
        </w:tabs>
        <w:ind w:left="0" w:firstLine="284"/>
        <w:rPr>
          <w:i/>
          <w:sz w:val="24"/>
        </w:rPr>
      </w:pPr>
      <w:r>
        <w:rPr>
          <w:i/>
          <w:sz w:val="24"/>
        </w:rPr>
        <w:t xml:space="preserve">Ea Ekonomia eta Ogasun Departamentuak ematea eta </w:t>
      </w:r>
      <w:proofErr w:type="spellStart"/>
      <w:r>
        <w:rPr>
          <w:i/>
          <w:sz w:val="24"/>
        </w:rPr>
        <w:t>AUDENASAri</w:t>
      </w:r>
      <w:proofErr w:type="spellEnd"/>
      <w:r>
        <w:rPr>
          <w:i/>
          <w:sz w:val="24"/>
        </w:rPr>
        <w:t xml:space="preserve"> ordaintzea onartu duen aipatu faktura-zenbatekoa legediaren araberakoa ote den...".</w:t>
      </w:r>
    </w:p>
    <w:p w:rsidR="00580BF6" w:rsidRPr="00580BF6" w:rsidRDefault="00580BF6" w:rsidP="006C4DAC">
      <w:pPr>
        <w:pStyle w:val="texto"/>
        <w:tabs>
          <w:tab w:val="clear" w:pos="2835"/>
          <w:tab w:val="clear" w:pos="3969"/>
          <w:tab w:val="clear" w:pos="5103"/>
          <w:tab w:val="clear" w:pos="6237"/>
          <w:tab w:val="clear" w:pos="7371"/>
        </w:tabs>
        <w:rPr>
          <w:i/>
          <w:szCs w:val="26"/>
        </w:rPr>
      </w:pPr>
      <w:r>
        <w:t xml:space="preserve">Bestalde, Nafarroako Parlamentuak, 2021eko maiatzaren 13an eginiko Osoko Bilkuran, fiskalizazio finantzarioari eta legezkotasunari buruzko txosten berezi eta urgentea eg tea eskatu zuen, </w:t>
      </w:r>
      <w:r>
        <w:rPr>
          <w:i/>
          <w:iCs/>
        </w:rPr>
        <w:t>Nafarroako Gobernuak 2021eko otsail</w:t>
      </w:r>
      <w:r>
        <w:rPr>
          <w:i/>
          <w:iCs/>
        </w:rPr>
        <w:t>a</w:t>
      </w:r>
      <w:r>
        <w:rPr>
          <w:i/>
          <w:iCs/>
        </w:rPr>
        <w:t>ren 24an harturiko erabakiei buruzkoa</w:t>
      </w:r>
      <w:r>
        <w:t xml:space="preserve">, zeinen bidez ebazten baitzen Ekonomia eta Ogasun Departamentuaren eta </w:t>
      </w:r>
      <w:proofErr w:type="spellStart"/>
      <w:r>
        <w:t>Kontu-hartzailetza</w:t>
      </w:r>
      <w:proofErr w:type="spellEnd"/>
      <w:r>
        <w:t xml:space="preserve"> Nagusiaren artean sort</w:t>
      </w:r>
      <w:r>
        <w:t>u</w:t>
      </w:r>
      <w:r>
        <w:t xml:space="preserve">tako desadostasuna, Ekonomia eta Ogasun Departamentuak proposatutakoaren bidean; hots, </w:t>
      </w:r>
      <w:proofErr w:type="spellStart"/>
      <w:r>
        <w:t>Audenasak</w:t>
      </w:r>
      <w:proofErr w:type="spellEnd"/>
      <w:r>
        <w:t xml:space="preserve"> Ekonomia eta Ogasuneko kontseilariaren abenduaren 31ko 41E/2020 Foru Aginduaren aurka jarritako gora jotzeko errekurtsoa baie</w:t>
      </w:r>
      <w:r>
        <w:t>s</w:t>
      </w:r>
      <w:r>
        <w:t>tea. Agindu horrek 2020ko azaroko likidazioari zegokion faktura ordain zedila xedatu zuen, Nafarroako Gobernuak AP-15erako zeukan deskontu-politikarekin loturikoa."</w:t>
      </w:r>
    </w:p>
    <w:p w:rsidR="00580BF6" w:rsidRPr="00580BF6" w:rsidRDefault="00580BF6" w:rsidP="006B242C">
      <w:pPr>
        <w:pStyle w:val="texto"/>
        <w:numPr>
          <w:ilvl w:val="0"/>
          <w:numId w:val="10"/>
        </w:numPr>
        <w:tabs>
          <w:tab w:val="clear" w:pos="2835"/>
          <w:tab w:val="clear" w:pos="3969"/>
          <w:tab w:val="clear" w:pos="5103"/>
          <w:tab w:val="clear" w:pos="6237"/>
          <w:tab w:val="clear" w:pos="7371"/>
          <w:tab w:val="left" w:pos="567"/>
        </w:tabs>
        <w:spacing w:after="120"/>
        <w:ind w:left="0" w:firstLine="284"/>
        <w:rPr>
          <w:i/>
          <w:sz w:val="24"/>
        </w:rPr>
      </w:pPr>
    </w:p>
    <w:p w:rsidR="00580BF6" w:rsidRPr="00580BF6" w:rsidRDefault="00580BF6" w:rsidP="00580BF6">
      <w:pPr>
        <w:pStyle w:val="texto"/>
        <w:numPr>
          <w:ilvl w:val="0"/>
          <w:numId w:val="10"/>
        </w:numPr>
        <w:tabs>
          <w:tab w:val="clear" w:pos="2835"/>
          <w:tab w:val="clear" w:pos="3969"/>
          <w:tab w:val="clear" w:pos="5103"/>
          <w:tab w:val="clear" w:pos="6237"/>
          <w:tab w:val="clear" w:pos="7371"/>
          <w:tab w:val="left" w:pos="567"/>
        </w:tabs>
        <w:ind w:left="0" w:firstLine="284"/>
        <w:rPr>
          <w:i/>
          <w:sz w:val="24"/>
        </w:rPr>
      </w:pPr>
      <w:r>
        <w:rPr>
          <w:i/>
          <w:sz w:val="24"/>
        </w:rPr>
        <w:t xml:space="preserve">"Onestea </w:t>
      </w:r>
      <w:proofErr w:type="spellStart"/>
      <w:r>
        <w:rPr>
          <w:i/>
          <w:sz w:val="24"/>
        </w:rPr>
        <w:t>Audenasaren</w:t>
      </w:r>
      <w:proofErr w:type="spellEnd"/>
      <w:r>
        <w:rPr>
          <w:i/>
          <w:sz w:val="24"/>
        </w:rPr>
        <w:t xml:space="preserve"> ordezkaritzak Ekonomia eta Ogasuneko kontseilariaren abenduaren 31ko 41E/2020 Foru Aginduaren aurka jarritako gora jotzeko erreku</w:t>
      </w:r>
      <w:r>
        <w:rPr>
          <w:i/>
          <w:sz w:val="24"/>
        </w:rPr>
        <w:t>r</w:t>
      </w:r>
      <w:r>
        <w:rPr>
          <w:i/>
          <w:sz w:val="24"/>
        </w:rPr>
        <w:t>tsoa. Agindu horrek 2020ko azaroko likidazioari dagokion faktura ordain zedila x</w:t>
      </w:r>
      <w:r>
        <w:rPr>
          <w:i/>
          <w:sz w:val="24"/>
        </w:rPr>
        <w:t>e</w:t>
      </w:r>
      <w:r>
        <w:rPr>
          <w:i/>
          <w:sz w:val="24"/>
        </w:rPr>
        <w:t>datu zuen, Nafarroako Gobernuak AP-15erako zeukan deskontu-politika zela eta. Fakturaren zenbatekoa 6.284.728,28 eurokoa zen. Errekurtsoa jarri zaion foru agi</w:t>
      </w:r>
      <w:r>
        <w:rPr>
          <w:i/>
          <w:sz w:val="24"/>
        </w:rPr>
        <w:t>n</w:t>
      </w:r>
      <w:r>
        <w:rPr>
          <w:i/>
          <w:sz w:val="24"/>
        </w:rPr>
        <w:t xml:space="preserve">duan zehaztutako zenbatekoa dagoeneko ordaindu zaionez </w:t>
      </w:r>
      <w:proofErr w:type="spellStart"/>
      <w:r>
        <w:rPr>
          <w:i/>
          <w:sz w:val="24"/>
        </w:rPr>
        <w:t>Audenasari</w:t>
      </w:r>
      <w:proofErr w:type="spellEnd"/>
      <w:r>
        <w:rPr>
          <w:i/>
          <w:sz w:val="24"/>
        </w:rPr>
        <w:t>, gainerako zenbatekoa ordaindu behar da; hau da, 5.077.559,88 euro...".</w:t>
      </w:r>
    </w:p>
    <w:p w:rsidR="006C4DAC" w:rsidRPr="00902A4B" w:rsidRDefault="006C4DAC" w:rsidP="006C4DAC">
      <w:pPr>
        <w:pStyle w:val="texto"/>
        <w:tabs>
          <w:tab w:val="clear" w:pos="2835"/>
          <w:tab w:val="clear" w:pos="3969"/>
          <w:tab w:val="clear" w:pos="5103"/>
          <w:tab w:val="clear" w:pos="6237"/>
          <w:tab w:val="clear" w:pos="7371"/>
        </w:tabs>
        <w:rPr>
          <w:szCs w:val="26"/>
        </w:rPr>
      </w:pPr>
      <w:r>
        <w:t>Lan hori gehitu zitzaion Kontuen Ganberak 2021. urterako onetsi zuen u</w:t>
      </w:r>
      <w:r>
        <w:t>r</w:t>
      </w:r>
      <w:r>
        <w:t>teko fiskalizazioko programari, eta auditoretzako teknikari batek eta auditore batek osatutako taldeak egin du, Kontuen Ganberako zerbitzu juridiko, info</w:t>
      </w:r>
      <w:r>
        <w:t>r</w:t>
      </w:r>
      <w:r>
        <w:t>matiko eta administratiboen laguntzarekin, 2021eko maiatz eta ekainean.</w:t>
      </w:r>
    </w:p>
    <w:p w:rsidR="006C4DAC" w:rsidRDefault="006C4DAC" w:rsidP="006C4DAC">
      <w:pPr>
        <w:pStyle w:val="texto"/>
        <w:tabs>
          <w:tab w:val="clear" w:pos="2835"/>
          <w:tab w:val="clear" w:pos="3969"/>
          <w:tab w:val="clear" w:pos="5103"/>
          <w:tab w:val="clear" w:pos="6237"/>
          <w:tab w:val="clear" w:pos="7371"/>
        </w:tabs>
        <w:rPr>
          <w:szCs w:val="26"/>
        </w:rPr>
      </w:pPr>
      <w:r>
        <w:t>Txostenak lau atal dauzka, sarrera hau barne: bigarrenean deskribaturik d</w:t>
      </w:r>
      <w:r>
        <w:t>a</w:t>
      </w:r>
      <w:r>
        <w:t xml:space="preserve">toz </w:t>
      </w:r>
      <w:proofErr w:type="spellStart"/>
      <w:r>
        <w:t>Autopistas</w:t>
      </w:r>
      <w:proofErr w:type="spellEnd"/>
      <w:r>
        <w:t xml:space="preserve"> de Navarra SAri (aurrerantzean, "</w:t>
      </w:r>
      <w:proofErr w:type="spellStart"/>
      <w:r>
        <w:t>Audenasa</w:t>
      </w:r>
      <w:proofErr w:type="spellEnd"/>
      <w:r>
        <w:t xml:space="preserve">") Nafarroako Foru </w:t>
      </w:r>
      <w:r>
        <w:lastRenderedPageBreak/>
        <w:t>Komunitateko Administrazioak (aurrerantzean, NFKA) eginiko deskontueng</w:t>
      </w:r>
      <w:r>
        <w:t>a</w:t>
      </w:r>
      <w:r>
        <w:t>tiko konpentsazioarekin zerikusia duten alderdi orokorrak; hirugarrenak lan honen helburuak eta norainokoa biltzen ditu; eta laugarrenean erdietsitako ko</w:t>
      </w:r>
      <w:r>
        <w:t>n</w:t>
      </w:r>
      <w:r>
        <w:t>klusio eta gomendioak azaltzen dira.</w:t>
      </w:r>
    </w:p>
    <w:p w:rsidR="009A3D69" w:rsidRDefault="009A3D69" w:rsidP="009A3D69">
      <w:pPr>
        <w:pStyle w:val="texto"/>
        <w:tabs>
          <w:tab w:val="clear" w:pos="2835"/>
          <w:tab w:val="clear" w:pos="3969"/>
          <w:tab w:val="clear" w:pos="5103"/>
          <w:tab w:val="clear" w:pos="6237"/>
          <w:tab w:val="clear" w:pos="7371"/>
        </w:tabs>
      </w:pPr>
      <w:r>
        <w:t>Nafarroako Kontuen Ganbera arautzen duen 19/1984 Foru Legearen 11.2 a</w:t>
      </w:r>
      <w:r>
        <w:t>r</w:t>
      </w:r>
      <w:r>
        <w:t>tikuluan ezarritakoari jarraikiz, lan honen emaitzak honako kargu hauetan z</w:t>
      </w:r>
      <w:r>
        <w:t>i</w:t>
      </w:r>
      <w:r>
        <w:t>harduten pertsonei jakinarazi zitzaizkien, alegazioak aurkez zitzaten:</w:t>
      </w:r>
    </w:p>
    <w:p w:rsidR="009A3D69" w:rsidRPr="004B6A83" w:rsidRDefault="009A3D69" w:rsidP="009A3D69">
      <w:pPr>
        <w:pStyle w:val="texto"/>
        <w:numPr>
          <w:ilvl w:val="0"/>
          <w:numId w:val="29"/>
        </w:numPr>
        <w:tabs>
          <w:tab w:val="clear" w:pos="2835"/>
          <w:tab w:val="clear" w:pos="3969"/>
          <w:tab w:val="clear" w:pos="5103"/>
          <w:tab w:val="clear" w:pos="6237"/>
          <w:tab w:val="clear" w:pos="7371"/>
          <w:tab w:val="left" w:pos="480"/>
          <w:tab w:val="num" w:pos="600"/>
          <w:tab w:val="num" w:pos="720"/>
        </w:tabs>
        <w:ind w:left="0" w:firstLine="290"/>
      </w:pPr>
      <w:r>
        <w:t>Ekonomia eta Ogasun Departamentuko kontseilariari.</w:t>
      </w:r>
    </w:p>
    <w:p w:rsidR="009A3D69" w:rsidRDefault="009A3D69" w:rsidP="009A3D69">
      <w:pPr>
        <w:pStyle w:val="texto"/>
        <w:numPr>
          <w:ilvl w:val="0"/>
          <w:numId w:val="29"/>
        </w:numPr>
        <w:tabs>
          <w:tab w:val="clear" w:pos="2835"/>
          <w:tab w:val="clear" w:pos="3969"/>
          <w:tab w:val="clear" w:pos="5103"/>
          <w:tab w:val="clear" w:pos="6237"/>
          <w:tab w:val="clear" w:pos="7371"/>
          <w:tab w:val="left" w:pos="480"/>
          <w:tab w:val="num" w:pos="600"/>
          <w:tab w:val="num" w:pos="720"/>
        </w:tabs>
        <w:ind w:left="0" w:firstLine="290"/>
      </w:pPr>
      <w:proofErr w:type="spellStart"/>
      <w:r>
        <w:t>Autopistas</w:t>
      </w:r>
      <w:proofErr w:type="spellEnd"/>
      <w:r>
        <w:t xml:space="preserve"> de Navarra SAko kudeatzaileari.</w:t>
      </w:r>
    </w:p>
    <w:p w:rsidR="009A3D69" w:rsidRDefault="009A3D69" w:rsidP="009A3D69">
      <w:pPr>
        <w:pStyle w:val="texto"/>
        <w:tabs>
          <w:tab w:val="clear" w:pos="2835"/>
          <w:tab w:val="clear" w:pos="3969"/>
          <w:tab w:val="clear" w:pos="5103"/>
          <w:tab w:val="clear" w:pos="6237"/>
          <w:tab w:val="clear" w:pos="7371"/>
        </w:tabs>
      </w:pPr>
      <w:r>
        <w:t>Alegaziorik ez da aurkeztu; horrenbestez, txostena behin betikotzat jotzen da.</w:t>
      </w:r>
    </w:p>
    <w:p w:rsidR="004F2BA0" w:rsidRDefault="006C4DAC" w:rsidP="006C4DAC">
      <w:pPr>
        <w:pStyle w:val="texto"/>
        <w:tabs>
          <w:tab w:val="clear" w:pos="2835"/>
          <w:tab w:val="clear" w:pos="3969"/>
          <w:tab w:val="clear" w:pos="5103"/>
          <w:tab w:val="clear" w:pos="6237"/>
          <w:tab w:val="clear" w:pos="7371"/>
        </w:tabs>
        <w:rPr>
          <w:szCs w:val="26"/>
        </w:rPr>
      </w:pPr>
      <w:r>
        <w:t xml:space="preserve">Eskerrak ematen dizkiegu </w:t>
      </w:r>
      <w:proofErr w:type="spellStart"/>
      <w:r>
        <w:t>NFKAko</w:t>
      </w:r>
      <w:proofErr w:type="spellEnd"/>
      <w:r>
        <w:t xml:space="preserve"> langileei, </w:t>
      </w:r>
      <w:proofErr w:type="spellStart"/>
      <w:r>
        <w:t>lan</w:t>
      </w:r>
      <w:proofErr w:type="spellEnd"/>
      <w:r>
        <w:t xml:space="preserve"> hau egitean emandako l</w:t>
      </w:r>
      <w:r>
        <w:t>a</w:t>
      </w:r>
      <w:r>
        <w:t>guntzarengatik.</w:t>
      </w:r>
    </w:p>
    <w:p w:rsidR="00C20C16" w:rsidRDefault="00C20C16" w:rsidP="006C4DAC">
      <w:pPr>
        <w:pStyle w:val="texto"/>
        <w:tabs>
          <w:tab w:val="clear" w:pos="2835"/>
          <w:tab w:val="clear" w:pos="3969"/>
          <w:tab w:val="clear" w:pos="5103"/>
          <w:tab w:val="clear" w:pos="6237"/>
          <w:tab w:val="clear" w:pos="7371"/>
        </w:tabs>
        <w:rPr>
          <w:szCs w:val="26"/>
        </w:rPr>
      </w:pPr>
    </w:p>
    <w:p w:rsidR="00C20C16" w:rsidRDefault="00C20C16" w:rsidP="006C4DAC">
      <w:pPr>
        <w:pStyle w:val="texto"/>
        <w:tabs>
          <w:tab w:val="clear" w:pos="2835"/>
          <w:tab w:val="clear" w:pos="3969"/>
          <w:tab w:val="clear" w:pos="5103"/>
          <w:tab w:val="clear" w:pos="6237"/>
          <w:tab w:val="clear" w:pos="7371"/>
        </w:tabs>
        <w:rPr>
          <w:szCs w:val="26"/>
        </w:rPr>
      </w:pPr>
    </w:p>
    <w:p w:rsidR="004F2BA0" w:rsidRDefault="004F2BA0">
      <w:pPr>
        <w:spacing w:after="0"/>
        <w:ind w:firstLine="0"/>
        <w:jc w:val="left"/>
        <w:rPr>
          <w:spacing w:val="6"/>
          <w:sz w:val="26"/>
          <w:szCs w:val="26"/>
        </w:rPr>
      </w:pPr>
      <w:r>
        <w:br w:type="page"/>
      </w:r>
    </w:p>
    <w:p w:rsidR="006C4DAC" w:rsidRPr="001B054E" w:rsidRDefault="006C4DAC" w:rsidP="006C4DAC">
      <w:pPr>
        <w:pStyle w:val="atitulo1"/>
      </w:pPr>
      <w:bookmarkStart w:id="10" w:name="_Toc121292759"/>
      <w:bookmarkStart w:id="11" w:name="_Toc121293082"/>
      <w:bookmarkStart w:id="12" w:name="_Toc291067875"/>
      <w:bookmarkStart w:id="13" w:name="_Toc432757079"/>
      <w:bookmarkStart w:id="14" w:name="_Toc447195011"/>
      <w:bookmarkStart w:id="15" w:name="_Toc499802363"/>
      <w:bookmarkStart w:id="16" w:name="_Toc511907526"/>
      <w:bookmarkStart w:id="17" w:name="_Toc67394575"/>
      <w:bookmarkStart w:id="18" w:name="_Toc78530034"/>
      <w:r>
        <w:lastRenderedPageBreak/>
        <w:t xml:space="preserve">II. </w:t>
      </w:r>
      <w:bookmarkEnd w:id="10"/>
      <w:bookmarkEnd w:id="11"/>
      <w:bookmarkEnd w:id="12"/>
      <w:bookmarkEnd w:id="13"/>
      <w:bookmarkEnd w:id="14"/>
      <w:bookmarkEnd w:id="15"/>
      <w:bookmarkEnd w:id="16"/>
      <w:bookmarkEnd w:id="17"/>
      <w:r>
        <w:t xml:space="preserve">Politika komertzialetik eratorritako deskontuak direla-eta Nafarroako Foru Komunitateko Administrazioak </w:t>
      </w:r>
      <w:proofErr w:type="spellStart"/>
      <w:r>
        <w:t>Audenasari</w:t>
      </w:r>
      <w:proofErr w:type="spellEnd"/>
      <w:r>
        <w:t xml:space="preserve"> eginiko konpentsazioa</w:t>
      </w:r>
      <w:bookmarkEnd w:id="18"/>
      <w:r>
        <w:t xml:space="preserve"> </w:t>
      </w:r>
    </w:p>
    <w:p w:rsidR="006C4DAC" w:rsidRPr="003A16AF" w:rsidRDefault="003A16AF" w:rsidP="003A16AF">
      <w:pPr>
        <w:pStyle w:val="texto"/>
        <w:ind w:firstLine="0"/>
        <w:rPr>
          <w:rFonts w:ascii="Arial" w:hAnsi="Arial"/>
          <w:i/>
          <w:iCs/>
          <w:color w:val="000000"/>
          <w:spacing w:val="10"/>
          <w:kern w:val="28"/>
          <w:sz w:val="25"/>
          <w:szCs w:val="26"/>
        </w:rPr>
      </w:pPr>
      <w:proofErr w:type="spellStart"/>
      <w:r>
        <w:rPr>
          <w:rFonts w:ascii="Arial" w:hAnsi="Arial"/>
          <w:i/>
          <w:iCs/>
          <w:color w:val="000000"/>
          <w:sz w:val="25"/>
          <w:szCs w:val="26"/>
        </w:rPr>
        <w:t>Audenasari</w:t>
      </w:r>
      <w:proofErr w:type="spellEnd"/>
      <w:r>
        <w:rPr>
          <w:rFonts w:ascii="Arial" w:hAnsi="Arial"/>
          <w:i/>
          <w:iCs/>
          <w:color w:val="000000"/>
          <w:sz w:val="25"/>
          <w:szCs w:val="26"/>
        </w:rPr>
        <w:t xml:space="preserve"> eginiko deskontuengatiko konpentsazioaren alderdi orokorrak </w:t>
      </w:r>
    </w:p>
    <w:p w:rsidR="00434D41" w:rsidRDefault="00434D41" w:rsidP="00A35291">
      <w:pPr>
        <w:pStyle w:val="texto"/>
        <w:rPr>
          <w:szCs w:val="26"/>
        </w:rPr>
      </w:pPr>
      <w:r>
        <w:t xml:space="preserve">2013ko ekainean, Kontuen Ganberak txosten bat egin zuen </w:t>
      </w:r>
      <w:proofErr w:type="spellStart"/>
      <w:r>
        <w:t>Audenasak</w:t>
      </w:r>
      <w:proofErr w:type="spellEnd"/>
      <w:r>
        <w:t xml:space="preserve"> 2003-2012 epean izandako politika komertzialari buruz. Txosten horretan, "</w:t>
      </w:r>
      <w:proofErr w:type="spellStart"/>
      <w:r>
        <w:t>Irurtzun-Ebroko</w:t>
      </w:r>
      <w:proofErr w:type="spellEnd"/>
      <w:r>
        <w:t xml:space="preserve"> autobidearekiko lotunea" bidesaridun AP-15 autobidearen ezaugarri orokorrak aztertu ziren. Horietako muntadunenak aipatuko ditugu, geroztik s</w:t>
      </w:r>
      <w:r>
        <w:t>u</w:t>
      </w:r>
      <w:r>
        <w:t>ertatu diren beste batzuekin batera:</w:t>
      </w:r>
    </w:p>
    <w:p w:rsidR="00434D41" w:rsidRDefault="002F5AF1" w:rsidP="00434D41">
      <w:pPr>
        <w:pStyle w:val="texto"/>
        <w:numPr>
          <w:ilvl w:val="0"/>
          <w:numId w:val="10"/>
        </w:numPr>
        <w:tabs>
          <w:tab w:val="clear" w:pos="2835"/>
          <w:tab w:val="clear" w:pos="3969"/>
          <w:tab w:val="clear" w:pos="5103"/>
          <w:tab w:val="clear" w:pos="6237"/>
          <w:tab w:val="clear" w:pos="7371"/>
          <w:tab w:val="left" w:pos="567"/>
        </w:tabs>
        <w:ind w:left="0" w:firstLine="284"/>
        <w:rPr>
          <w:szCs w:val="26"/>
        </w:rPr>
      </w:pPr>
      <w:r>
        <w:t xml:space="preserve">Autobidea eraiki zen Nafarroako Foru Diputazioak emakida eginez </w:t>
      </w:r>
      <w:proofErr w:type="spellStart"/>
      <w:r>
        <w:t>Aud</w:t>
      </w:r>
      <w:r>
        <w:t>e</w:t>
      </w:r>
      <w:r>
        <w:t>nasari</w:t>
      </w:r>
      <w:proofErr w:type="spellEnd"/>
      <w:r>
        <w:t>, zeina 1973an kapital pribatuz eraturiko sozietatea baita. Emakida dela-eta, obrak eta mantentze-lana emakidadunaren kontu egiten dira, eta hark jas</w:t>
      </w:r>
      <w:r>
        <w:t>o</w:t>
      </w:r>
      <w:r>
        <w:t>tzen duen ordaina autobidearen erabiltzaileei kobraturiko tarifek osatzen dute. Eragiketa-arriskua emakidadunaren gain ipintzen da.</w:t>
      </w:r>
    </w:p>
    <w:p w:rsidR="00434D41" w:rsidRDefault="00434D41" w:rsidP="00434D41">
      <w:pPr>
        <w:pStyle w:val="texto"/>
        <w:numPr>
          <w:ilvl w:val="0"/>
          <w:numId w:val="10"/>
        </w:numPr>
        <w:tabs>
          <w:tab w:val="clear" w:pos="2835"/>
          <w:tab w:val="clear" w:pos="3969"/>
          <w:tab w:val="clear" w:pos="5103"/>
          <w:tab w:val="clear" w:pos="6237"/>
          <w:tab w:val="clear" w:pos="7371"/>
          <w:tab w:val="left" w:pos="567"/>
        </w:tabs>
        <w:ind w:left="0" w:firstLine="284"/>
        <w:rPr>
          <w:szCs w:val="26"/>
        </w:rPr>
      </w:pPr>
      <w:r>
        <w:t xml:space="preserve">1984an, </w:t>
      </w:r>
      <w:proofErr w:type="spellStart"/>
      <w:r>
        <w:t>Audenasaren</w:t>
      </w:r>
      <w:proofErr w:type="spellEnd"/>
      <w:r>
        <w:t xml:space="preserve"> kapital sozialaren % 50 </w:t>
      </w:r>
      <w:proofErr w:type="spellStart"/>
      <w:r>
        <w:t>NFKArena</w:t>
      </w:r>
      <w:proofErr w:type="spellEnd"/>
      <w:r>
        <w:t xml:space="preserve"> izatera pasa zen, eta 2010ean erabaki zen Nafarroako Enpresa Korporazio Publikoari atxikia iz</w:t>
      </w:r>
      <w:r>
        <w:t>a</w:t>
      </w:r>
      <w:r>
        <w:t>tea.</w:t>
      </w:r>
    </w:p>
    <w:p w:rsidR="00434D41" w:rsidRDefault="00434D41" w:rsidP="00434D41">
      <w:pPr>
        <w:pStyle w:val="texto"/>
        <w:numPr>
          <w:ilvl w:val="0"/>
          <w:numId w:val="10"/>
        </w:numPr>
        <w:tabs>
          <w:tab w:val="clear" w:pos="2835"/>
          <w:tab w:val="clear" w:pos="3969"/>
          <w:tab w:val="clear" w:pos="5103"/>
          <w:tab w:val="clear" w:pos="6237"/>
          <w:tab w:val="clear" w:pos="7371"/>
          <w:tab w:val="left" w:pos="567"/>
        </w:tabs>
        <w:ind w:left="0" w:firstLine="284"/>
        <w:rPr>
          <w:szCs w:val="26"/>
        </w:rPr>
      </w:pPr>
      <w:r>
        <w:t xml:space="preserve">AP-15aren kontserbazio eta ustiapenaren emakida </w:t>
      </w:r>
      <w:proofErr w:type="spellStart"/>
      <w:r>
        <w:t>Audenasari</w:t>
      </w:r>
      <w:proofErr w:type="spellEnd"/>
      <w:r>
        <w:t xml:space="preserve"> eman z</w:t>
      </w:r>
      <w:r>
        <w:t>i</w:t>
      </w:r>
      <w:r>
        <w:t>tzaizkion 2014ra arte. 1997an, epe hori 2029ra arte luzatu zen.</w:t>
      </w:r>
    </w:p>
    <w:p w:rsidR="00434D41" w:rsidRDefault="00434D41" w:rsidP="00434D41">
      <w:pPr>
        <w:pStyle w:val="texto"/>
        <w:numPr>
          <w:ilvl w:val="0"/>
          <w:numId w:val="10"/>
        </w:numPr>
        <w:tabs>
          <w:tab w:val="clear" w:pos="2835"/>
          <w:tab w:val="clear" w:pos="3969"/>
          <w:tab w:val="clear" w:pos="5103"/>
          <w:tab w:val="clear" w:pos="6237"/>
          <w:tab w:val="clear" w:pos="7371"/>
          <w:tab w:val="left" w:pos="567"/>
        </w:tabs>
        <w:ind w:left="0" w:firstLine="284"/>
        <w:rPr>
          <w:szCs w:val="26"/>
        </w:rPr>
      </w:pPr>
      <w:r>
        <w:t>Autobideak emakida-araubidean eraiki, kontserbatu eta ustiatzeari b</w:t>
      </w:r>
      <w:r>
        <w:t>u</w:t>
      </w:r>
      <w:r>
        <w:t>ruzko maiatzaren 10eko 8/1972 Legeak aurreikusitakoari jarraikiz, "Gobernu</w:t>
      </w:r>
      <w:r>
        <w:t>a</w:t>
      </w:r>
      <w:r>
        <w:t>ren delegazioa" deritzon figura dator jasota AP-15aren emakida arautzen duen pleguan, sozietate emakidadunarekin aritzeko organo gisa; halaber jasotzen dira horren eginkizunak ere, zeinen artean baitago autobidearen erabiltzaileei eg</w:t>
      </w:r>
      <w:r>
        <w:t>i</w:t>
      </w:r>
      <w:r>
        <w:t xml:space="preserve">niko deskontuak konpentsatze aldera </w:t>
      </w:r>
      <w:proofErr w:type="spellStart"/>
      <w:r>
        <w:t>NFKAk</w:t>
      </w:r>
      <w:proofErr w:type="spellEnd"/>
      <w:r>
        <w:t xml:space="preserve"> emakidadunari egin beharreko ekarpena zehazten duten kalkuluak aztertu, berrikusi eta kontrolatzekoa. </w:t>
      </w:r>
    </w:p>
    <w:p w:rsidR="00434D41" w:rsidRDefault="00434D41" w:rsidP="00434D41">
      <w:pPr>
        <w:pStyle w:val="texto"/>
        <w:tabs>
          <w:tab w:val="clear" w:pos="2835"/>
          <w:tab w:val="clear" w:pos="3969"/>
          <w:tab w:val="clear" w:pos="5103"/>
          <w:tab w:val="clear" w:pos="6237"/>
          <w:tab w:val="clear" w:pos="7371"/>
          <w:tab w:val="left" w:pos="567"/>
        </w:tabs>
        <w:ind w:firstLine="426"/>
        <w:rPr>
          <w:szCs w:val="26"/>
        </w:rPr>
      </w:pPr>
      <w:r>
        <w:t>Ganberaren txostenak halaber aztertzen zuen autobidean aplikaturiko de</w:t>
      </w:r>
      <w:r>
        <w:t>s</w:t>
      </w:r>
      <w:r>
        <w:t xml:space="preserve">kontuen politika komertziala eta </w:t>
      </w:r>
      <w:proofErr w:type="spellStart"/>
      <w:r>
        <w:t>NFKAk</w:t>
      </w:r>
      <w:proofErr w:type="spellEnd"/>
      <w:r>
        <w:t xml:space="preserve"> ordaindu beharreko konpentsazioa. Hona aipatu azterketatik nabarmentzen ditugun puntuak:</w:t>
      </w:r>
    </w:p>
    <w:p w:rsidR="002A0C45" w:rsidRDefault="00000991" w:rsidP="00000CD6">
      <w:pPr>
        <w:pStyle w:val="texto"/>
        <w:numPr>
          <w:ilvl w:val="0"/>
          <w:numId w:val="10"/>
        </w:numPr>
        <w:tabs>
          <w:tab w:val="clear" w:pos="2835"/>
          <w:tab w:val="clear" w:pos="3969"/>
          <w:tab w:val="clear" w:pos="5103"/>
          <w:tab w:val="clear" w:pos="6237"/>
          <w:tab w:val="clear" w:pos="7371"/>
          <w:tab w:val="left" w:pos="567"/>
        </w:tabs>
        <w:ind w:left="0" w:firstLine="284"/>
        <w:rPr>
          <w:szCs w:val="26"/>
        </w:rPr>
      </w:pPr>
      <w:r>
        <w:t>Erabakitako deskontu-politikaren helburu nagusiak izan ziren kostu-merkatzea ahalbidetzea autobidearen ohiko erabiltzaileentzat, errepide jakin b</w:t>
      </w:r>
      <w:r>
        <w:t>a</w:t>
      </w:r>
      <w:r>
        <w:t xml:space="preserve">tzuk zirkulazioz arintzea eta ibilgailuen </w:t>
      </w:r>
      <w:proofErr w:type="spellStart"/>
      <w:r>
        <w:t>autobideratzea</w:t>
      </w:r>
      <w:proofErr w:type="spellEnd"/>
      <w:r>
        <w:t xml:space="preserve"> sustatzea, batez ere ibi</w:t>
      </w:r>
      <w:r>
        <w:t>l</w:t>
      </w:r>
      <w:r>
        <w:t>gailu astunena.</w:t>
      </w:r>
    </w:p>
    <w:p w:rsidR="002A0C45" w:rsidRDefault="002A0C45">
      <w:pPr>
        <w:spacing w:after="0"/>
        <w:ind w:firstLine="0"/>
        <w:jc w:val="left"/>
        <w:rPr>
          <w:spacing w:val="6"/>
          <w:sz w:val="26"/>
          <w:szCs w:val="26"/>
        </w:rPr>
      </w:pPr>
      <w:r>
        <w:br w:type="page"/>
      </w:r>
    </w:p>
    <w:p w:rsidR="00434D41" w:rsidRDefault="00434D41" w:rsidP="004C7591">
      <w:pPr>
        <w:pStyle w:val="texto"/>
        <w:numPr>
          <w:ilvl w:val="0"/>
          <w:numId w:val="10"/>
        </w:numPr>
        <w:tabs>
          <w:tab w:val="clear" w:pos="2835"/>
          <w:tab w:val="clear" w:pos="3969"/>
          <w:tab w:val="clear" w:pos="5103"/>
          <w:tab w:val="clear" w:pos="6237"/>
          <w:tab w:val="clear" w:pos="7371"/>
          <w:tab w:val="left" w:pos="567"/>
        </w:tabs>
        <w:spacing w:after="120"/>
        <w:ind w:left="0" w:firstLine="284"/>
        <w:rPr>
          <w:szCs w:val="26"/>
        </w:rPr>
      </w:pPr>
      <w:r>
        <w:lastRenderedPageBreak/>
        <w:t xml:space="preserve">1999ko maiatzeko hitzarmenean ezartzen denez, </w:t>
      </w:r>
      <w:proofErr w:type="spellStart"/>
      <w:r>
        <w:t>NFKAk</w:t>
      </w:r>
      <w:proofErr w:type="spellEnd"/>
      <w:r>
        <w:t xml:space="preserve"> </w:t>
      </w:r>
      <w:proofErr w:type="spellStart"/>
      <w:r>
        <w:t>Audenasari</w:t>
      </w:r>
      <w:proofErr w:type="spellEnd"/>
      <w:r>
        <w:t xml:space="preserve"> ko</w:t>
      </w:r>
      <w:r>
        <w:t>n</w:t>
      </w:r>
      <w:r>
        <w:t>pentsazioa helaraziko dio, urtero kopuru bat ordaindurik, zeina izanen baita urte bakoitzerako aurreikusitako diru-bilketa teorikoaren eta diru-bilketa erre</w:t>
      </w:r>
      <w:r>
        <w:t>a</w:t>
      </w:r>
      <w:r>
        <w:t>laren arteko aldea bezainbestekoa, formula bati jarraiturik, geroago aldatu eg</w:t>
      </w:r>
      <w:r>
        <w:t>i</w:t>
      </w:r>
      <w:r>
        <w:t>ten dena, alderdiek 2007an iritsitako akordio baten bidez. Gaur egun indarrean dagoen formula adostua, 2009az geroztik aplikatua, honako hau da:</w:t>
      </w:r>
    </w:p>
    <w:p w:rsidR="003A16AF" w:rsidRDefault="003A16AF" w:rsidP="003A16AF">
      <w:pPr>
        <w:pStyle w:val="texto"/>
        <w:tabs>
          <w:tab w:val="clear" w:pos="2835"/>
          <w:tab w:val="clear" w:pos="3969"/>
          <w:tab w:val="clear" w:pos="5103"/>
          <w:tab w:val="clear" w:pos="6237"/>
          <w:tab w:val="clear" w:pos="7371"/>
          <w:tab w:val="left" w:pos="567"/>
        </w:tabs>
        <w:ind w:left="284" w:firstLine="0"/>
        <w:jc w:val="left"/>
        <w:rPr>
          <w:szCs w:val="26"/>
        </w:rPr>
      </w:pPr>
      <w:r>
        <w:rPr>
          <w:noProof/>
          <w:lang w:val="es-ES" w:eastAsia="es-ES"/>
        </w:rPr>
        <w:drawing>
          <wp:inline distT="0" distB="0" distL="0" distR="0" wp14:anchorId="7EA5CEDF" wp14:editId="68807F17">
            <wp:extent cx="4086225" cy="4381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3824" t="19048" r="12954" b="24207"/>
                    <a:stretch/>
                  </pic:blipFill>
                  <pic:spPr bwMode="auto">
                    <a:xfrm>
                      <a:off x="0" y="0"/>
                      <a:ext cx="4086225" cy="438150"/>
                    </a:xfrm>
                    <a:prstGeom prst="rect">
                      <a:avLst/>
                    </a:prstGeom>
                    <a:ln>
                      <a:noFill/>
                    </a:ln>
                    <a:extLst>
                      <a:ext uri="{53640926-AAD7-44D8-BBD7-CCE9431645EC}">
                        <a14:shadowObscured xmlns:a14="http://schemas.microsoft.com/office/drawing/2010/main"/>
                      </a:ext>
                    </a:extLst>
                  </pic:spPr>
                </pic:pic>
              </a:graphicData>
            </a:graphic>
          </wp:inline>
        </w:drawing>
      </w:r>
      <w:r>
        <w:rPr>
          <w:noProof/>
          <w:lang w:val="es-ES" w:eastAsia="es-ES"/>
        </w:rPr>
        <w:drawing>
          <wp:inline distT="0" distB="0" distL="0" distR="0" wp14:anchorId="53F5D8CD" wp14:editId="04A7814B">
            <wp:extent cx="5548630" cy="16859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3174"/>
                    <a:stretch/>
                  </pic:blipFill>
                  <pic:spPr bwMode="auto">
                    <a:xfrm>
                      <a:off x="0" y="0"/>
                      <a:ext cx="5638100" cy="1713110"/>
                    </a:xfrm>
                    <a:prstGeom prst="rect">
                      <a:avLst/>
                    </a:prstGeom>
                    <a:ln>
                      <a:noFill/>
                    </a:ln>
                    <a:extLst>
                      <a:ext uri="{53640926-AAD7-44D8-BBD7-CCE9431645EC}">
                        <a14:shadowObscured xmlns:a14="http://schemas.microsoft.com/office/drawing/2010/main"/>
                      </a:ext>
                    </a:extLst>
                  </pic:spPr>
                </pic:pic>
              </a:graphicData>
            </a:graphic>
          </wp:inline>
        </w:drawing>
      </w:r>
    </w:p>
    <w:p w:rsidR="004E1D46" w:rsidRPr="004E1D46" w:rsidRDefault="00834780" w:rsidP="004E1D46">
      <w:pPr>
        <w:pStyle w:val="texto"/>
        <w:numPr>
          <w:ilvl w:val="0"/>
          <w:numId w:val="10"/>
        </w:numPr>
        <w:tabs>
          <w:tab w:val="clear" w:pos="2835"/>
          <w:tab w:val="clear" w:pos="3969"/>
          <w:tab w:val="clear" w:pos="5103"/>
          <w:tab w:val="clear" w:pos="6237"/>
          <w:tab w:val="clear" w:pos="7371"/>
          <w:tab w:val="left" w:pos="567"/>
        </w:tabs>
        <w:spacing w:after="120"/>
        <w:ind w:left="0" w:firstLine="284"/>
        <w:rPr>
          <w:szCs w:val="26"/>
        </w:rPr>
      </w:pPr>
      <w:r>
        <w:t xml:space="preserve">Emakida-kontratua aldatze aldera alderdiek 2007ko maiatzean iritsitako akordioan ezarri zen, besteak </w:t>
      </w:r>
      <w:proofErr w:type="spellStart"/>
      <w:r>
        <w:t>beste</w:t>
      </w:r>
      <w:proofErr w:type="spellEnd"/>
      <w:r>
        <w:t>, konpentsazio-likidazioaren aldia urte b</w:t>
      </w:r>
      <w:r>
        <w:t>a</w:t>
      </w:r>
      <w:r>
        <w:t>koitzeko urtarrilaren 1etik abenduaren 31ra artekoa izanen zela. Halaber adi</w:t>
      </w:r>
      <w:r>
        <w:t>e</w:t>
      </w:r>
      <w:r>
        <w:t>razten da hileko fakturek konturako aurrerakinaren izaera izanen dutela, eta abendukoa likidazio-faktura izanen da, urtealdikoa edo amaierakoa izanen dena, eta bertan zehaztuko da ezarritako deskontu-politikaren ondoriozko ko</w:t>
      </w:r>
      <w:r>
        <w:t>n</w:t>
      </w:r>
      <w:r>
        <w:t>pentsazio gisa ordainkizun suertatzen den zenbatekoa.</w:t>
      </w:r>
    </w:p>
    <w:p w:rsidR="004E1D46" w:rsidRPr="004E1D46" w:rsidRDefault="004E1D46" w:rsidP="004E1D46">
      <w:pPr>
        <w:pStyle w:val="texto"/>
        <w:tabs>
          <w:tab w:val="clear" w:pos="2835"/>
          <w:tab w:val="clear" w:pos="3969"/>
          <w:tab w:val="clear" w:pos="5103"/>
          <w:tab w:val="clear" w:pos="6237"/>
          <w:tab w:val="clear" w:pos="7371"/>
          <w:tab w:val="left" w:pos="567"/>
        </w:tabs>
        <w:rPr>
          <w:szCs w:val="26"/>
        </w:rPr>
      </w:pPr>
      <w:r>
        <w:t xml:space="preserve">Halaber ezartzen da ezen, epe bakoitzaren ondoko lehen 15 egunetan, </w:t>
      </w:r>
      <w:proofErr w:type="spellStart"/>
      <w:r>
        <w:t>Aud</w:t>
      </w:r>
      <w:r>
        <w:t>e</w:t>
      </w:r>
      <w:r>
        <w:t>nasak</w:t>
      </w:r>
      <w:proofErr w:type="spellEnd"/>
      <w:r>
        <w:t xml:space="preserve"> kasuko faktura aurkeztuko diola </w:t>
      </w:r>
      <w:proofErr w:type="spellStart"/>
      <w:r>
        <w:t>NFKAri</w:t>
      </w:r>
      <w:proofErr w:type="spellEnd"/>
      <w:r>
        <w:t>, zeina ordainduko baita aplik</w:t>
      </w:r>
      <w:r>
        <w:t>a</w:t>
      </w:r>
      <w:r>
        <w:t>tzekoa den araudiak aurreikusten dituen epeetan.</w:t>
      </w:r>
    </w:p>
    <w:p w:rsidR="00763F7D" w:rsidRPr="00763F7D" w:rsidRDefault="0000205E" w:rsidP="00646970">
      <w:pPr>
        <w:pStyle w:val="texto"/>
        <w:numPr>
          <w:ilvl w:val="0"/>
          <w:numId w:val="10"/>
        </w:numPr>
        <w:tabs>
          <w:tab w:val="clear" w:pos="2835"/>
          <w:tab w:val="clear" w:pos="3969"/>
          <w:tab w:val="clear" w:pos="5103"/>
          <w:tab w:val="clear" w:pos="6237"/>
          <w:tab w:val="clear" w:pos="7371"/>
          <w:tab w:val="left" w:pos="567"/>
        </w:tabs>
        <w:spacing w:after="120"/>
        <w:ind w:left="0" w:firstLine="284"/>
        <w:rPr>
          <w:szCs w:val="26"/>
        </w:rPr>
      </w:pPr>
      <w:r>
        <w:t>1973an autobidearen emakidarako kontratua sinatzean, Plan Ekonomiko Finantzario bat onetsi zen (PEF, aurrerantzean), zeinean aurreikusten baitziren emakidaren amaiera arterainoko magnitude ekonomiko nagusiak eta emakid</w:t>
      </w:r>
      <w:r>
        <w:t>a</w:t>
      </w:r>
      <w:r>
        <w:t>ren bilakaera aurreikusgarria jasotzen baitzen, taxuzko moduan bermatzearren, epe luzeko aurreikuspen orok berezkoa duen ziurgabetasunaz bada ere, emak</w:t>
      </w:r>
      <w:r>
        <w:t>i</w:t>
      </w:r>
      <w:r>
        <w:t xml:space="preserve">daren bideragarritasuna eta oreka </w:t>
      </w:r>
      <w:proofErr w:type="spellStart"/>
      <w:r>
        <w:t>ekonomiko-finantzarioaren</w:t>
      </w:r>
      <w:proofErr w:type="spellEnd"/>
      <w:r>
        <w:t xml:space="preserve"> mantentzea.</w:t>
      </w:r>
    </w:p>
    <w:p w:rsidR="004919FC" w:rsidRDefault="0000205E" w:rsidP="00F15075">
      <w:pPr>
        <w:pStyle w:val="texto"/>
        <w:tabs>
          <w:tab w:val="clear" w:pos="2835"/>
          <w:tab w:val="clear" w:pos="3969"/>
          <w:tab w:val="clear" w:pos="5103"/>
          <w:tab w:val="clear" w:pos="6237"/>
          <w:tab w:val="clear" w:pos="7371"/>
          <w:tab w:val="left" w:pos="567"/>
        </w:tabs>
        <w:spacing w:after="120"/>
        <w:rPr>
          <w:szCs w:val="26"/>
        </w:rPr>
      </w:pPr>
      <w:r>
        <w:t xml:space="preserve">Gobernuaren erabaki bidez 1997ko abenduan, 2000ko otsailean, 2007ko ekainean eta 2008ko otsailean emakida-kontraturako onetsitako aldaketetan, PEF berriak onetsi ziren, horietarako arrazoiak izanik, besteak </w:t>
      </w:r>
      <w:proofErr w:type="spellStart"/>
      <w:r>
        <w:t>beste</w:t>
      </w:r>
      <w:proofErr w:type="spellEnd"/>
      <w:r>
        <w:t xml:space="preserve">, tarifa-beherakada, kontabilitate-irizpideetako aldaketak, egiazko trafiko-mailak eta abar. </w:t>
      </w:r>
    </w:p>
    <w:p w:rsidR="00F15075" w:rsidRDefault="0000205E" w:rsidP="00F15075">
      <w:pPr>
        <w:pStyle w:val="texto"/>
        <w:tabs>
          <w:tab w:val="clear" w:pos="2835"/>
          <w:tab w:val="clear" w:pos="3969"/>
          <w:tab w:val="clear" w:pos="5103"/>
          <w:tab w:val="clear" w:pos="6237"/>
          <w:tab w:val="clear" w:pos="7371"/>
          <w:tab w:val="left" w:pos="567"/>
        </w:tabs>
        <w:spacing w:after="120"/>
        <w:rPr>
          <w:szCs w:val="26"/>
        </w:rPr>
      </w:pPr>
      <w:r>
        <w:lastRenderedPageBreak/>
        <w:t>2014ko irailean, Administrazio Kontseiluak PEF berri bat onetsi zuen 2014-2029 eperako, gaur egun indarrean dagoena eta urte horretan bertan Gobernu</w:t>
      </w:r>
      <w:r>
        <w:t>a</w:t>
      </w:r>
      <w:r>
        <w:t xml:space="preserve">ren azaroko erabaki baten bidez berretsia izan zena. </w:t>
      </w:r>
    </w:p>
    <w:p w:rsidR="00F36C25" w:rsidRDefault="00F36C25" w:rsidP="00F36C25">
      <w:pPr>
        <w:pStyle w:val="texto"/>
        <w:tabs>
          <w:tab w:val="clear" w:pos="2835"/>
          <w:tab w:val="clear" w:pos="3969"/>
          <w:tab w:val="clear" w:pos="5103"/>
          <w:tab w:val="clear" w:pos="6237"/>
          <w:tab w:val="clear" w:pos="7371"/>
          <w:tab w:val="left" w:pos="567"/>
        </w:tabs>
        <w:spacing w:after="120"/>
        <w:rPr>
          <w:szCs w:val="26"/>
        </w:rPr>
      </w:pPr>
      <w:r>
        <w:t xml:space="preserve">Erabaki horren bigarren puntuak ezartzen du </w:t>
      </w:r>
      <w:proofErr w:type="spellStart"/>
      <w:r>
        <w:t>Audenasak</w:t>
      </w:r>
      <w:proofErr w:type="spellEnd"/>
      <w:r>
        <w:t xml:space="preserve"> urtero </w:t>
      </w:r>
      <w:proofErr w:type="spellStart"/>
      <w:r>
        <w:t>PEFaren</w:t>
      </w:r>
      <w:proofErr w:type="spellEnd"/>
      <w:r>
        <w:t xml:space="preserve"> eguneraketa bat prestatuko duela, hipotesi edo aldagairik garrantzitsuenen bil</w:t>
      </w:r>
      <w:r>
        <w:t>a</w:t>
      </w:r>
      <w:r>
        <w:t xml:space="preserve">kaera errealari erreparatuta eta balizko </w:t>
      </w:r>
      <w:proofErr w:type="spellStart"/>
      <w:r>
        <w:t>desbideraketak</w:t>
      </w:r>
      <w:proofErr w:type="spellEnd"/>
      <w:r>
        <w:t xml:space="preserve"> zehaztuta, eta Naf</w:t>
      </w:r>
      <w:r>
        <w:t>a</w:t>
      </w:r>
      <w:r>
        <w:t xml:space="preserve">rroako Gobernuak </w:t>
      </w:r>
      <w:proofErr w:type="spellStart"/>
      <w:r>
        <w:t>Audenasan</w:t>
      </w:r>
      <w:proofErr w:type="spellEnd"/>
      <w:r>
        <w:t xml:space="preserve"> daukan Delegazioari igorriko diola.</w:t>
      </w:r>
    </w:p>
    <w:p w:rsidR="00763F7D" w:rsidRDefault="00763F7D" w:rsidP="00763F7D">
      <w:pPr>
        <w:pStyle w:val="texto"/>
        <w:rPr>
          <w:szCs w:val="26"/>
        </w:rPr>
      </w:pPr>
      <w:r>
        <w:t>2020ko martxoan Osasunaren Mundu Erakundeak nazioarteko pandemia izendatu zuen urte horretako urtarrilean deklaratutako osasun publikoko larria</w:t>
      </w:r>
      <w:r>
        <w:t>l</w:t>
      </w:r>
      <w:r>
        <w:t>dia, COVID-19ak eragindakoa. Izan ere, gaitzaren hedapena arrisku bat zen h</w:t>
      </w:r>
      <w:r>
        <w:t>e</w:t>
      </w:r>
      <w:r>
        <w:t>rrialdeetako osasun publikoarentzat, eta nazioarteko erantzun koordinatua esk</w:t>
      </w:r>
      <w:r>
        <w:t>a</w:t>
      </w:r>
      <w:r>
        <w:t>tzen zuen.</w:t>
      </w:r>
    </w:p>
    <w:p w:rsidR="00763F7D" w:rsidRDefault="00763F7D" w:rsidP="00763F7D">
      <w:pPr>
        <w:pStyle w:val="texto"/>
        <w:tabs>
          <w:tab w:val="clear" w:pos="2835"/>
          <w:tab w:val="clear" w:pos="3969"/>
          <w:tab w:val="clear" w:pos="5103"/>
          <w:tab w:val="clear" w:pos="6237"/>
          <w:tab w:val="clear" w:pos="7371"/>
          <w:tab w:val="left" w:pos="567"/>
        </w:tabs>
        <w:spacing w:after="120"/>
        <w:rPr>
          <w:szCs w:val="26"/>
        </w:rPr>
      </w:pPr>
      <w:r>
        <w:t>Deklarazio horren ondorioz, alarma-egoera deklaratu zen, eta botere publ</w:t>
      </w:r>
      <w:r>
        <w:t>i</w:t>
      </w:r>
      <w:r>
        <w:t xml:space="preserve">koek pertsonen mugikortasunari biziki eragin zioten neurriak erabaki zituzten. Hori dela-eta, autobideko trafikoak ehuneko 22,11ko beherakada izan zuen 2020an, 2019koarekin alderatuta. </w:t>
      </w:r>
    </w:p>
    <w:p w:rsidR="00F11723" w:rsidRDefault="00F15075" w:rsidP="00763F7D">
      <w:pPr>
        <w:pStyle w:val="texto"/>
        <w:tabs>
          <w:tab w:val="clear" w:pos="2835"/>
          <w:tab w:val="clear" w:pos="3969"/>
          <w:tab w:val="clear" w:pos="5103"/>
          <w:tab w:val="clear" w:pos="6237"/>
          <w:tab w:val="clear" w:pos="7371"/>
          <w:tab w:val="left" w:pos="567"/>
        </w:tabs>
        <w:spacing w:after="120"/>
        <w:rPr>
          <w:szCs w:val="26"/>
        </w:rPr>
      </w:pPr>
      <w:proofErr w:type="spellStart"/>
      <w:r>
        <w:t>PEFaren</w:t>
      </w:r>
      <w:proofErr w:type="spellEnd"/>
      <w:r>
        <w:t xml:space="preserve"> azken eguneraketa 2021eko maiatzaren 31n onetsi zuen </w:t>
      </w:r>
      <w:proofErr w:type="spellStart"/>
      <w:r>
        <w:t>Auden</w:t>
      </w:r>
      <w:r>
        <w:t>a</w:t>
      </w:r>
      <w:r>
        <w:t>sako</w:t>
      </w:r>
      <w:proofErr w:type="spellEnd"/>
      <w:r>
        <w:t xml:space="preserve"> Administrazio Kontseiluak, eta bertan jasota daude 2020ko datuak eta 2029ra arteko aurreikuspenak, kontuan izanik ezen trafikoaren portaera eta, h</w:t>
      </w:r>
      <w:r>
        <w:t>o</w:t>
      </w:r>
      <w:r>
        <w:t xml:space="preserve">rrenbestez, diru-sarrerena ere ezin aurreikusizkoa dela oraindik ere, COVID-19aren pandemiaren efektuak bete-betean pairatzen segitzen dugunez. </w:t>
      </w:r>
    </w:p>
    <w:p w:rsidR="00F15075" w:rsidRDefault="00F15075" w:rsidP="00F11723">
      <w:pPr>
        <w:pStyle w:val="texto"/>
        <w:tabs>
          <w:tab w:val="clear" w:pos="2835"/>
          <w:tab w:val="clear" w:pos="3969"/>
          <w:tab w:val="clear" w:pos="5103"/>
          <w:tab w:val="clear" w:pos="6237"/>
          <w:tab w:val="clear" w:pos="7371"/>
          <w:tab w:val="left" w:pos="567"/>
        </w:tabs>
        <w:spacing w:after="240"/>
        <w:rPr>
          <w:szCs w:val="26"/>
        </w:rPr>
      </w:pPr>
      <w:r>
        <w:t xml:space="preserve">Jarraian PEF eguneratu honen adierazle </w:t>
      </w:r>
      <w:proofErr w:type="spellStart"/>
      <w:r>
        <w:t>ekonomiko-finantzarioetako</w:t>
      </w:r>
      <w:proofErr w:type="spellEnd"/>
      <w:r>
        <w:t xml:space="preserve"> batzuk emanen ditugu, alderatuta 2014an 2014-2029 epealdirako hasiera batean a</w:t>
      </w:r>
      <w:r>
        <w:t>u</w:t>
      </w:r>
      <w:r>
        <w:t>rreikusitakoekin (milaka eurotan):</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341"/>
        <w:gridCol w:w="1862"/>
        <w:gridCol w:w="1863"/>
        <w:gridCol w:w="1863"/>
      </w:tblGrid>
      <w:tr w:rsidR="00C33E41" w:rsidRPr="00C33E41" w:rsidTr="00C33E41">
        <w:trPr>
          <w:trHeight w:val="255"/>
        </w:trPr>
        <w:tc>
          <w:tcPr>
            <w:tcW w:w="1533" w:type="pct"/>
            <w:tcBorders>
              <w:bottom w:val="single" w:sz="4" w:space="0" w:color="auto"/>
            </w:tcBorders>
            <w:shd w:val="clear" w:color="auto" w:fill="8DB3E2"/>
            <w:noWrap/>
            <w:vAlign w:val="center"/>
            <w:hideMark/>
          </w:tcPr>
          <w:p w:rsidR="00F11723" w:rsidRPr="00B56671" w:rsidRDefault="00F11723" w:rsidP="00C33E41">
            <w:pPr>
              <w:spacing w:after="0"/>
              <w:ind w:firstLine="0"/>
              <w:jc w:val="left"/>
              <w:rPr>
                <w:rFonts w:ascii="Arial" w:hAnsi="Arial" w:cs="Arial"/>
                <w:sz w:val="18"/>
                <w:szCs w:val="18"/>
                <w:lang w:eastAsia="es-ES"/>
              </w:rPr>
            </w:pPr>
          </w:p>
        </w:tc>
        <w:tc>
          <w:tcPr>
            <w:tcW w:w="1155" w:type="pct"/>
            <w:tcBorders>
              <w:bottom w:val="single" w:sz="4" w:space="0" w:color="auto"/>
            </w:tcBorders>
            <w:shd w:val="clear" w:color="auto" w:fill="8DB3E2"/>
            <w:noWrap/>
            <w:vAlign w:val="center"/>
            <w:hideMark/>
          </w:tcPr>
          <w:p w:rsidR="00F11723" w:rsidRPr="00C33E41" w:rsidRDefault="00F11723" w:rsidP="00C33E41">
            <w:pPr>
              <w:spacing w:after="0"/>
              <w:ind w:firstLine="0"/>
              <w:jc w:val="right"/>
              <w:rPr>
                <w:rFonts w:ascii="Arial" w:hAnsi="Arial" w:cs="Arial"/>
                <w:bCs/>
                <w:color w:val="000000"/>
                <w:sz w:val="18"/>
                <w:szCs w:val="18"/>
              </w:rPr>
            </w:pPr>
            <w:r>
              <w:rPr>
                <w:rFonts w:ascii="Arial" w:hAnsi="Arial"/>
                <w:bCs/>
                <w:color w:val="000000"/>
                <w:sz w:val="18"/>
                <w:szCs w:val="18"/>
              </w:rPr>
              <w:t>2014ko PEF</w:t>
            </w:r>
          </w:p>
        </w:tc>
        <w:tc>
          <w:tcPr>
            <w:tcW w:w="1156" w:type="pct"/>
            <w:tcBorders>
              <w:bottom w:val="single" w:sz="4" w:space="0" w:color="auto"/>
            </w:tcBorders>
            <w:shd w:val="clear" w:color="auto" w:fill="8DB3E2"/>
            <w:vAlign w:val="center"/>
            <w:hideMark/>
          </w:tcPr>
          <w:p w:rsidR="00F11723" w:rsidRPr="00C33E41" w:rsidRDefault="00F11723" w:rsidP="00C33E41">
            <w:pPr>
              <w:spacing w:after="0"/>
              <w:ind w:firstLine="0"/>
              <w:jc w:val="right"/>
              <w:rPr>
                <w:rFonts w:ascii="Arial" w:hAnsi="Arial" w:cs="Arial"/>
                <w:bCs/>
                <w:color w:val="000000"/>
                <w:sz w:val="18"/>
                <w:szCs w:val="18"/>
              </w:rPr>
            </w:pPr>
            <w:r>
              <w:rPr>
                <w:rFonts w:ascii="Arial" w:hAnsi="Arial"/>
                <w:bCs/>
                <w:color w:val="000000"/>
                <w:sz w:val="18"/>
                <w:szCs w:val="18"/>
              </w:rPr>
              <w:t>2020ko PEF egun</w:t>
            </w:r>
            <w:r>
              <w:rPr>
                <w:rFonts w:ascii="Arial" w:hAnsi="Arial"/>
                <w:bCs/>
                <w:color w:val="000000"/>
                <w:sz w:val="18"/>
                <w:szCs w:val="18"/>
              </w:rPr>
              <w:t>e</w:t>
            </w:r>
            <w:r>
              <w:rPr>
                <w:rFonts w:ascii="Arial" w:hAnsi="Arial"/>
                <w:bCs/>
                <w:color w:val="000000"/>
                <w:sz w:val="18"/>
                <w:szCs w:val="18"/>
              </w:rPr>
              <w:t xml:space="preserve">ratua </w:t>
            </w:r>
          </w:p>
          <w:p w:rsidR="00F11723" w:rsidRPr="00C33E41" w:rsidRDefault="00F11723" w:rsidP="00C33E41">
            <w:pPr>
              <w:spacing w:after="0"/>
              <w:ind w:firstLine="0"/>
              <w:jc w:val="right"/>
              <w:rPr>
                <w:rFonts w:ascii="Arial" w:hAnsi="Arial" w:cs="Arial"/>
                <w:bCs/>
                <w:color w:val="000000"/>
                <w:sz w:val="18"/>
                <w:szCs w:val="18"/>
              </w:rPr>
            </w:pPr>
          </w:p>
        </w:tc>
        <w:tc>
          <w:tcPr>
            <w:tcW w:w="1156" w:type="pct"/>
            <w:tcBorders>
              <w:bottom w:val="single" w:sz="4" w:space="0" w:color="auto"/>
            </w:tcBorders>
            <w:shd w:val="clear" w:color="auto" w:fill="8DB3E2"/>
            <w:vAlign w:val="center"/>
            <w:hideMark/>
          </w:tcPr>
          <w:p w:rsidR="00F11723" w:rsidRPr="00C33E41" w:rsidRDefault="00F11723" w:rsidP="00C33E41">
            <w:pPr>
              <w:spacing w:after="0"/>
              <w:ind w:firstLine="0"/>
              <w:jc w:val="right"/>
              <w:rPr>
                <w:rFonts w:ascii="Arial" w:hAnsi="Arial" w:cs="Arial"/>
                <w:bCs/>
                <w:color w:val="000000"/>
                <w:sz w:val="18"/>
                <w:szCs w:val="18"/>
              </w:rPr>
            </w:pPr>
            <w:r>
              <w:rPr>
                <w:rFonts w:ascii="Arial" w:hAnsi="Arial"/>
                <w:bCs/>
                <w:color w:val="000000"/>
                <w:sz w:val="18"/>
                <w:szCs w:val="18"/>
              </w:rPr>
              <w:t xml:space="preserve">2020ko </w:t>
            </w:r>
            <w:proofErr w:type="spellStart"/>
            <w:r>
              <w:rPr>
                <w:rFonts w:ascii="Arial" w:hAnsi="Arial"/>
                <w:bCs/>
                <w:color w:val="000000"/>
                <w:sz w:val="18"/>
                <w:szCs w:val="18"/>
              </w:rPr>
              <w:t>PEFaren</w:t>
            </w:r>
            <w:proofErr w:type="spellEnd"/>
            <w:r>
              <w:rPr>
                <w:rFonts w:ascii="Arial" w:hAnsi="Arial"/>
                <w:bCs/>
                <w:color w:val="000000"/>
                <w:sz w:val="18"/>
                <w:szCs w:val="18"/>
              </w:rPr>
              <w:t xml:space="preserve"> aldaketa-portzentajea 2014ko </w:t>
            </w:r>
            <w:proofErr w:type="spellStart"/>
            <w:r>
              <w:rPr>
                <w:rFonts w:ascii="Arial" w:hAnsi="Arial"/>
                <w:bCs/>
                <w:color w:val="000000"/>
                <w:sz w:val="18"/>
                <w:szCs w:val="18"/>
              </w:rPr>
              <w:t>PEFaren</w:t>
            </w:r>
            <w:proofErr w:type="spellEnd"/>
            <w:r>
              <w:rPr>
                <w:rFonts w:ascii="Arial" w:hAnsi="Arial"/>
                <w:bCs/>
                <w:color w:val="000000"/>
                <w:sz w:val="18"/>
                <w:szCs w:val="18"/>
              </w:rPr>
              <w:t xml:space="preserve"> aldean</w:t>
            </w:r>
          </w:p>
          <w:p w:rsidR="00F11723" w:rsidRPr="00C33E41" w:rsidRDefault="00F11723" w:rsidP="00C33E41">
            <w:pPr>
              <w:spacing w:after="0"/>
              <w:ind w:firstLine="0"/>
              <w:jc w:val="right"/>
              <w:rPr>
                <w:rFonts w:ascii="Arial" w:hAnsi="Arial" w:cs="Arial"/>
                <w:bCs/>
                <w:color w:val="000000"/>
                <w:sz w:val="18"/>
                <w:szCs w:val="18"/>
              </w:rPr>
            </w:pPr>
          </w:p>
        </w:tc>
      </w:tr>
      <w:tr w:rsidR="00C33E41" w:rsidRPr="00C33E41" w:rsidTr="00C33E41">
        <w:trPr>
          <w:trHeight w:val="198"/>
        </w:trPr>
        <w:tc>
          <w:tcPr>
            <w:tcW w:w="1533" w:type="pct"/>
            <w:tcBorders>
              <w:top w:val="single" w:sz="4" w:space="0" w:color="auto"/>
              <w:bottom w:val="single" w:sz="2" w:space="0" w:color="auto"/>
            </w:tcBorders>
            <w:shd w:val="clear" w:color="auto" w:fill="auto"/>
            <w:noWrap/>
            <w:vAlign w:val="center"/>
            <w:hideMark/>
          </w:tcPr>
          <w:p w:rsidR="00F11723" w:rsidRPr="00C33E41" w:rsidRDefault="00F11723" w:rsidP="00C33E41">
            <w:pPr>
              <w:spacing w:after="0"/>
              <w:ind w:firstLine="0"/>
              <w:jc w:val="left"/>
              <w:rPr>
                <w:rFonts w:ascii="Arial Narrow" w:hAnsi="Arial Narrow" w:cs="Calibri"/>
                <w:bCs/>
                <w:color w:val="000000"/>
              </w:rPr>
            </w:pPr>
            <w:r>
              <w:rPr>
                <w:rFonts w:ascii="Arial Narrow" w:hAnsi="Arial Narrow"/>
                <w:bCs/>
                <w:color w:val="000000"/>
              </w:rPr>
              <w:t>Diru-bilketa teorikoa</w:t>
            </w:r>
          </w:p>
        </w:tc>
        <w:tc>
          <w:tcPr>
            <w:tcW w:w="1155" w:type="pct"/>
            <w:tcBorders>
              <w:top w:val="single" w:sz="4"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869.584</w:t>
            </w:r>
          </w:p>
        </w:tc>
        <w:tc>
          <w:tcPr>
            <w:tcW w:w="1156" w:type="pct"/>
            <w:tcBorders>
              <w:top w:val="single" w:sz="4"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796.743</w:t>
            </w:r>
          </w:p>
        </w:tc>
        <w:tc>
          <w:tcPr>
            <w:tcW w:w="1156" w:type="pct"/>
            <w:tcBorders>
              <w:top w:val="single" w:sz="4"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-8.4</w:t>
            </w:r>
          </w:p>
        </w:tc>
      </w:tr>
      <w:tr w:rsidR="00C33E41" w:rsidRPr="00C33E41" w:rsidTr="00C33E41">
        <w:trPr>
          <w:trHeight w:val="198"/>
        </w:trPr>
        <w:tc>
          <w:tcPr>
            <w:tcW w:w="1533"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left"/>
              <w:rPr>
                <w:rFonts w:ascii="Arial Narrow" w:hAnsi="Arial Narrow" w:cs="Calibri"/>
                <w:bCs/>
                <w:color w:val="000000"/>
              </w:rPr>
            </w:pPr>
            <w:r>
              <w:rPr>
                <w:rFonts w:ascii="Arial Narrow" w:hAnsi="Arial Narrow"/>
                <w:bCs/>
                <w:color w:val="000000"/>
              </w:rPr>
              <w:t>Deskontuak:</w:t>
            </w:r>
          </w:p>
        </w:tc>
        <w:tc>
          <w:tcPr>
            <w:tcW w:w="1155"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751.201</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663.368</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-11.7</w:t>
            </w:r>
          </w:p>
        </w:tc>
      </w:tr>
      <w:tr w:rsidR="00C33E41" w:rsidRPr="00C33E41" w:rsidTr="00C33E41">
        <w:trPr>
          <w:trHeight w:val="198"/>
        </w:trPr>
        <w:tc>
          <w:tcPr>
            <w:tcW w:w="1533" w:type="pct"/>
            <w:tcBorders>
              <w:top w:val="single" w:sz="2" w:space="0" w:color="auto"/>
              <w:bottom w:val="single" w:sz="2" w:space="0" w:color="auto"/>
            </w:tcBorders>
            <w:shd w:val="clear" w:color="auto" w:fill="auto"/>
            <w:noWrap/>
            <w:vAlign w:val="center"/>
            <w:hideMark/>
          </w:tcPr>
          <w:p w:rsidR="00F11723" w:rsidRPr="00C33E41" w:rsidRDefault="00763F7D" w:rsidP="00C33E41">
            <w:pPr>
              <w:spacing w:after="0"/>
              <w:ind w:firstLine="0"/>
              <w:jc w:val="left"/>
              <w:rPr>
                <w:rFonts w:ascii="Arial Narrow" w:hAnsi="Arial Narrow" w:cs="Calibri"/>
                <w:bCs/>
                <w:color w:val="000000"/>
              </w:rPr>
            </w:pPr>
            <w:proofErr w:type="spellStart"/>
            <w:r>
              <w:rPr>
                <w:rFonts w:ascii="Arial Narrow" w:hAnsi="Arial Narrow"/>
                <w:bCs/>
                <w:color w:val="000000"/>
              </w:rPr>
              <w:t>NFKAren</w:t>
            </w:r>
            <w:proofErr w:type="spellEnd"/>
            <w:r>
              <w:rPr>
                <w:rFonts w:ascii="Arial Narrow" w:hAnsi="Arial Narrow"/>
                <w:bCs/>
                <w:color w:val="000000"/>
              </w:rPr>
              <w:t xml:space="preserve"> konpentsazioa</w:t>
            </w:r>
          </w:p>
        </w:tc>
        <w:tc>
          <w:tcPr>
            <w:tcW w:w="1155" w:type="pct"/>
            <w:tcBorders>
              <w:top w:val="single" w:sz="2" w:space="0" w:color="auto"/>
              <w:bottom w:val="single" w:sz="2" w:space="0" w:color="auto"/>
            </w:tcBorders>
            <w:shd w:val="clear" w:color="auto" w:fill="auto"/>
            <w:noWrap/>
            <w:vAlign w:val="center"/>
            <w:hideMark/>
          </w:tcPr>
          <w:p w:rsidR="00F11723" w:rsidRPr="00C33E41" w:rsidRDefault="00F11723" w:rsidP="005A423F">
            <w:pPr>
              <w:spacing w:after="0"/>
              <w:ind w:firstLine="0"/>
              <w:jc w:val="right"/>
              <w:rPr>
                <w:rFonts w:ascii="Arial Narrow" w:hAnsi="Arial Narrow" w:cs="Calibri"/>
                <w:color w:val="000000"/>
              </w:rPr>
            </w:pPr>
            <w:r>
              <w:rPr>
                <w:rFonts w:ascii="Arial Narrow" w:hAnsi="Arial Narrow"/>
                <w:color w:val="000000"/>
              </w:rPr>
              <w:t>225.893</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239.163</w:t>
            </w:r>
          </w:p>
        </w:tc>
        <w:tc>
          <w:tcPr>
            <w:tcW w:w="1156" w:type="pct"/>
            <w:tcBorders>
              <w:top w:val="single" w:sz="2" w:space="0" w:color="auto"/>
              <w:bottom w:val="single" w:sz="2" w:space="0" w:color="auto"/>
            </w:tcBorders>
            <w:shd w:val="clear" w:color="auto" w:fill="auto"/>
            <w:noWrap/>
            <w:vAlign w:val="center"/>
            <w:hideMark/>
          </w:tcPr>
          <w:p w:rsidR="00F11723" w:rsidRPr="00C33E41" w:rsidRDefault="005A423F" w:rsidP="00C33E41">
            <w:pPr>
              <w:spacing w:after="0"/>
              <w:ind w:firstLine="0"/>
              <w:jc w:val="right"/>
              <w:rPr>
                <w:rFonts w:ascii="Arial Narrow" w:hAnsi="Arial Narrow" w:cs="Calibri"/>
                <w:color w:val="000000"/>
              </w:rPr>
            </w:pPr>
            <w:r>
              <w:rPr>
                <w:rFonts w:ascii="Arial Narrow" w:hAnsi="Arial Narrow"/>
                <w:color w:val="000000"/>
              </w:rPr>
              <w:t>5.8</w:t>
            </w:r>
          </w:p>
        </w:tc>
      </w:tr>
      <w:tr w:rsidR="00C33E41" w:rsidRPr="00C33E41" w:rsidTr="00C33E41">
        <w:trPr>
          <w:trHeight w:val="198"/>
        </w:trPr>
        <w:tc>
          <w:tcPr>
            <w:tcW w:w="1533"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left"/>
              <w:rPr>
                <w:rFonts w:ascii="Arial Narrow" w:hAnsi="Arial Narrow" w:cs="Calibri"/>
                <w:bCs/>
                <w:color w:val="000000"/>
              </w:rPr>
            </w:pPr>
            <w:r>
              <w:rPr>
                <w:rFonts w:ascii="Arial Narrow" w:hAnsi="Arial Narrow"/>
                <w:bCs/>
                <w:color w:val="000000"/>
              </w:rPr>
              <w:t>Konpentsazio-portzentajea deskontuen gain</w:t>
            </w:r>
          </w:p>
        </w:tc>
        <w:tc>
          <w:tcPr>
            <w:tcW w:w="1155"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30</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36.1</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20</w:t>
            </w:r>
          </w:p>
        </w:tc>
      </w:tr>
      <w:tr w:rsidR="00C33E41" w:rsidRPr="00C33E41" w:rsidTr="00C33E41">
        <w:trPr>
          <w:trHeight w:val="198"/>
        </w:trPr>
        <w:tc>
          <w:tcPr>
            <w:tcW w:w="1533"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left"/>
              <w:rPr>
                <w:rFonts w:ascii="Arial Narrow" w:hAnsi="Arial Narrow" w:cs="Calibri"/>
                <w:bCs/>
                <w:color w:val="000000"/>
              </w:rPr>
            </w:pPr>
            <w:r>
              <w:rPr>
                <w:rFonts w:ascii="Arial Narrow" w:hAnsi="Arial Narrow"/>
                <w:bCs/>
                <w:color w:val="000000"/>
              </w:rPr>
              <w:t>Ustiapeneko emaitza</w:t>
            </w:r>
          </w:p>
        </w:tc>
        <w:tc>
          <w:tcPr>
            <w:tcW w:w="1155"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481.932</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466.307</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-3,2</w:t>
            </w:r>
          </w:p>
        </w:tc>
      </w:tr>
      <w:tr w:rsidR="00C33E41" w:rsidRPr="00C33E41" w:rsidTr="00C33E41">
        <w:trPr>
          <w:trHeight w:val="198"/>
        </w:trPr>
        <w:tc>
          <w:tcPr>
            <w:tcW w:w="1533"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left"/>
              <w:rPr>
                <w:rFonts w:ascii="Arial Narrow" w:hAnsi="Arial Narrow" w:cs="Calibri"/>
                <w:bCs/>
                <w:color w:val="000000"/>
              </w:rPr>
            </w:pPr>
            <w:r>
              <w:rPr>
                <w:rFonts w:ascii="Arial Narrow" w:hAnsi="Arial Narrow"/>
                <w:bCs/>
                <w:color w:val="000000"/>
              </w:rPr>
              <w:t>EBITDA</w:t>
            </w:r>
            <w:r w:rsidRPr="00C33E41">
              <w:rPr>
                <w:rStyle w:val="Refdenotaalpie"/>
                <w:rFonts w:ascii="Arial Narrow" w:hAnsi="Arial Narrow" w:cs="Calibri"/>
                <w:bCs/>
                <w:color w:val="000000"/>
                <w:lang w:val="es-ES" w:eastAsia="es-ES"/>
              </w:rPr>
              <w:footnoteReference w:id="1"/>
            </w:r>
          </w:p>
        </w:tc>
        <w:tc>
          <w:tcPr>
            <w:tcW w:w="1155"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719.847</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703.848</w:t>
            </w:r>
          </w:p>
        </w:tc>
        <w:tc>
          <w:tcPr>
            <w:tcW w:w="1156" w:type="pct"/>
            <w:tcBorders>
              <w:top w:val="single" w:sz="2" w:space="0" w:color="auto"/>
              <w:bottom w:val="single" w:sz="2" w:space="0" w:color="auto"/>
            </w:tcBorders>
            <w:shd w:val="clear" w:color="auto" w:fill="auto"/>
            <w:noWrap/>
            <w:vAlign w:val="center"/>
            <w:hideMark/>
          </w:tcPr>
          <w:p w:rsidR="00F11723" w:rsidRPr="00C33E41" w:rsidRDefault="00F11723" w:rsidP="00C33E41">
            <w:pPr>
              <w:spacing w:after="0"/>
              <w:ind w:firstLine="0"/>
              <w:jc w:val="right"/>
              <w:rPr>
                <w:rFonts w:ascii="Arial Narrow" w:hAnsi="Arial Narrow" w:cs="Calibri"/>
                <w:color w:val="000000"/>
              </w:rPr>
            </w:pPr>
            <w:r>
              <w:rPr>
                <w:rFonts w:ascii="Arial Narrow" w:hAnsi="Arial Narrow"/>
                <w:color w:val="000000"/>
              </w:rPr>
              <w:t>-2,2</w:t>
            </w:r>
          </w:p>
        </w:tc>
      </w:tr>
      <w:tr w:rsidR="006B242C" w:rsidRPr="00C33E41" w:rsidTr="00C33E41">
        <w:trPr>
          <w:trHeight w:val="198"/>
        </w:trPr>
        <w:tc>
          <w:tcPr>
            <w:tcW w:w="1533" w:type="pct"/>
            <w:tcBorders>
              <w:top w:val="single" w:sz="2" w:space="0" w:color="auto"/>
              <w:bottom w:val="single" w:sz="4" w:space="0" w:color="auto"/>
            </w:tcBorders>
            <w:shd w:val="clear" w:color="auto" w:fill="auto"/>
            <w:noWrap/>
            <w:vAlign w:val="center"/>
          </w:tcPr>
          <w:p w:rsidR="006B242C" w:rsidRPr="00C33E41" w:rsidRDefault="006B242C" w:rsidP="00C33E41">
            <w:pPr>
              <w:spacing w:after="0"/>
              <w:ind w:firstLine="0"/>
              <w:jc w:val="left"/>
              <w:rPr>
                <w:rFonts w:ascii="Arial Narrow" w:hAnsi="Arial Narrow" w:cs="Calibri"/>
                <w:bCs/>
                <w:color w:val="000000"/>
              </w:rPr>
            </w:pPr>
            <w:proofErr w:type="spellStart"/>
            <w:r>
              <w:rPr>
                <w:rFonts w:ascii="Arial Narrow" w:hAnsi="Arial Narrow"/>
                <w:bCs/>
                <w:color w:val="000000"/>
              </w:rPr>
              <w:t>NFKAren</w:t>
            </w:r>
            <w:proofErr w:type="spellEnd"/>
            <w:r>
              <w:rPr>
                <w:rFonts w:ascii="Arial Narrow" w:hAnsi="Arial Narrow"/>
                <w:bCs/>
                <w:color w:val="000000"/>
              </w:rPr>
              <w:t xml:space="preserve"> diru-fluxuak</w:t>
            </w:r>
            <w:r w:rsidRPr="00C33E41">
              <w:rPr>
                <w:rStyle w:val="Refdenotaalpie"/>
                <w:rFonts w:ascii="Arial Narrow" w:hAnsi="Arial Narrow" w:cs="Calibri"/>
                <w:bCs/>
                <w:color w:val="000000"/>
                <w:lang w:val="es-ES" w:eastAsia="es-ES"/>
              </w:rPr>
              <w:footnoteReference w:id="2"/>
            </w:r>
          </w:p>
        </w:tc>
        <w:tc>
          <w:tcPr>
            <w:tcW w:w="1155" w:type="pct"/>
            <w:tcBorders>
              <w:top w:val="single" w:sz="2" w:space="0" w:color="auto"/>
              <w:bottom w:val="single" w:sz="4" w:space="0" w:color="auto"/>
            </w:tcBorders>
            <w:shd w:val="clear" w:color="auto" w:fill="auto"/>
            <w:noWrap/>
            <w:vAlign w:val="center"/>
          </w:tcPr>
          <w:p w:rsidR="006B242C" w:rsidRPr="00C33E41" w:rsidRDefault="006B242C" w:rsidP="00C33E41">
            <w:pPr>
              <w:spacing w:after="0"/>
              <w:ind w:firstLine="0"/>
              <w:jc w:val="right"/>
              <w:rPr>
                <w:rFonts w:ascii="Arial Narrow" w:hAnsi="Arial Narrow" w:cs="Calibri"/>
                <w:color w:val="000000"/>
              </w:rPr>
            </w:pPr>
            <w:r>
              <w:rPr>
                <w:rFonts w:ascii="Arial Narrow" w:hAnsi="Arial Narrow"/>
                <w:color w:val="000000"/>
              </w:rPr>
              <w:t>109.109</w:t>
            </w:r>
          </w:p>
        </w:tc>
        <w:tc>
          <w:tcPr>
            <w:tcW w:w="1156" w:type="pct"/>
            <w:tcBorders>
              <w:top w:val="single" w:sz="2" w:space="0" w:color="auto"/>
              <w:bottom w:val="single" w:sz="4" w:space="0" w:color="auto"/>
            </w:tcBorders>
            <w:shd w:val="clear" w:color="auto" w:fill="auto"/>
            <w:noWrap/>
            <w:vAlign w:val="center"/>
          </w:tcPr>
          <w:p w:rsidR="006B242C" w:rsidRPr="00C33E41" w:rsidRDefault="006B242C" w:rsidP="00C33E41">
            <w:pPr>
              <w:spacing w:after="0"/>
              <w:ind w:firstLine="0"/>
              <w:jc w:val="right"/>
              <w:rPr>
                <w:rFonts w:ascii="Arial Narrow" w:hAnsi="Arial Narrow" w:cs="Calibri"/>
                <w:color w:val="000000"/>
              </w:rPr>
            </w:pPr>
            <w:r>
              <w:rPr>
                <w:rFonts w:ascii="Arial Narrow" w:hAnsi="Arial Narrow"/>
                <w:color w:val="000000"/>
              </w:rPr>
              <w:t>205.383</w:t>
            </w:r>
          </w:p>
        </w:tc>
        <w:tc>
          <w:tcPr>
            <w:tcW w:w="1156" w:type="pct"/>
            <w:tcBorders>
              <w:top w:val="single" w:sz="2" w:space="0" w:color="auto"/>
              <w:bottom w:val="single" w:sz="4" w:space="0" w:color="auto"/>
            </w:tcBorders>
            <w:shd w:val="clear" w:color="auto" w:fill="auto"/>
            <w:noWrap/>
            <w:vAlign w:val="center"/>
          </w:tcPr>
          <w:p w:rsidR="006B242C" w:rsidRPr="00C33E41" w:rsidRDefault="006B242C" w:rsidP="00C33E41">
            <w:pPr>
              <w:spacing w:after="0"/>
              <w:ind w:firstLine="0"/>
              <w:jc w:val="right"/>
              <w:rPr>
                <w:rFonts w:ascii="Arial Narrow" w:hAnsi="Arial Narrow" w:cs="Calibri"/>
                <w:color w:val="000000"/>
              </w:rPr>
            </w:pPr>
            <w:r>
              <w:rPr>
                <w:rFonts w:ascii="Arial Narrow" w:hAnsi="Arial Narrow"/>
                <w:color w:val="000000"/>
              </w:rPr>
              <w:t>88,2</w:t>
            </w:r>
          </w:p>
        </w:tc>
      </w:tr>
    </w:tbl>
    <w:p w:rsidR="0013027E" w:rsidRDefault="00F11723" w:rsidP="002A0C45">
      <w:pPr>
        <w:pStyle w:val="texto"/>
        <w:tabs>
          <w:tab w:val="clear" w:pos="2835"/>
          <w:tab w:val="clear" w:pos="3969"/>
          <w:tab w:val="clear" w:pos="5103"/>
          <w:tab w:val="clear" w:pos="6237"/>
          <w:tab w:val="clear" w:pos="7371"/>
          <w:tab w:val="left" w:pos="567"/>
        </w:tabs>
        <w:spacing w:before="240" w:after="120"/>
        <w:rPr>
          <w:szCs w:val="26"/>
        </w:rPr>
      </w:pPr>
      <w:r>
        <w:t xml:space="preserve">Ikusten denez, 2014-2029 epearen osotasunerako, diru-bilketa teorikoak, deskontuek, ustiapen-emaitzak eta </w:t>
      </w:r>
      <w:proofErr w:type="spellStart"/>
      <w:r>
        <w:t>EBITDAk</w:t>
      </w:r>
      <w:proofErr w:type="spellEnd"/>
      <w:r>
        <w:t xml:space="preserve"> behera egiten dute 2014an aurre</w:t>
      </w:r>
      <w:r>
        <w:t>i</w:t>
      </w:r>
      <w:r>
        <w:lastRenderedPageBreak/>
        <w:t xml:space="preserve">kusitakoaren aldean, nahiz eta </w:t>
      </w:r>
      <w:proofErr w:type="spellStart"/>
      <w:r>
        <w:t>NFKAren</w:t>
      </w:r>
      <w:proofErr w:type="spellEnd"/>
      <w:r>
        <w:t xml:space="preserve"> konpentsazioak eta deskontuen ga</w:t>
      </w:r>
      <w:r>
        <w:t>i</w:t>
      </w:r>
      <w:r>
        <w:t xml:space="preserve">neko portzentajeak gora egiten duten. </w:t>
      </w:r>
    </w:p>
    <w:p w:rsidR="00883DA6" w:rsidRDefault="006B242C" w:rsidP="0013027E">
      <w:pPr>
        <w:pStyle w:val="texto"/>
        <w:tabs>
          <w:tab w:val="clear" w:pos="2835"/>
          <w:tab w:val="clear" w:pos="3969"/>
          <w:tab w:val="clear" w:pos="5103"/>
          <w:tab w:val="clear" w:pos="6237"/>
          <w:tab w:val="clear" w:pos="7371"/>
          <w:tab w:val="left" w:pos="567"/>
        </w:tabs>
        <w:spacing w:before="120" w:after="120"/>
        <w:rPr>
          <w:szCs w:val="26"/>
        </w:rPr>
      </w:pPr>
      <w:r>
        <w:t xml:space="preserve">Bestalde, </w:t>
      </w:r>
      <w:proofErr w:type="spellStart"/>
      <w:r>
        <w:t>NFKArentzako</w:t>
      </w:r>
      <w:proofErr w:type="spellEnd"/>
      <w:r>
        <w:t xml:space="preserve"> diru-fluxuek ehuneko 88ko gorakada dute, horren zergatia izanik, hein handian, hasiera batean 2014an aurreikusi gabe zeuden baina egin diren kapital-murrizketak, zeinak 41,72 milioikoak baitira 2017-2021 epean. Murrizketa horiek egin izan ez balira, fluxuen gaineko efektua ehuneko 50eko gehikuntza zatekeen.</w:t>
      </w:r>
    </w:p>
    <w:p w:rsidR="00E53027" w:rsidRDefault="00E53027" w:rsidP="00E53027">
      <w:pPr>
        <w:pStyle w:val="texto"/>
        <w:tabs>
          <w:tab w:val="clear" w:pos="2835"/>
          <w:tab w:val="clear" w:pos="3969"/>
          <w:tab w:val="clear" w:pos="5103"/>
          <w:tab w:val="clear" w:pos="6237"/>
          <w:tab w:val="clear" w:pos="7371"/>
          <w:tab w:val="left" w:pos="567"/>
        </w:tabs>
        <w:spacing w:before="120" w:after="240"/>
        <w:rPr>
          <w:szCs w:val="26"/>
        </w:rPr>
      </w:pPr>
      <w:r>
        <w:t xml:space="preserve">Adierazle horiek 2014ko </w:t>
      </w:r>
      <w:proofErr w:type="spellStart"/>
      <w:r>
        <w:t>PEFean</w:t>
      </w:r>
      <w:proofErr w:type="spellEnd"/>
      <w:r>
        <w:t xml:space="preserve"> aurreikusita zegoenaren aldean izandako aldaketa interpretatzeko, beharrezkoa da kontuan hartzea horiek 2019ra arte eta emakidaren gainerakora arte izandako bilakaera, honako koadro honetan er</w:t>
      </w:r>
      <w:r>
        <w:t>a</w:t>
      </w:r>
      <w:r>
        <w:t>kusten den bezala:</w:t>
      </w:r>
    </w:p>
    <w:tbl>
      <w:tblPr>
        <w:tblW w:w="5000" w:type="pct"/>
        <w:tblCellMar>
          <w:left w:w="30" w:type="dxa"/>
          <w:right w:w="30" w:type="dxa"/>
        </w:tblCellMar>
        <w:tblLook w:val="0000" w:firstRow="0" w:lastRow="0" w:firstColumn="0" w:lastColumn="0" w:noHBand="0" w:noVBand="0"/>
      </w:tblPr>
      <w:tblGrid>
        <w:gridCol w:w="1168"/>
        <w:gridCol w:w="1752"/>
        <w:gridCol w:w="1819"/>
        <w:gridCol w:w="1901"/>
        <w:gridCol w:w="2209"/>
      </w:tblGrid>
      <w:tr w:rsidR="00C33E41" w:rsidRPr="00C33E41" w:rsidTr="00A26BBD">
        <w:trPr>
          <w:trHeight w:val="510"/>
        </w:trPr>
        <w:tc>
          <w:tcPr>
            <w:tcW w:w="660" w:type="pct"/>
            <w:tcBorders>
              <w:top w:val="single" w:sz="4" w:space="0" w:color="auto"/>
              <w:left w:val="nil"/>
              <w:bottom w:val="single" w:sz="4" w:space="0" w:color="auto"/>
              <w:right w:val="nil"/>
            </w:tcBorders>
            <w:shd w:val="clear" w:color="auto" w:fill="8DB3E2"/>
            <w:vAlign w:val="center"/>
          </w:tcPr>
          <w:p w:rsidR="00C35D5E" w:rsidRPr="00C33E41" w:rsidRDefault="00413E96" w:rsidP="00C33E41">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Aldea (%)</w:t>
            </w:r>
          </w:p>
        </w:tc>
        <w:tc>
          <w:tcPr>
            <w:tcW w:w="990" w:type="pct"/>
            <w:tcBorders>
              <w:top w:val="single" w:sz="4" w:space="0" w:color="auto"/>
              <w:left w:val="nil"/>
              <w:bottom w:val="single" w:sz="4" w:space="0" w:color="auto"/>
              <w:right w:val="nil"/>
            </w:tcBorders>
            <w:shd w:val="clear" w:color="auto" w:fill="8DB3E2"/>
            <w:vAlign w:val="center"/>
          </w:tcPr>
          <w:p w:rsidR="00A26BBD" w:rsidRDefault="00C35D5E" w:rsidP="00C33E41">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Diru-bilketa teorikoa</w:t>
            </w:r>
          </w:p>
          <w:p w:rsidR="00C35D5E" w:rsidRPr="00C33E41" w:rsidRDefault="00C35D5E" w:rsidP="00C33E41">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w:t>
            </w:r>
          </w:p>
        </w:tc>
        <w:tc>
          <w:tcPr>
            <w:tcW w:w="1028" w:type="pct"/>
            <w:tcBorders>
              <w:top w:val="single" w:sz="4" w:space="0" w:color="auto"/>
              <w:left w:val="nil"/>
              <w:bottom w:val="single" w:sz="4" w:space="0" w:color="auto"/>
              <w:right w:val="nil"/>
            </w:tcBorders>
            <w:shd w:val="clear" w:color="auto" w:fill="8DB3E2"/>
            <w:vAlign w:val="center"/>
          </w:tcPr>
          <w:p w:rsidR="00A26BBD" w:rsidRDefault="00C35D5E" w:rsidP="00C33E41">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Konpentsazioa </w:t>
            </w:r>
          </w:p>
          <w:p w:rsidR="00C35D5E" w:rsidRPr="00C33E41" w:rsidRDefault="00C35D5E" w:rsidP="00C33E41">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NFKA </w:t>
            </w:r>
          </w:p>
        </w:tc>
        <w:tc>
          <w:tcPr>
            <w:tcW w:w="1074" w:type="pct"/>
            <w:tcBorders>
              <w:top w:val="single" w:sz="4" w:space="0" w:color="auto"/>
              <w:left w:val="nil"/>
              <w:bottom w:val="single" w:sz="4" w:space="0" w:color="auto"/>
              <w:right w:val="nil"/>
            </w:tcBorders>
            <w:shd w:val="clear" w:color="auto" w:fill="8DB3E2"/>
            <w:vAlign w:val="center"/>
          </w:tcPr>
          <w:p w:rsidR="00A26BBD" w:rsidRDefault="00C35D5E" w:rsidP="00C33E41">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Deskontu aplikatuak </w:t>
            </w:r>
          </w:p>
          <w:p w:rsidR="00C35D5E" w:rsidRPr="00C33E41" w:rsidRDefault="00C35D5E" w:rsidP="00C33E41">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w:t>
            </w:r>
          </w:p>
        </w:tc>
        <w:tc>
          <w:tcPr>
            <w:tcW w:w="1248" w:type="pct"/>
            <w:tcBorders>
              <w:top w:val="single" w:sz="4" w:space="0" w:color="auto"/>
              <w:left w:val="nil"/>
              <w:bottom w:val="single" w:sz="4" w:space="0" w:color="auto"/>
              <w:right w:val="nil"/>
            </w:tcBorders>
            <w:shd w:val="clear" w:color="auto" w:fill="8DB3E2"/>
            <w:vAlign w:val="center"/>
          </w:tcPr>
          <w:p w:rsidR="00A26BBD" w:rsidRDefault="00413E96" w:rsidP="00C33E41">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Diru-fluxuak </w:t>
            </w:r>
          </w:p>
          <w:p w:rsidR="00C35D5E" w:rsidRPr="00C33E41" w:rsidRDefault="00413E96" w:rsidP="00C33E41">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NFKA</w:t>
            </w:r>
          </w:p>
        </w:tc>
      </w:tr>
      <w:tr w:rsidR="00C33E41" w:rsidRPr="00C33E41" w:rsidTr="00C33E41">
        <w:trPr>
          <w:trHeight w:val="198"/>
        </w:trPr>
        <w:tc>
          <w:tcPr>
            <w:tcW w:w="660" w:type="pct"/>
            <w:tcBorders>
              <w:top w:val="single" w:sz="4" w:space="0" w:color="auto"/>
              <w:left w:val="nil"/>
              <w:bottom w:val="single" w:sz="2" w:space="0" w:color="auto"/>
              <w:right w:val="nil"/>
            </w:tcBorders>
            <w:shd w:val="clear" w:color="auto" w:fill="auto"/>
            <w:vAlign w:val="center"/>
          </w:tcPr>
          <w:p w:rsidR="00C35D5E" w:rsidRPr="00C33E41" w:rsidRDefault="00C35D5E" w:rsidP="00C33E41">
            <w:pPr>
              <w:autoSpaceDE w:val="0"/>
              <w:autoSpaceDN w:val="0"/>
              <w:adjustRightInd w:val="0"/>
              <w:spacing w:after="0"/>
              <w:ind w:firstLine="0"/>
              <w:jc w:val="left"/>
              <w:rPr>
                <w:rFonts w:ascii="Arial Narrow" w:hAnsi="Arial Narrow" w:cs="Arial"/>
                <w:bCs/>
              </w:rPr>
            </w:pPr>
            <w:r>
              <w:rPr>
                <w:rFonts w:ascii="Arial Narrow" w:hAnsi="Arial Narrow"/>
                <w:bCs/>
              </w:rPr>
              <w:t>2014-2019</w:t>
            </w:r>
          </w:p>
        </w:tc>
        <w:tc>
          <w:tcPr>
            <w:tcW w:w="990" w:type="pct"/>
            <w:tcBorders>
              <w:top w:val="single" w:sz="4" w:space="0" w:color="auto"/>
              <w:left w:val="nil"/>
              <w:bottom w:val="single" w:sz="2"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rPr>
            </w:pPr>
            <w:r>
              <w:rPr>
                <w:rFonts w:ascii="Arial Narrow" w:hAnsi="Arial Narrow"/>
                <w:bCs/>
              </w:rPr>
              <w:t>3,41</w:t>
            </w:r>
          </w:p>
        </w:tc>
        <w:tc>
          <w:tcPr>
            <w:tcW w:w="1028" w:type="pct"/>
            <w:tcBorders>
              <w:top w:val="single" w:sz="4" w:space="0" w:color="auto"/>
              <w:left w:val="nil"/>
              <w:bottom w:val="single" w:sz="2"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rPr>
            </w:pPr>
            <w:r>
              <w:rPr>
                <w:rFonts w:ascii="Arial Narrow" w:hAnsi="Arial Narrow"/>
                <w:bCs/>
              </w:rPr>
              <w:t>15,2</w:t>
            </w:r>
          </w:p>
        </w:tc>
        <w:tc>
          <w:tcPr>
            <w:tcW w:w="1074" w:type="pct"/>
            <w:tcBorders>
              <w:top w:val="single" w:sz="4" w:space="0" w:color="auto"/>
              <w:left w:val="nil"/>
              <w:bottom w:val="single" w:sz="2"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rPr>
            </w:pPr>
            <w:r>
              <w:rPr>
                <w:rFonts w:ascii="Arial Narrow" w:hAnsi="Arial Narrow"/>
                <w:bCs/>
              </w:rPr>
              <w:t>-0,5</w:t>
            </w:r>
          </w:p>
        </w:tc>
        <w:tc>
          <w:tcPr>
            <w:tcW w:w="1248" w:type="pct"/>
            <w:tcBorders>
              <w:top w:val="single" w:sz="4" w:space="0" w:color="auto"/>
              <w:left w:val="nil"/>
              <w:bottom w:val="single" w:sz="2"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rPr>
            </w:pPr>
            <w:r>
              <w:rPr>
                <w:rFonts w:ascii="Arial Narrow" w:hAnsi="Arial Narrow"/>
                <w:bCs/>
              </w:rPr>
              <w:t>329,2</w:t>
            </w:r>
          </w:p>
        </w:tc>
      </w:tr>
      <w:tr w:rsidR="00C33E41" w:rsidRPr="00C33E41" w:rsidTr="00C33E41">
        <w:trPr>
          <w:trHeight w:val="198"/>
        </w:trPr>
        <w:tc>
          <w:tcPr>
            <w:tcW w:w="660" w:type="pct"/>
            <w:tcBorders>
              <w:top w:val="single" w:sz="2" w:space="0" w:color="auto"/>
              <w:left w:val="nil"/>
              <w:bottom w:val="single" w:sz="4" w:space="0" w:color="auto"/>
              <w:right w:val="nil"/>
            </w:tcBorders>
            <w:shd w:val="clear" w:color="auto" w:fill="auto"/>
            <w:vAlign w:val="center"/>
          </w:tcPr>
          <w:p w:rsidR="00C35D5E" w:rsidRPr="00C33E41" w:rsidRDefault="00C35D5E" w:rsidP="00C33E41">
            <w:pPr>
              <w:autoSpaceDE w:val="0"/>
              <w:autoSpaceDN w:val="0"/>
              <w:adjustRightInd w:val="0"/>
              <w:spacing w:after="0"/>
              <w:ind w:firstLine="0"/>
              <w:jc w:val="left"/>
              <w:rPr>
                <w:rFonts w:ascii="Arial Narrow" w:hAnsi="Arial Narrow" w:cs="Arial"/>
                <w:bCs/>
              </w:rPr>
            </w:pPr>
            <w:r>
              <w:rPr>
                <w:rFonts w:ascii="Arial Narrow" w:hAnsi="Arial Narrow"/>
                <w:bCs/>
              </w:rPr>
              <w:t>2020-2029</w:t>
            </w:r>
          </w:p>
        </w:tc>
        <w:tc>
          <w:tcPr>
            <w:tcW w:w="990" w:type="pct"/>
            <w:tcBorders>
              <w:top w:val="single" w:sz="2" w:space="0" w:color="auto"/>
              <w:left w:val="nil"/>
              <w:bottom w:val="single" w:sz="4"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rPr>
            </w:pPr>
            <w:r>
              <w:rPr>
                <w:rFonts w:ascii="Arial Narrow" w:hAnsi="Arial Narrow"/>
                <w:bCs/>
              </w:rPr>
              <w:t>-14,1</w:t>
            </w:r>
          </w:p>
        </w:tc>
        <w:tc>
          <w:tcPr>
            <w:tcW w:w="1028" w:type="pct"/>
            <w:tcBorders>
              <w:top w:val="single" w:sz="2" w:space="0" w:color="auto"/>
              <w:left w:val="nil"/>
              <w:bottom w:val="single" w:sz="4" w:space="0" w:color="auto"/>
              <w:right w:val="nil"/>
            </w:tcBorders>
            <w:shd w:val="clear" w:color="auto" w:fill="auto"/>
            <w:vAlign w:val="center"/>
          </w:tcPr>
          <w:p w:rsidR="00C35D5E" w:rsidRPr="00C33E41" w:rsidRDefault="00413E96" w:rsidP="005A423F">
            <w:pPr>
              <w:autoSpaceDE w:val="0"/>
              <w:autoSpaceDN w:val="0"/>
              <w:adjustRightInd w:val="0"/>
              <w:spacing w:after="0"/>
              <w:ind w:firstLine="0"/>
              <w:jc w:val="right"/>
              <w:rPr>
                <w:rFonts w:ascii="Arial Narrow" w:hAnsi="Arial Narrow" w:cs="Arial"/>
                <w:bCs/>
              </w:rPr>
            </w:pPr>
            <w:r>
              <w:rPr>
                <w:rFonts w:ascii="Arial Narrow" w:hAnsi="Arial Narrow"/>
                <w:bCs/>
              </w:rPr>
              <w:t>1,4</w:t>
            </w:r>
          </w:p>
        </w:tc>
        <w:tc>
          <w:tcPr>
            <w:tcW w:w="1074" w:type="pct"/>
            <w:tcBorders>
              <w:top w:val="single" w:sz="2" w:space="0" w:color="auto"/>
              <w:left w:val="nil"/>
              <w:bottom w:val="single" w:sz="4"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rPr>
            </w:pPr>
            <w:r>
              <w:rPr>
                <w:rFonts w:ascii="Arial Narrow" w:hAnsi="Arial Narrow"/>
                <w:bCs/>
              </w:rPr>
              <w:t>-17,1</w:t>
            </w:r>
          </w:p>
        </w:tc>
        <w:tc>
          <w:tcPr>
            <w:tcW w:w="1248" w:type="pct"/>
            <w:tcBorders>
              <w:top w:val="single" w:sz="2" w:space="0" w:color="auto"/>
              <w:left w:val="nil"/>
              <w:bottom w:val="single" w:sz="4" w:space="0" w:color="auto"/>
              <w:right w:val="nil"/>
            </w:tcBorders>
            <w:shd w:val="clear" w:color="auto" w:fill="auto"/>
            <w:vAlign w:val="center"/>
          </w:tcPr>
          <w:p w:rsidR="00C35D5E" w:rsidRPr="00C33E41" w:rsidRDefault="00413E96" w:rsidP="00C33E41">
            <w:pPr>
              <w:autoSpaceDE w:val="0"/>
              <w:autoSpaceDN w:val="0"/>
              <w:adjustRightInd w:val="0"/>
              <w:spacing w:after="0"/>
              <w:ind w:firstLine="0"/>
              <w:jc w:val="right"/>
              <w:rPr>
                <w:rFonts w:ascii="Arial Narrow" w:hAnsi="Arial Narrow" w:cs="Arial"/>
                <w:bCs/>
              </w:rPr>
            </w:pPr>
            <w:r>
              <w:rPr>
                <w:rFonts w:ascii="Arial Narrow" w:hAnsi="Arial Narrow"/>
                <w:bCs/>
              </w:rPr>
              <w:t>49,8</w:t>
            </w:r>
          </w:p>
        </w:tc>
      </w:tr>
      <w:tr w:rsidR="00C35D5E" w:rsidRPr="00413E96" w:rsidTr="00C33E41">
        <w:trPr>
          <w:trHeight w:val="255"/>
        </w:trPr>
        <w:tc>
          <w:tcPr>
            <w:tcW w:w="660" w:type="pct"/>
            <w:tcBorders>
              <w:top w:val="single" w:sz="4" w:space="0" w:color="auto"/>
              <w:left w:val="nil"/>
              <w:bottom w:val="single" w:sz="4" w:space="0" w:color="auto"/>
              <w:right w:val="nil"/>
            </w:tcBorders>
            <w:shd w:val="clear" w:color="auto" w:fill="8DB3E2"/>
            <w:vAlign w:val="center"/>
          </w:tcPr>
          <w:p w:rsidR="00C35D5E" w:rsidRPr="00C33E41" w:rsidRDefault="00413E96" w:rsidP="00C33E41">
            <w:pPr>
              <w:autoSpaceDE w:val="0"/>
              <w:autoSpaceDN w:val="0"/>
              <w:adjustRightInd w:val="0"/>
              <w:spacing w:after="0"/>
              <w:ind w:firstLine="0"/>
              <w:jc w:val="left"/>
              <w:rPr>
                <w:rFonts w:ascii="Arial" w:hAnsi="Arial" w:cs="Arial"/>
                <w:sz w:val="18"/>
              </w:rPr>
            </w:pPr>
            <w:r>
              <w:rPr>
                <w:rFonts w:ascii="Arial" w:hAnsi="Arial"/>
                <w:sz w:val="18"/>
              </w:rPr>
              <w:t>Guztizko a</w:t>
            </w:r>
            <w:r>
              <w:rPr>
                <w:rFonts w:ascii="Arial" w:hAnsi="Arial"/>
                <w:sz w:val="18"/>
              </w:rPr>
              <w:t>l</w:t>
            </w:r>
            <w:r>
              <w:rPr>
                <w:rFonts w:ascii="Arial" w:hAnsi="Arial"/>
                <w:sz w:val="18"/>
              </w:rPr>
              <w:t>daketa-portzentajea</w:t>
            </w:r>
          </w:p>
        </w:tc>
        <w:tc>
          <w:tcPr>
            <w:tcW w:w="990" w:type="pct"/>
            <w:tcBorders>
              <w:top w:val="single" w:sz="4" w:space="0" w:color="auto"/>
              <w:left w:val="nil"/>
              <w:bottom w:val="single" w:sz="4" w:space="0" w:color="auto"/>
              <w:right w:val="nil"/>
            </w:tcBorders>
            <w:shd w:val="clear" w:color="auto" w:fill="8DB3E2"/>
            <w:vAlign w:val="center"/>
          </w:tcPr>
          <w:p w:rsidR="00C35D5E" w:rsidRPr="00C33E41" w:rsidRDefault="00413E96" w:rsidP="00413E96">
            <w:pPr>
              <w:autoSpaceDE w:val="0"/>
              <w:autoSpaceDN w:val="0"/>
              <w:adjustRightInd w:val="0"/>
              <w:spacing w:after="0"/>
              <w:ind w:firstLine="0"/>
              <w:jc w:val="right"/>
              <w:rPr>
                <w:rFonts w:ascii="Arial" w:hAnsi="Arial" w:cs="Arial"/>
                <w:bCs/>
                <w:sz w:val="18"/>
              </w:rPr>
            </w:pPr>
            <w:r>
              <w:rPr>
                <w:rFonts w:ascii="Arial" w:hAnsi="Arial"/>
                <w:bCs/>
                <w:sz w:val="18"/>
              </w:rPr>
              <w:t>-8,4</w:t>
            </w:r>
          </w:p>
        </w:tc>
        <w:tc>
          <w:tcPr>
            <w:tcW w:w="1028" w:type="pct"/>
            <w:tcBorders>
              <w:top w:val="single" w:sz="4" w:space="0" w:color="auto"/>
              <w:left w:val="nil"/>
              <w:bottom w:val="single" w:sz="4" w:space="0" w:color="auto"/>
              <w:right w:val="nil"/>
            </w:tcBorders>
            <w:shd w:val="clear" w:color="auto" w:fill="8DB3E2"/>
            <w:vAlign w:val="center"/>
          </w:tcPr>
          <w:p w:rsidR="00C35D5E" w:rsidRPr="00C33E41" w:rsidRDefault="005A423F" w:rsidP="00413E96">
            <w:pPr>
              <w:autoSpaceDE w:val="0"/>
              <w:autoSpaceDN w:val="0"/>
              <w:adjustRightInd w:val="0"/>
              <w:spacing w:after="0"/>
              <w:ind w:firstLine="0"/>
              <w:jc w:val="right"/>
              <w:rPr>
                <w:rFonts w:ascii="Arial" w:hAnsi="Arial" w:cs="Arial"/>
                <w:bCs/>
                <w:sz w:val="18"/>
              </w:rPr>
            </w:pPr>
            <w:r>
              <w:rPr>
                <w:rFonts w:ascii="Arial" w:hAnsi="Arial"/>
                <w:bCs/>
                <w:sz w:val="18"/>
              </w:rPr>
              <w:t>5,8</w:t>
            </w:r>
          </w:p>
        </w:tc>
        <w:tc>
          <w:tcPr>
            <w:tcW w:w="1074" w:type="pct"/>
            <w:tcBorders>
              <w:top w:val="single" w:sz="4" w:space="0" w:color="auto"/>
              <w:left w:val="nil"/>
              <w:bottom w:val="single" w:sz="4" w:space="0" w:color="auto"/>
              <w:right w:val="nil"/>
            </w:tcBorders>
            <w:shd w:val="clear" w:color="auto" w:fill="8DB3E2"/>
            <w:vAlign w:val="center"/>
          </w:tcPr>
          <w:p w:rsidR="00C35D5E" w:rsidRPr="00C33E41" w:rsidRDefault="00413E96" w:rsidP="00413E96">
            <w:pPr>
              <w:autoSpaceDE w:val="0"/>
              <w:autoSpaceDN w:val="0"/>
              <w:adjustRightInd w:val="0"/>
              <w:spacing w:after="0"/>
              <w:ind w:firstLine="0"/>
              <w:jc w:val="right"/>
              <w:rPr>
                <w:rFonts w:ascii="Arial" w:hAnsi="Arial" w:cs="Arial"/>
                <w:bCs/>
                <w:sz w:val="18"/>
              </w:rPr>
            </w:pPr>
            <w:r>
              <w:rPr>
                <w:rFonts w:ascii="Arial" w:hAnsi="Arial"/>
                <w:bCs/>
                <w:sz w:val="18"/>
              </w:rPr>
              <w:t>-11,7</w:t>
            </w:r>
          </w:p>
        </w:tc>
        <w:tc>
          <w:tcPr>
            <w:tcW w:w="1248" w:type="pct"/>
            <w:tcBorders>
              <w:top w:val="single" w:sz="4" w:space="0" w:color="auto"/>
              <w:left w:val="nil"/>
              <w:bottom w:val="single" w:sz="4" w:space="0" w:color="auto"/>
              <w:right w:val="nil"/>
            </w:tcBorders>
            <w:shd w:val="clear" w:color="auto" w:fill="8DB3E2"/>
            <w:vAlign w:val="center"/>
          </w:tcPr>
          <w:p w:rsidR="00C35D5E" w:rsidRPr="00C33E41" w:rsidRDefault="00413E96" w:rsidP="00413E96">
            <w:pPr>
              <w:autoSpaceDE w:val="0"/>
              <w:autoSpaceDN w:val="0"/>
              <w:adjustRightInd w:val="0"/>
              <w:spacing w:after="0"/>
              <w:ind w:firstLine="0"/>
              <w:jc w:val="right"/>
              <w:rPr>
                <w:rFonts w:ascii="Arial" w:hAnsi="Arial" w:cs="Arial"/>
                <w:bCs/>
                <w:sz w:val="18"/>
              </w:rPr>
            </w:pPr>
            <w:r>
              <w:rPr>
                <w:rFonts w:ascii="Arial" w:hAnsi="Arial"/>
                <w:bCs/>
                <w:sz w:val="18"/>
              </w:rPr>
              <w:t>88,2</w:t>
            </w:r>
          </w:p>
        </w:tc>
      </w:tr>
    </w:tbl>
    <w:p w:rsidR="006B242C" w:rsidRDefault="00413E96" w:rsidP="00413E96">
      <w:pPr>
        <w:pStyle w:val="texto"/>
        <w:tabs>
          <w:tab w:val="clear" w:pos="2835"/>
          <w:tab w:val="clear" w:pos="3969"/>
          <w:tab w:val="clear" w:pos="5103"/>
          <w:tab w:val="clear" w:pos="6237"/>
          <w:tab w:val="clear" w:pos="7371"/>
          <w:tab w:val="left" w:pos="567"/>
        </w:tabs>
        <w:spacing w:before="240" w:after="240"/>
        <w:rPr>
          <w:szCs w:val="26"/>
        </w:rPr>
      </w:pPr>
      <w:r>
        <w:t xml:space="preserve">Ikus daitekeenez, 2014-2019 epean 2020 </w:t>
      </w:r>
      <w:proofErr w:type="spellStart"/>
      <w:r>
        <w:t>PEFek</w:t>
      </w:r>
      <w:proofErr w:type="spellEnd"/>
      <w:r>
        <w:t xml:space="preserve"> 2014koaren aldean izandako aldaketa, COVID-19aren osasun-krisia gertatu aurretik, ezberdina da; kasuren batean, are zentzua (positiboa edo negatiboa) aldatzen da. Hala, adibidez, </w:t>
      </w:r>
      <w:proofErr w:type="spellStart"/>
      <w:r>
        <w:t>A</w:t>
      </w:r>
      <w:r>
        <w:t>u</w:t>
      </w:r>
      <w:r>
        <w:t>denasarentzako</w:t>
      </w:r>
      <w:proofErr w:type="spellEnd"/>
      <w:r>
        <w:t xml:space="preserve"> konpentsazioaren kasuan, 2014-2019 epean ehuneko 15eko g</w:t>
      </w:r>
      <w:r>
        <w:t>o</w:t>
      </w:r>
      <w:r>
        <w:t xml:space="preserve">rakada izan zuen 2014ko </w:t>
      </w:r>
      <w:proofErr w:type="spellStart"/>
      <w:r>
        <w:t>PEFarekiko</w:t>
      </w:r>
      <w:proofErr w:type="spellEnd"/>
      <w:r>
        <w:t>, trafiko-aurreikuspenak gainditu egin ba</w:t>
      </w:r>
      <w:r>
        <w:t>i</w:t>
      </w:r>
      <w:r>
        <w:t>tziren; alta, 2020-2029 epealdirako, gorakada hori ehuneko 1,4koa besterik ez da.</w:t>
      </w:r>
    </w:p>
    <w:p w:rsidR="00EF0BDF" w:rsidRDefault="00D22CC5" w:rsidP="00EF0BDF">
      <w:pPr>
        <w:pStyle w:val="texto"/>
        <w:ind w:firstLine="0"/>
        <w:rPr>
          <w:rFonts w:ascii="Arial" w:hAnsi="Arial"/>
          <w:i/>
          <w:iCs/>
          <w:color w:val="000000"/>
          <w:spacing w:val="10"/>
          <w:kern w:val="28"/>
          <w:sz w:val="25"/>
          <w:szCs w:val="26"/>
        </w:rPr>
      </w:pPr>
      <w:proofErr w:type="spellStart"/>
      <w:r>
        <w:rPr>
          <w:rFonts w:ascii="Arial" w:hAnsi="Arial"/>
          <w:i/>
          <w:iCs/>
          <w:color w:val="000000"/>
          <w:sz w:val="25"/>
          <w:szCs w:val="26"/>
        </w:rPr>
        <w:t>Audenasarentzako</w:t>
      </w:r>
      <w:proofErr w:type="spellEnd"/>
      <w:r>
        <w:rPr>
          <w:rFonts w:ascii="Arial" w:hAnsi="Arial"/>
          <w:i/>
          <w:iCs/>
          <w:color w:val="000000"/>
          <w:sz w:val="25"/>
          <w:szCs w:val="26"/>
        </w:rPr>
        <w:t xml:space="preserve"> 2020ko deskontu-konpentsazioa</w:t>
      </w:r>
    </w:p>
    <w:p w:rsidR="00572AE1" w:rsidRDefault="00572AE1" w:rsidP="006C4DAC">
      <w:pPr>
        <w:pStyle w:val="texto"/>
        <w:rPr>
          <w:szCs w:val="26"/>
        </w:rPr>
      </w:pPr>
      <w:r>
        <w:t>2020ko urtarril eta otsaileko fakturen aurkezpenean aipatutako formula apl</w:t>
      </w:r>
      <w:r>
        <w:t>i</w:t>
      </w:r>
      <w:r>
        <w:t xml:space="preserve">katu zen, </w:t>
      </w:r>
      <w:proofErr w:type="spellStart"/>
      <w:r>
        <w:t>Audenasarentzako</w:t>
      </w:r>
      <w:proofErr w:type="spellEnd"/>
      <w:r>
        <w:t xml:space="preserve"> behin-behineko deskontu-konpentsazioa 2,55 mil</w:t>
      </w:r>
      <w:r>
        <w:t>i</w:t>
      </w:r>
      <w:r>
        <w:t>oikoa izanik.</w:t>
      </w:r>
    </w:p>
    <w:p w:rsidR="00572AE1" w:rsidRDefault="005629C8" w:rsidP="00572AE1">
      <w:pPr>
        <w:pStyle w:val="texto"/>
        <w:spacing w:after="240"/>
        <w:rPr>
          <w:szCs w:val="26"/>
        </w:rPr>
      </w:pPr>
      <w:r>
        <w:t>2020ko martxo-ekaina epean, eta nazioarteko pandemiatzat kalifikatu ond</w:t>
      </w:r>
      <w:r>
        <w:t>o</w:t>
      </w:r>
      <w:r>
        <w:t>ren COVID-19ak eragindako osasun publikoaren gaineko larrialdi-egoera eta mugikortasun-murriztapeneko neurriak hartu ondoren, trafikoaren beherakada oso nabarmena gertatu zen, 2019ko hilabete berekin alderatuta (formularen aplikazioan erabilitako datua), jarraian erakusten den bezala:</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845"/>
        <w:gridCol w:w="1540"/>
        <w:gridCol w:w="1540"/>
        <w:gridCol w:w="1540"/>
        <w:gridCol w:w="1540"/>
      </w:tblGrid>
      <w:tr w:rsidR="00C33E41" w:rsidRPr="00C33E41" w:rsidTr="00C33E41">
        <w:trPr>
          <w:trHeight w:val="255"/>
        </w:trPr>
        <w:tc>
          <w:tcPr>
            <w:tcW w:w="1580" w:type="pct"/>
            <w:tcBorders>
              <w:bottom w:val="single" w:sz="4" w:space="0" w:color="auto"/>
            </w:tcBorders>
            <w:shd w:val="clear" w:color="auto" w:fill="8DB3E2"/>
            <w:vAlign w:val="center"/>
          </w:tcPr>
          <w:p w:rsidR="00572AE1" w:rsidRPr="00C33E41" w:rsidRDefault="00572AE1" w:rsidP="00C33E41">
            <w:pPr>
              <w:pStyle w:val="texto"/>
              <w:spacing w:after="0"/>
              <w:ind w:firstLine="0"/>
              <w:jc w:val="left"/>
              <w:rPr>
                <w:rFonts w:ascii="Arial" w:hAnsi="Arial" w:cs="Arial"/>
                <w:sz w:val="18"/>
                <w:szCs w:val="18"/>
              </w:rPr>
            </w:pPr>
          </w:p>
        </w:tc>
        <w:tc>
          <w:tcPr>
            <w:tcW w:w="855" w:type="pct"/>
            <w:tcBorders>
              <w:bottom w:val="single" w:sz="4" w:space="0" w:color="auto"/>
            </w:tcBorders>
            <w:shd w:val="clear" w:color="auto" w:fill="8DB3E2"/>
            <w:vAlign w:val="center"/>
          </w:tcPr>
          <w:p w:rsidR="00572AE1" w:rsidRPr="00C33E41" w:rsidRDefault="00572AE1" w:rsidP="00C33E41">
            <w:pPr>
              <w:pStyle w:val="texto"/>
              <w:spacing w:after="0"/>
              <w:ind w:firstLine="0"/>
              <w:jc w:val="right"/>
              <w:rPr>
                <w:rFonts w:ascii="Arial" w:hAnsi="Arial" w:cs="Arial"/>
                <w:sz w:val="18"/>
                <w:szCs w:val="18"/>
              </w:rPr>
            </w:pPr>
            <w:r>
              <w:rPr>
                <w:rFonts w:ascii="Arial" w:hAnsi="Arial"/>
                <w:sz w:val="18"/>
                <w:szCs w:val="18"/>
              </w:rPr>
              <w:t>Martxoa</w:t>
            </w:r>
          </w:p>
        </w:tc>
        <w:tc>
          <w:tcPr>
            <w:tcW w:w="855" w:type="pct"/>
            <w:tcBorders>
              <w:bottom w:val="single" w:sz="4" w:space="0" w:color="auto"/>
            </w:tcBorders>
            <w:shd w:val="clear" w:color="auto" w:fill="8DB3E2"/>
            <w:vAlign w:val="center"/>
          </w:tcPr>
          <w:p w:rsidR="00572AE1" w:rsidRPr="00C33E41" w:rsidRDefault="00572AE1" w:rsidP="00C33E41">
            <w:pPr>
              <w:pStyle w:val="texto"/>
              <w:spacing w:after="0"/>
              <w:ind w:firstLine="0"/>
              <w:jc w:val="right"/>
              <w:rPr>
                <w:rFonts w:ascii="Arial" w:hAnsi="Arial" w:cs="Arial"/>
                <w:sz w:val="18"/>
                <w:szCs w:val="18"/>
              </w:rPr>
            </w:pPr>
            <w:r>
              <w:rPr>
                <w:rFonts w:ascii="Arial" w:hAnsi="Arial"/>
                <w:sz w:val="18"/>
                <w:szCs w:val="18"/>
              </w:rPr>
              <w:t>Apirila</w:t>
            </w:r>
          </w:p>
        </w:tc>
        <w:tc>
          <w:tcPr>
            <w:tcW w:w="855" w:type="pct"/>
            <w:tcBorders>
              <w:bottom w:val="single" w:sz="4" w:space="0" w:color="auto"/>
            </w:tcBorders>
            <w:shd w:val="clear" w:color="auto" w:fill="8DB3E2"/>
            <w:vAlign w:val="center"/>
          </w:tcPr>
          <w:p w:rsidR="00572AE1" w:rsidRPr="00C33E41" w:rsidRDefault="00572AE1" w:rsidP="00C33E41">
            <w:pPr>
              <w:pStyle w:val="texto"/>
              <w:spacing w:after="0"/>
              <w:ind w:firstLine="0"/>
              <w:jc w:val="right"/>
              <w:rPr>
                <w:rFonts w:ascii="Arial" w:hAnsi="Arial" w:cs="Arial"/>
                <w:sz w:val="18"/>
                <w:szCs w:val="18"/>
              </w:rPr>
            </w:pPr>
            <w:r>
              <w:rPr>
                <w:rFonts w:ascii="Arial" w:hAnsi="Arial"/>
                <w:sz w:val="18"/>
                <w:szCs w:val="18"/>
              </w:rPr>
              <w:t>Maiatza</w:t>
            </w:r>
          </w:p>
        </w:tc>
        <w:tc>
          <w:tcPr>
            <w:tcW w:w="855" w:type="pct"/>
            <w:tcBorders>
              <w:bottom w:val="single" w:sz="4" w:space="0" w:color="auto"/>
            </w:tcBorders>
            <w:shd w:val="clear" w:color="auto" w:fill="8DB3E2"/>
            <w:vAlign w:val="center"/>
          </w:tcPr>
          <w:p w:rsidR="00572AE1" w:rsidRPr="00C33E41" w:rsidRDefault="00572AE1" w:rsidP="00C33E41">
            <w:pPr>
              <w:pStyle w:val="texto"/>
              <w:spacing w:after="0"/>
              <w:ind w:firstLine="0"/>
              <w:jc w:val="right"/>
              <w:rPr>
                <w:rFonts w:ascii="Arial" w:hAnsi="Arial" w:cs="Arial"/>
                <w:sz w:val="18"/>
                <w:szCs w:val="18"/>
              </w:rPr>
            </w:pPr>
            <w:r>
              <w:rPr>
                <w:rFonts w:ascii="Arial" w:hAnsi="Arial"/>
                <w:sz w:val="18"/>
                <w:szCs w:val="18"/>
              </w:rPr>
              <w:t>Ekaina</w:t>
            </w:r>
          </w:p>
        </w:tc>
      </w:tr>
      <w:tr w:rsidR="00572AE1" w:rsidRPr="00C33E41" w:rsidTr="00C33E41">
        <w:trPr>
          <w:trHeight w:val="198"/>
        </w:trPr>
        <w:tc>
          <w:tcPr>
            <w:tcW w:w="1580" w:type="pct"/>
            <w:tcBorders>
              <w:top w:val="single" w:sz="4" w:space="0" w:color="auto"/>
              <w:bottom w:val="single" w:sz="4" w:space="0" w:color="auto"/>
            </w:tcBorders>
            <w:shd w:val="clear" w:color="auto" w:fill="auto"/>
            <w:vAlign w:val="center"/>
          </w:tcPr>
          <w:p w:rsidR="00572AE1" w:rsidRPr="00C33E41" w:rsidRDefault="00572AE1" w:rsidP="00C33E41">
            <w:pPr>
              <w:pStyle w:val="texto"/>
              <w:spacing w:after="0"/>
              <w:ind w:firstLine="0"/>
              <w:jc w:val="left"/>
              <w:rPr>
                <w:rFonts w:ascii="Arial Narrow" w:hAnsi="Arial Narrow"/>
                <w:sz w:val="20"/>
                <w:szCs w:val="20"/>
              </w:rPr>
            </w:pPr>
            <w:r>
              <w:rPr>
                <w:rFonts w:ascii="Arial Narrow" w:hAnsi="Arial Narrow"/>
                <w:sz w:val="20"/>
                <w:szCs w:val="20"/>
              </w:rPr>
              <w:t>2019ko hilabetearekiko aldaket</w:t>
            </w:r>
            <w:r>
              <w:rPr>
                <w:rFonts w:ascii="Arial Narrow" w:hAnsi="Arial Narrow"/>
                <w:sz w:val="20"/>
                <w:szCs w:val="20"/>
              </w:rPr>
              <w:t>a</w:t>
            </w:r>
            <w:r>
              <w:rPr>
                <w:rFonts w:ascii="Arial Narrow" w:hAnsi="Arial Narrow"/>
                <w:sz w:val="20"/>
                <w:szCs w:val="20"/>
              </w:rPr>
              <w:t>ren %</w:t>
            </w:r>
          </w:p>
        </w:tc>
        <w:tc>
          <w:tcPr>
            <w:tcW w:w="855" w:type="pct"/>
            <w:tcBorders>
              <w:top w:val="single" w:sz="4" w:space="0" w:color="auto"/>
              <w:bottom w:val="single" w:sz="4" w:space="0" w:color="auto"/>
            </w:tcBorders>
            <w:shd w:val="clear" w:color="auto" w:fill="auto"/>
            <w:vAlign w:val="center"/>
          </w:tcPr>
          <w:p w:rsidR="00572AE1" w:rsidRPr="00C33E41" w:rsidRDefault="00FC0AED" w:rsidP="00C33E41">
            <w:pPr>
              <w:pStyle w:val="texto"/>
              <w:spacing w:after="0"/>
              <w:ind w:firstLine="0"/>
              <w:jc w:val="right"/>
              <w:rPr>
                <w:rFonts w:ascii="Arial Narrow" w:hAnsi="Arial Narrow"/>
                <w:sz w:val="20"/>
                <w:szCs w:val="20"/>
              </w:rPr>
            </w:pPr>
            <w:r>
              <w:rPr>
                <w:rFonts w:ascii="Arial Narrow" w:hAnsi="Arial Narrow"/>
                <w:sz w:val="20"/>
                <w:szCs w:val="20"/>
              </w:rPr>
              <w:t>-37</w:t>
            </w:r>
          </w:p>
        </w:tc>
        <w:tc>
          <w:tcPr>
            <w:tcW w:w="855" w:type="pct"/>
            <w:tcBorders>
              <w:top w:val="single" w:sz="4" w:space="0" w:color="auto"/>
              <w:bottom w:val="single" w:sz="4" w:space="0" w:color="auto"/>
            </w:tcBorders>
            <w:shd w:val="clear" w:color="auto" w:fill="auto"/>
            <w:vAlign w:val="center"/>
          </w:tcPr>
          <w:p w:rsidR="00572AE1" w:rsidRPr="00C33E41" w:rsidRDefault="00FC0AED" w:rsidP="00C33E41">
            <w:pPr>
              <w:pStyle w:val="texto"/>
              <w:spacing w:after="0"/>
              <w:ind w:firstLine="0"/>
              <w:jc w:val="right"/>
              <w:rPr>
                <w:rFonts w:ascii="Arial Narrow" w:hAnsi="Arial Narrow"/>
                <w:sz w:val="20"/>
                <w:szCs w:val="20"/>
              </w:rPr>
            </w:pPr>
            <w:r>
              <w:rPr>
                <w:rFonts w:ascii="Arial Narrow" w:hAnsi="Arial Narrow"/>
                <w:sz w:val="20"/>
                <w:szCs w:val="20"/>
              </w:rPr>
              <w:t>-69</w:t>
            </w:r>
          </w:p>
        </w:tc>
        <w:tc>
          <w:tcPr>
            <w:tcW w:w="855" w:type="pct"/>
            <w:tcBorders>
              <w:top w:val="single" w:sz="4" w:space="0" w:color="auto"/>
              <w:bottom w:val="single" w:sz="4" w:space="0" w:color="auto"/>
            </w:tcBorders>
            <w:shd w:val="clear" w:color="auto" w:fill="auto"/>
            <w:vAlign w:val="center"/>
          </w:tcPr>
          <w:p w:rsidR="00572AE1" w:rsidRPr="00C33E41" w:rsidRDefault="00FC0AED" w:rsidP="00C33E41">
            <w:pPr>
              <w:pStyle w:val="texto"/>
              <w:spacing w:after="0"/>
              <w:ind w:firstLine="0"/>
              <w:jc w:val="right"/>
              <w:rPr>
                <w:rFonts w:ascii="Arial Narrow" w:hAnsi="Arial Narrow"/>
                <w:sz w:val="20"/>
                <w:szCs w:val="20"/>
              </w:rPr>
            </w:pPr>
            <w:r>
              <w:rPr>
                <w:rFonts w:ascii="Arial Narrow" w:hAnsi="Arial Narrow"/>
                <w:sz w:val="20"/>
                <w:szCs w:val="20"/>
              </w:rPr>
              <w:t>-48</w:t>
            </w:r>
          </w:p>
        </w:tc>
        <w:tc>
          <w:tcPr>
            <w:tcW w:w="855" w:type="pct"/>
            <w:tcBorders>
              <w:top w:val="single" w:sz="4" w:space="0" w:color="auto"/>
              <w:bottom w:val="single" w:sz="4" w:space="0" w:color="auto"/>
            </w:tcBorders>
            <w:shd w:val="clear" w:color="auto" w:fill="auto"/>
            <w:vAlign w:val="center"/>
          </w:tcPr>
          <w:p w:rsidR="00572AE1" w:rsidRPr="00C33E41" w:rsidRDefault="00FC0AED" w:rsidP="00C33E41">
            <w:pPr>
              <w:pStyle w:val="texto"/>
              <w:spacing w:after="0"/>
              <w:ind w:firstLine="0"/>
              <w:jc w:val="right"/>
              <w:rPr>
                <w:rFonts w:ascii="Arial Narrow" w:hAnsi="Arial Narrow"/>
                <w:sz w:val="20"/>
                <w:szCs w:val="20"/>
              </w:rPr>
            </w:pPr>
            <w:r>
              <w:rPr>
                <w:rFonts w:ascii="Arial Narrow" w:hAnsi="Arial Narrow"/>
                <w:sz w:val="20"/>
                <w:szCs w:val="20"/>
              </w:rPr>
              <w:t>-21</w:t>
            </w:r>
          </w:p>
        </w:tc>
      </w:tr>
    </w:tbl>
    <w:p w:rsidR="00572AE1" w:rsidRDefault="00572AE1" w:rsidP="00572AE1">
      <w:pPr>
        <w:pStyle w:val="texto"/>
        <w:spacing w:before="240"/>
        <w:rPr>
          <w:szCs w:val="26"/>
        </w:rPr>
      </w:pPr>
      <w:r>
        <w:t xml:space="preserve">Adierazitako formulan trafiko-beherakadaren portzentaje horiek aplikatzetik suertatzen zen ezen negatiboa zela </w:t>
      </w:r>
      <w:proofErr w:type="spellStart"/>
      <w:r>
        <w:t>NFKAk</w:t>
      </w:r>
      <w:proofErr w:type="spellEnd"/>
      <w:r>
        <w:t xml:space="preserve"> </w:t>
      </w:r>
      <w:proofErr w:type="spellStart"/>
      <w:r>
        <w:t>Audenasari</w:t>
      </w:r>
      <w:proofErr w:type="spellEnd"/>
      <w:r>
        <w:t xml:space="preserve"> ordaindu beharreko </w:t>
      </w:r>
      <w:r>
        <w:lastRenderedPageBreak/>
        <w:t xml:space="preserve">kantitatea, eta emaitza hori ilogikoa da, erreparatzen badiogu alderdiek 2007ko hitzarmenean adostutakoaren helburuari. </w:t>
      </w:r>
    </w:p>
    <w:p w:rsidR="00572AE1" w:rsidRDefault="00572AE1" w:rsidP="00572AE1">
      <w:pPr>
        <w:pStyle w:val="texto"/>
        <w:spacing w:before="120"/>
        <w:rPr>
          <w:szCs w:val="26"/>
        </w:rPr>
      </w:pPr>
      <w:r>
        <w:t xml:space="preserve">Egoera horren aurrean, Nafarroako Gobernuaren ordezkariak eta </w:t>
      </w:r>
      <w:proofErr w:type="spellStart"/>
      <w:r>
        <w:t>Audenasak</w:t>
      </w:r>
      <w:proofErr w:type="spellEnd"/>
      <w:r>
        <w:t xml:space="preserve"> hitzartu zuten bertan behera uztea hilabete horiei zegokien fakturazioa, </w:t>
      </w:r>
      <w:proofErr w:type="spellStart"/>
      <w:r>
        <w:t>NFKAri</w:t>
      </w:r>
      <w:proofErr w:type="spellEnd"/>
      <w:r>
        <w:t xml:space="preserve"> baizik ez fakturatzea hileroko likidazioetan balio positiboak suertatzen zir</w:t>
      </w:r>
      <w:r>
        <w:t>e</w:t>
      </w:r>
      <w:r>
        <w:t>nean, eta urte bukaerako egoeraren analisi xehakatuagoa egitea, hori izaki, a</w:t>
      </w:r>
      <w:r>
        <w:t>z</w:t>
      </w:r>
      <w:r>
        <w:t>ken batean, urteko likidaziorako erabilitako datua.</w:t>
      </w:r>
    </w:p>
    <w:p w:rsidR="00127A8E" w:rsidRDefault="00572AE1" w:rsidP="00127A8E">
      <w:pPr>
        <w:pStyle w:val="texto"/>
        <w:spacing w:before="120"/>
        <w:rPr>
          <w:szCs w:val="26"/>
        </w:rPr>
      </w:pPr>
      <w:r>
        <w:t xml:space="preserve">Lantalde bat eratu zen Nafarroako Gobernuaren ordezkariarekin eta </w:t>
      </w:r>
      <w:proofErr w:type="spellStart"/>
      <w:r>
        <w:t>Auden</w:t>
      </w:r>
      <w:r>
        <w:t>a</w:t>
      </w:r>
      <w:r>
        <w:t>sako</w:t>
      </w:r>
      <w:proofErr w:type="spellEnd"/>
      <w:r>
        <w:t xml:space="preserve"> langileekin, zeinak adostasunez ondorioztatu baitzuen ezen, trafiko-beherakada kontuan izanik, 1,65 baliodun C koefizientea aplikatzea ez zela egokia, eta horregatik proposatzen zen 1 balioa erabiltzea C koefizienterako.</w:t>
      </w:r>
    </w:p>
    <w:p w:rsidR="000849DA" w:rsidRDefault="0020668F" w:rsidP="00127A8E">
      <w:pPr>
        <w:pStyle w:val="texto"/>
        <w:spacing w:before="120"/>
        <w:rPr>
          <w:szCs w:val="26"/>
        </w:rPr>
      </w:pPr>
      <w:proofErr w:type="spellStart"/>
      <w:r>
        <w:t>Audenasak</w:t>
      </w:r>
      <w:proofErr w:type="spellEnd"/>
      <w:r>
        <w:t xml:space="preserve"> 2020ko azaroaren 30 datako faktura egin zuen, kontzeptu gisa zeukana azaroko konpentsazioaren ordainketa eta 2020ko </w:t>
      </w:r>
      <w:proofErr w:type="spellStart"/>
      <w:r>
        <w:t>urtarrila-urria</w:t>
      </w:r>
      <w:proofErr w:type="spellEnd"/>
      <w:r>
        <w:t xml:space="preserve"> epea</w:t>
      </w:r>
      <w:r>
        <w:t>l</w:t>
      </w:r>
      <w:r>
        <w:t xml:space="preserve">diaren </w:t>
      </w:r>
      <w:proofErr w:type="spellStart"/>
      <w:r>
        <w:t>erregularizazioa</w:t>
      </w:r>
      <w:proofErr w:type="spellEnd"/>
      <w:r>
        <w:t xml:space="preserve">, zeinean C koefizientearen balioa 1 den, hitzarmeneko formulari buruzko interpretazio bat eginik, sozietate horretako Administrazio Kontseiluak lantaldearen proposamenez erabaki zuen bezalaxe. </w:t>
      </w:r>
    </w:p>
    <w:p w:rsidR="00127A8E" w:rsidRDefault="00127A8E" w:rsidP="00127A8E">
      <w:pPr>
        <w:pStyle w:val="texto"/>
        <w:spacing w:before="120"/>
        <w:rPr>
          <w:szCs w:val="26"/>
        </w:rPr>
      </w:pPr>
      <w:r>
        <w:t>2020ko abenduaren 23an, Nafarroako Gobernuaren ordezkariak txosten b</w:t>
      </w:r>
      <w:r>
        <w:t>a</w:t>
      </w:r>
      <w:r>
        <w:t xml:space="preserve">tean proposatu zuen 2020ko azaroko faktura ordaintzea bidesari-deskontuen konpentsazioagatik, trafiko-beherakada argudiotzat hartuta C koefizienteari 1 balioa aplikatzea oinarritzeko. Horrek esan nahi zuen </w:t>
      </w:r>
      <w:proofErr w:type="spellStart"/>
      <w:r>
        <w:t>Audenasari</w:t>
      </w:r>
      <w:proofErr w:type="spellEnd"/>
      <w:r>
        <w:t xml:space="preserve"> 6,28 milioi ordaintzea. </w:t>
      </w:r>
    </w:p>
    <w:p w:rsidR="00127A8E" w:rsidRPr="00133235" w:rsidRDefault="00127A8E" w:rsidP="00127A8E">
      <w:pPr>
        <w:pStyle w:val="texto"/>
        <w:spacing w:before="120"/>
        <w:rPr>
          <w:szCs w:val="26"/>
        </w:rPr>
      </w:pPr>
      <w:r>
        <w:t>2020ko abenduaren 24an, fiskalizaziora aurkeztu zen Ekonomia eta Ogas</w:t>
      </w:r>
      <w:r>
        <w:t>u</w:t>
      </w:r>
      <w:r>
        <w:t>neko kontseilariaren foru agindu baterako proposamen bat, zeinaren bidez agi</w:t>
      </w:r>
      <w:r>
        <w:t>n</w:t>
      </w:r>
      <w:r>
        <w:t xml:space="preserve">tzen baitzen </w:t>
      </w:r>
      <w:proofErr w:type="spellStart"/>
      <w:r>
        <w:t>Audenasari</w:t>
      </w:r>
      <w:proofErr w:type="spellEnd"/>
      <w:r>
        <w:t xml:space="preserve"> 6,28 milioi ordaintzea, Nafarroako Gobernuaren o</w:t>
      </w:r>
      <w:r>
        <w:t>r</w:t>
      </w:r>
      <w:r>
        <w:t>dezkariak proposatzen zuen bezala.</w:t>
      </w:r>
    </w:p>
    <w:p w:rsidR="00127A8E" w:rsidRPr="00133235" w:rsidRDefault="00127A8E" w:rsidP="00A41F3D">
      <w:pPr>
        <w:pStyle w:val="texto"/>
        <w:spacing w:before="120"/>
        <w:rPr>
          <w:szCs w:val="26"/>
        </w:rPr>
      </w:pPr>
      <w:r>
        <w:t xml:space="preserve">2020ko abenduaren 30ean, </w:t>
      </w:r>
      <w:proofErr w:type="spellStart"/>
      <w:r>
        <w:t>Kontu-hartzailetza</w:t>
      </w:r>
      <w:proofErr w:type="spellEnd"/>
      <w:r>
        <w:t xml:space="preserve"> Orokorrak eragozpen-txosten etengarri bat egin zuen aurreko foru agindurako proposamena zela-eta, honako hau azaldurik "...irizpide-aldaketa bat aplikatzen zaio AP-15aren emakidadun</w:t>
      </w:r>
      <w:r>
        <w:t>a</w:t>
      </w:r>
      <w:r>
        <w:t xml:space="preserve">ren diru-bilketa teorikoa zehazteko formularen interpretazioari, horretarako motibazio logiko eta juridikorik egon gabe; horrenbestez, ez dago frogatuta </w:t>
      </w:r>
      <w:proofErr w:type="spellStart"/>
      <w:r>
        <w:t>Audenasak</w:t>
      </w:r>
      <w:proofErr w:type="spellEnd"/>
      <w:r>
        <w:t xml:space="preserve"> eskubidea duenik proposaturiko ordainketa egin dakion, eta kalte egiten zaio Ogasun Publikoari...".</w:t>
      </w:r>
    </w:p>
    <w:p w:rsidR="00D2065A" w:rsidRPr="00133235" w:rsidRDefault="00D2065A" w:rsidP="00D2065A">
      <w:pPr>
        <w:pStyle w:val="texto"/>
        <w:spacing w:before="120"/>
        <w:rPr>
          <w:szCs w:val="26"/>
        </w:rPr>
      </w:pPr>
      <w:r>
        <w:t>2020ko abenduaren 30ean bertan, Gobernuaren ordezkariak 2020ko azaroko faktura ordaintzeko proposamen aldatu bat izapidetu zuen, 1,21 milioiko zenb</w:t>
      </w:r>
      <w:r>
        <w:t>a</w:t>
      </w:r>
      <w:r>
        <w:t>tekoa zeukana; kopuru hori C koefizienteari 1,65 balioa aplikatzetik suertatzen da.</w:t>
      </w:r>
    </w:p>
    <w:p w:rsidR="00D2065A" w:rsidRPr="00133235" w:rsidRDefault="008C468B" w:rsidP="00D2065A">
      <w:pPr>
        <w:pStyle w:val="texto"/>
        <w:spacing w:before="120"/>
        <w:rPr>
          <w:szCs w:val="26"/>
        </w:rPr>
      </w:pPr>
      <w:r>
        <w:t xml:space="preserve">Ordainketa-proposamen aldatu hori kontuan harturik eta </w:t>
      </w:r>
      <w:proofErr w:type="spellStart"/>
      <w:r>
        <w:t>Kontu-hartzailetza</w:t>
      </w:r>
      <w:proofErr w:type="spellEnd"/>
      <w:r>
        <w:t xml:space="preserve"> Orokorraren eragozpena onarturik, Ekonomia eta Ogasuneko kontseilariak abenduaren 31ko 41E/2020 Foru Agindua onetsi zuen, zeinaren bidez agintzen </w:t>
      </w:r>
      <w:r>
        <w:lastRenderedPageBreak/>
        <w:t>baitzen ordain zedila 2020ko azaroko faktura, 1,21 milioiko zenbatekoa ze</w:t>
      </w:r>
      <w:r>
        <w:t>u</w:t>
      </w:r>
      <w:r>
        <w:t>kana.</w:t>
      </w:r>
    </w:p>
    <w:p w:rsidR="00040D64" w:rsidRDefault="00040D64">
      <w:pPr>
        <w:spacing w:after="0"/>
        <w:ind w:firstLine="0"/>
        <w:jc w:val="left"/>
        <w:rPr>
          <w:spacing w:val="6"/>
          <w:sz w:val="26"/>
          <w:szCs w:val="26"/>
        </w:rPr>
      </w:pPr>
      <w:r>
        <w:br w:type="page"/>
      </w:r>
    </w:p>
    <w:p w:rsidR="00D2065A" w:rsidRPr="00133235" w:rsidRDefault="00927176" w:rsidP="00927176">
      <w:pPr>
        <w:pStyle w:val="texto"/>
        <w:spacing w:before="120"/>
        <w:rPr>
          <w:szCs w:val="26"/>
        </w:rPr>
      </w:pPr>
      <w:r>
        <w:lastRenderedPageBreak/>
        <w:t xml:space="preserve">2021eko otsailaren 4an, </w:t>
      </w:r>
      <w:proofErr w:type="spellStart"/>
      <w:r>
        <w:t>Audenasak</w:t>
      </w:r>
      <w:proofErr w:type="spellEnd"/>
      <w:r>
        <w:t xml:space="preserve"> gora jotzeko errekurtsoa jarri zuen a</w:t>
      </w:r>
      <w:r>
        <w:t>u</w:t>
      </w:r>
      <w:r>
        <w:t>rreko foru aginduaren aurka, non bere argudioak agertzen baititu. Besteak beste, honako hauek:</w:t>
      </w:r>
    </w:p>
    <w:p w:rsidR="00CE31BC" w:rsidRPr="00133235" w:rsidRDefault="00CE31BC" w:rsidP="00927176">
      <w:pPr>
        <w:pStyle w:val="texto"/>
        <w:spacing w:before="120"/>
        <w:rPr>
          <w:i/>
          <w:sz w:val="24"/>
        </w:rPr>
      </w:pPr>
      <w:r>
        <w:rPr>
          <w:i/>
          <w:sz w:val="24"/>
        </w:rPr>
        <w:t>“...errealitate horrek modu nabari eta eztabaidaezinean utzi du agerian orain arte inor jabeturik ez zegoen gauza bat; hots, hein honetako beherakadetan formula apl</w:t>
      </w:r>
      <w:r>
        <w:rPr>
          <w:i/>
          <w:sz w:val="24"/>
        </w:rPr>
        <w:t>i</w:t>
      </w:r>
      <w:r>
        <w:rPr>
          <w:i/>
          <w:sz w:val="24"/>
        </w:rPr>
        <w:t xml:space="preserve">katzea ilogikoa ez ezik </w:t>
      </w:r>
      <w:proofErr w:type="spellStart"/>
      <w:r>
        <w:rPr>
          <w:i/>
          <w:sz w:val="24"/>
        </w:rPr>
        <w:t>–hori</w:t>
      </w:r>
      <w:proofErr w:type="spellEnd"/>
      <w:r>
        <w:rPr>
          <w:i/>
          <w:sz w:val="24"/>
        </w:rPr>
        <w:t xml:space="preserve"> ere </w:t>
      </w:r>
      <w:proofErr w:type="spellStart"/>
      <w:r>
        <w:rPr>
          <w:i/>
          <w:sz w:val="24"/>
        </w:rPr>
        <w:t>bai–</w:t>
      </w:r>
      <w:proofErr w:type="spellEnd"/>
      <w:r>
        <w:rPr>
          <w:i/>
          <w:sz w:val="24"/>
        </w:rPr>
        <w:t xml:space="preserve"> zeharo ezinezkoa eta jasanezina ere badela. 2008tik 2012ra bitarteko epean izandakoak bezalako beherakada txikiek ez zuten formula estresatu, ez eta erakutsi ere efektu hain galgarri hau ere; baina ezin da gauza bera esan 2020ko beherakaden ondoren, hain gogorrak ezen begi-bistan utzi baitute formularen aplikazioa ez dagoela hitzarmenaren zentzuari doitua ez eta, h</w:t>
      </w:r>
      <w:r>
        <w:rPr>
          <w:i/>
          <w:sz w:val="24"/>
        </w:rPr>
        <w:t>o</w:t>
      </w:r>
      <w:r>
        <w:rPr>
          <w:i/>
          <w:sz w:val="24"/>
        </w:rPr>
        <w:t>rrenbestez, alderdien nahiari ere, eta ezin erabilizko gertatu da hain zirkunstantzia-aldaketa paregabe eta pisuzko batean..."</w:t>
      </w:r>
    </w:p>
    <w:p w:rsidR="00CE31BC" w:rsidRPr="00133235" w:rsidRDefault="00CE31BC" w:rsidP="00CE31BC">
      <w:pPr>
        <w:autoSpaceDE w:val="0"/>
        <w:autoSpaceDN w:val="0"/>
        <w:adjustRightInd w:val="0"/>
        <w:spacing w:after="0"/>
        <w:ind w:firstLine="284"/>
        <w:jc w:val="left"/>
        <w:rPr>
          <w:i/>
          <w:spacing w:val="6"/>
          <w:sz w:val="24"/>
          <w:szCs w:val="24"/>
        </w:rPr>
      </w:pPr>
      <w:r>
        <w:rPr>
          <w:i/>
          <w:sz w:val="24"/>
          <w:szCs w:val="24"/>
        </w:rPr>
        <w:t>"...Bereziki aintzat hartu beharrekoa da, lehenik eta behin, Administrazio batek denb</w:t>
      </w:r>
      <w:r>
        <w:rPr>
          <w:i/>
          <w:sz w:val="24"/>
          <w:szCs w:val="24"/>
        </w:rPr>
        <w:t>o</w:t>
      </w:r>
      <w:r>
        <w:rPr>
          <w:i/>
          <w:sz w:val="24"/>
          <w:szCs w:val="24"/>
        </w:rPr>
        <w:t>ran zehar duen irizpidea ez dela monolitikoa; alda daiteke, eta horren froga dugu Adm</w:t>
      </w:r>
      <w:r>
        <w:rPr>
          <w:i/>
          <w:sz w:val="24"/>
          <w:szCs w:val="24"/>
        </w:rPr>
        <w:t>i</w:t>
      </w:r>
      <w:r>
        <w:rPr>
          <w:i/>
          <w:sz w:val="24"/>
          <w:szCs w:val="24"/>
        </w:rPr>
        <w:t>nistrazio Prozedura Erkideari buruzko urriaren 1eko 39/2015 Legearen 35. artikuluak erabateko argitasunez dioela hau: "Arrazoitu egin behar dira, egitateak eta zuzenbideko oinarriak labur adieraziz:</w:t>
      </w:r>
      <w:r>
        <w:rPr>
          <w:i/>
          <w:sz w:val="24"/>
          <w:szCs w:val="24"/>
        </w:rPr>
        <w:cr/>
        <w:t xml:space="preserve"> ...c) Lehenagoko jarduketetan erabilitako irizpidearekin edo organo aholku-emaileek emandako irizpenarekin bat ez datozen egintzak.  </w:t>
      </w:r>
    </w:p>
    <w:p w:rsidR="00E16110" w:rsidRDefault="00CE31BC" w:rsidP="00CE31BC">
      <w:pPr>
        <w:pStyle w:val="texto"/>
        <w:spacing w:before="240"/>
        <w:rPr>
          <w:i/>
          <w:sz w:val="24"/>
        </w:rPr>
      </w:pPr>
      <w:r>
        <w:rPr>
          <w:i/>
          <w:sz w:val="24"/>
        </w:rPr>
        <w:t xml:space="preserve">Beraz, Administrazioak zilegi du lehenagoko irizpide batekin </w:t>
      </w:r>
      <w:proofErr w:type="spellStart"/>
      <w:r>
        <w:rPr>
          <w:i/>
          <w:sz w:val="24"/>
        </w:rPr>
        <w:t>bat</w:t>
      </w:r>
      <w:proofErr w:type="spellEnd"/>
      <w:r>
        <w:rPr>
          <w:i/>
          <w:sz w:val="24"/>
        </w:rPr>
        <w:t xml:space="preserve"> ez etortzea. Arr</w:t>
      </w:r>
      <w:r>
        <w:rPr>
          <w:i/>
          <w:sz w:val="24"/>
        </w:rPr>
        <w:t>a</w:t>
      </w:r>
      <w:r>
        <w:rPr>
          <w:i/>
          <w:sz w:val="24"/>
        </w:rPr>
        <w:t>zoiak agertuz jokatu beharko du noski, baina jadanik aurreko zuzenbide-oinarrian ezin argiago ikusi dugu motibazio hori badagoela, eta irizpide-aldaketa zeharo just</w:t>
      </w:r>
      <w:r>
        <w:rPr>
          <w:i/>
          <w:sz w:val="24"/>
        </w:rPr>
        <w:t>i</w:t>
      </w:r>
      <w:r>
        <w:rPr>
          <w:i/>
          <w:sz w:val="24"/>
        </w:rPr>
        <w:t>fikaturik dagoela inoiz ez bezalako zirkunstantzia-suertatze batean, parada eman d</w:t>
      </w:r>
      <w:r>
        <w:rPr>
          <w:i/>
          <w:sz w:val="24"/>
        </w:rPr>
        <w:t>u</w:t>
      </w:r>
      <w:r>
        <w:rPr>
          <w:i/>
          <w:sz w:val="24"/>
        </w:rPr>
        <w:t xml:space="preserve">ena </w:t>
      </w:r>
      <w:proofErr w:type="spellStart"/>
      <w:r>
        <w:rPr>
          <w:i/>
          <w:sz w:val="24"/>
        </w:rPr>
        <w:t>ustekabeki</w:t>
      </w:r>
      <w:proofErr w:type="spellEnd"/>
      <w:r>
        <w:rPr>
          <w:i/>
          <w:sz w:val="24"/>
        </w:rPr>
        <w:t xml:space="preserve"> ohartu eta frogatzeko ezen konpentsazio-kalkulurako formulak, orain arte interpretatu den horretan, emaitza absurdo, oker eta jasanezinetara eramaten duela. Horrek behartzen du moldatze- edo samurtze-xedeetarako interpretazio-aldaketa bat egitera, zeinak, gainera, orain arte azaldutako guztia gutxi balitz bezala, oinarria aurkitzen baitu 1999ko maiatzean formalizaturiko hitzarmen indardunaren 7. klausulan.</w:t>
      </w:r>
    </w:p>
    <w:p w:rsidR="00E16110" w:rsidRPr="00E16110" w:rsidRDefault="00E16110" w:rsidP="00E16110">
      <w:pPr>
        <w:pStyle w:val="texto"/>
        <w:spacing w:before="120" w:after="120"/>
        <w:rPr>
          <w:i/>
          <w:sz w:val="24"/>
        </w:rPr>
      </w:pPr>
      <w:r>
        <w:rPr>
          <w:i/>
          <w:sz w:val="24"/>
        </w:rPr>
        <w:t xml:space="preserve">...Laburbilduta, Nafarroako Foru Komunitateko Administrazioak bide eta bitarteko juridiko aproposak ditu formularen gaur egungo aplikazioak frogatuki sortzen duen distortsio itzela, ezinezkoa eta irrazionala onbideratzeko, dela interpretazio-irizpide berri bat aplikatuz, dela </w:t>
      </w:r>
      <w:proofErr w:type="spellStart"/>
      <w:r>
        <w:rPr>
          <w:i/>
          <w:sz w:val="24"/>
        </w:rPr>
        <w:t>AUDENASArekin</w:t>
      </w:r>
      <w:proofErr w:type="spellEnd"/>
      <w:r>
        <w:rPr>
          <w:i/>
          <w:sz w:val="24"/>
        </w:rPr>
        <w:t xml:space="preserve"> hitzarmenaren aldakuntza formala ado</w:t>
      </w:r>
      <w:r>
        <w:rPr>
          <w:i/>
          <w:sz w:val="24"/>
        </w:rPr>
        <w:t>s</w:t>
      </w:r>
      <w:r>
        <w:rPr>
          <w:i/>
          <w:sz w:val="24"/>
        </w:rPr>
        <w:t>tuz, AP-15 autobidean deskontu-politika komertzial berri bat aplikatzea helburu.</w:t>
      </w:r>
    </w:p>
    <w:p w:rsidR="00E16110" w:rsidRPr="00E16110" w:rsidRDefault="00E16110" w:rsidP="00E16110">
      <w:pPr>
        <w:pStyle w:val="texto"/>
        <w:spacing w:before="120"/>
        <w:rPr>
          <w:i/>
          <w:sz w:val="24"/>
        </w:rPr>
      </w:pPr>
      <w:r>
        <w:rPr>
          <w:i/>
          <w:sz w:val="24"/>
        </w:rPr>
        <w:t>Bidezko da, beraz, helegite hau baietsi eta eskaturiko konpentsazioa ordaintzea: 6.284.728,28 euro...".</w:t>
      </w:r>
    </w:p>
    <w:p w:rsidR="006C4DAC" w:rsidRPr="00133235" w:rsidRDefault="00CE31BC" w:rsidP="00CE31BC">
      <w:pPr>
        <w:pStyle w:val="texto"/>
        <w:tabs>
          <w:tab w:val="clear" w:pos="2835"/>
          <w:tab w:val="clear" w:pos="3969"/>
          <w:tab w:val="clear" w:pos="5103"/>
          <w:tab w:val="clear" w:pos="6237"/>
          <w:tab w:val="clear" w:pos="7371"/>
          <w:tab w:val="left" w:pos="480"/>
          <w:tab w:val="num" w:pos="600"/>
        </w:tabs>
        <w:spacing w:after="100"/>
        <w:ind w:firstLine="290"/>
        <w:rPr>
          <w:szCs w:val="26"/>
        </w:rPr>
      </w:pPr>
      <w:r>
        <w:t xml:space="preserve">2021eko otsailaren 10ean, Nafarroako Gobernuaren ordezkariak </w:t>
      </w:r>
      <w:proofErr w:type="spellStart"/>
      <w:r>
        <w:t>Audenas</w:t>
      </w:r>
      <w:r>
        <w:t>a</w:t>
      </w:r>
      <w:r>
        <w:t>ren</w:t>
      </w:r>
      <w:proofErr w:type="spellEnd"/>
      <w:r>
        <w:t xml:space="preserve"> gora jotzeko helegiteari buruzko txosten bat eman zuen, zeinean, besteak </w:t>
      </w:r>
      <w:proofErr w:type="spellStart"/>
      <w:r>
        <w:t>beste</w:t>
      </w:r>
      <w:proofErr w:type="spellEnd"/>
      <w:r>
        <w:t>, honako baieztapen hauek egiten baitira:</w:t>
      </w:r>
    </w:p>
    <w:p w:rsidR="00BE2B23" w:rsidRPr="00133235" w:rsidRDefault="00BE2B23" w:rsidP="00BE2B23">
      <w:pPr>
        <w:pStyle w:val="texto"/>
        <w:spacing w:before="120"/>
        <w:rPr>
          <w:i/>
          <w:sz w:val="24"/>
        </w:rPr>
      </w:pPr>
      <w:r>
        <w:rPr>
          <w:i/>
          <w:sz w:val="24"/>
        </w:rPr>
        <w:t xml:space="preserve">"...Ordezkari hau bat dator emakidadunak gora jotzeko helegitean defendaturiko oinarriarekin, zeina baita 1999ko hitzarmena tankeratua izan zela emakidadunari diru-sarreren galerarengatiko konpentsazioa emateko, ikuspegia betiere izanik ezen </w:t>
      </w:r>
      <w:r>
        <w:rPr>
          <w:i/>
          <w:sz w:val="24"/>
        </w:rPr>
        <w:lastRenderedPageBreak/>
        <w:t>deskontu-politikak gehitu eginen zuela autobideko trafikoa eta, horrenbestez, F2 eta C formulako eguneratze-faktoreak gehikuntza gisa definituak izatea.</w:t>
      </w:r>
    </w:p>
    <w:p w:rsidR="00BE2B23" w:rsidRPr="00133235" w:rsidRDefault="00BE2B23" w:rsidP="00BE2B23">
      <w:pPr>
        <w:pStyle w:val="texto"/>
        <w:spacing w:before="120"/>
        <w:rPr>
          <w:i/>
          <w:sz w:val="24"/>
        </w:rPr>
      </w:pPr>
      <w:r>
        <w:rPr>
          <w:i/>
          <w:sz w:val="24"/>
        </w:rPr>
        <w:t xml:space="preserve">Alabaina, formularen interpretazio logiko eta arteza, haren terminoen berezko zentzuaren araberakoa, halako moduz egin behar da non aintzat hartuko baitira, formularen literaltasuna ez ezik, baita testuingurua, aurrekariak, errealitatea eta aplikatze-uneko inguruabarrak ere, nagusiki hitzarmenaren espirituari eta helburuari erreparatuta. Alderdiak bat datoz 1999an </w:t>
      </w:r>
      <w:proofErr w:type="spellStart"/>
      <w:r>
        <w:rPr>
          <w:i/>
          <w:sz w:val="24"/>
        </w:rPr>
        <w:t>aurreikusgaitza</w:t>
      </w:r>
      <w:proofErr w:type="spellEnd"/>
      <w:r>
        <w:rPr>
          <w:i/>
          <w:sz w:val="24"/>
        </w:rPr>
        <w:t xml:space="preserve"> zela 2020an pandemiaren ondorioz suertaturikoa bezalako egoera bat...</w:t>
      </w:r>
    </w:p>
    <w:p w:rsidR="00BE2B23" w:rsidRPr="00133235" w:rsidRDefault="00BE2B23" w:rsidP="00BE2B23">
      <w:pPr>
        <w:pStyle w:val="texto"/>
        <w:spacing w:before="120"/>
        <w:rPr>
          <w:i/>
          <w:sz w:val="24"/>
        </w:rPr>
      </w:pPr>
      <w:r>
        <w:rPr>
          <w:i/>
          <w:sz w:val="24"/>
        </w:rPr>
        <w:t>...Egia da 2008-2013 urte-tartean indarreko urte-koefizientea aplikatu zela, err</w:t>
      </w:r>
      <w:r>
        <w:rPr>
          <w:i/>
          <w:sz w:val="24"/>
        </w:rPr>
        <w:t>e</w:t>
      </w:r>
      <w:r>
        <w:rPr>
          <w:i/>
          <w:sz w:val="24"/>
        </w:rPr>
        <w:t>pide horretako trafikoan aldaketa negatiboak suertatu ziren arren. Baina egia izan ere bada, gora jotzeko helegitean adierazten den bezala, urte haietan ez zela gertatu 2020koa bezalako distortsiorik, eta interpretazio-irizpide hori ez zuen ezein alderdik auzitan jarri. Oraingoan, ordea, bai. Ez da harritzekoa anomalia hori aurreko urte</w:t>
      </w:r>
      <w:r>
        <w:rPr>
          <w:i/>
          <w:sz w:val="24"/>
        </w:rPr>
        <w:t>e</w:t>
      </w:r>
      <w:r>
        <w:rPr>
          <w:i/>
          <w:sz w:val="24"/>
        </w:rPr>
        <w:t>tan detektatu ez izana, zeren eta, 2008an, errepideko trafikoak behera egin zueneko lehenbizikoan, diru-bilketa teorikoaren zenbatekoak gora egin baitzuen, eta horrela gertatu zen 2011n ere...</w:t>
      </w:r>
    </w:p>
    <w:p w:rsidR="00E16110" w:rsidRDefault="00BE2B23" w:rsidP="005E280A">
      <w:pPr>
        <w:pStyle w:val="texto"/>
        <w:spacing w:before="120"/>
        <w:rPr>
          <w:i/>
          <w:sz w:val="24"/>
        </w:rPr>
      </w:pPr>
      <w:r>
        <w:rPr>
          <w:i/>
          <w:sz w:val="24"/>
        </w:rPr>
        <w:t xml:space="preserve">...Nagusiki hitzarmenaren espirituari eta helburuari helduta, zuzentasunezkotzat jotzen da, F2 negatibo suertatzen denean, </w:t>
      </w:r>
      <w:proofErr w:type="spellStart"/>
      <w:r>
        <w:rPr>
          <w:i/>
          <w:sz w:val="24"/>
        </w:rPr>
        <w:t>Ck</w:t>
      </w:r>
      <w:proofErr w:type="spellEnd"/>
      <w:r>
        <w:rPr>
          <w:i/>
          <w:sz w:val="24"/>
        </w:rPr>
        <w:t xml:space="preserve"> hartu beharreko balioa 1 izatea, era horretan efektu neutroa baitauka diru-sarrera teorikoen formularen emaitzan...</w:t>
      </w:r>
    </w:p>
    <w:p w:rsidR="00E16110" w:rsidRPr="00E16110" w:rsidRDefault="00E16110" w:rsidP="00E16110">
      <w:pPr>
        <w:pStyle w:val="texto"/>
        <w:spacing w:before="120"/>
        <w:rPr>
          <w:i/>
          <w:sz w:val="24"/>
        </w:rPr>
      </w:pPr>
      <w:r>
        <w:rPr>
          <w:i/>
          <w:sz w:val="24"/>
        </w:rPr>
        <w:t xml:space="preserve">...Ez da zuzentzat jotzen </w:t>
      </w:r>
      <w:proofErr w:type="spellStart"/>
      <w:r>
        <w:rPr>
          <w:i/>
          <w:sz w:val="24"/>
        </w:rPr>
        <w:t>Kontu-hartzailetzak</w:t>
      </w:r>
      <w:proofErr w:type="spellEnd"/>
      <w:r>
        <w:rPr>
          <w:i/>
          <w:sz w:val="24"/>
        </w:rPr>
        <w:t xml:space="preserve"> eginiko interpretazioa, zeinaren ustez C = 1,65 koefizientearen aplikazioari eutsi behar baitzaio errepideko trafikoak beh</w:t>
      </w:r>
      <w:r>
        <w:rPr>
          <w:i/>
          <w:sz w:val="24"/>
        </w:rPr>
        <w:t>e</w:t>
      </w:r>
      <w:r>
        <w:rPr>
          <w:i/>
          <w:sz w:val="24"/>
        </w:rPr>
        <w:t>rakadak izaten dituenean. Izan ere, ez du 1999an adosturiko formularen literaltasuna aintzat hartzen, eta sinaturiko hitzarmenaren espirituari eta helburuari ere ez die erreparatzen. Eta hain zuzen interpretazio hori da martxo, apiril eta maiatzean ko</w:t>
      </w:r>
      <w:r>
        <w:rPr>
          <w:i/>
          <w:sz w:val="24"/>
        </w:rPr>
        <w:t>n</w:t>
      </w:r>
      <w:r>
        <w:rPr>
          <w:i/>
          <w:sz w:val="24"/>
        </w:rPr>
        <w:t>pentsazioaren kalkuluaren emaitzak izandako distortsio garrantzitsuak eragin dit</w:t>
      </w:r>
      <w:r>
        <w:rPr>
          <w:i/>
          <w:sz w:val="24"/>
        </w:rPr>
        <w:t>u</w:t>
      </w:r>
      <w:r>
        <w:rPr>
          <w:i/>
          <w:sz w:val="24"/>
        </w:rPr>
        <w:t>ena."</w:t>
      </w:r>
    </w:p>
    <w:p w:rsidR="00BE2B23" w:rsidRPr="00133235" w:rsidRDefault="00BE2B23" w:rsidP="006B420D">
      <w:pPr>
        <w:pStyle w:val="texto"/>
        <w:spacing w:after="120"/>
        <w:rPr>
          <w:szCs w:val="26"/>
        </w:rPr>
      </w:pPr>
      <w:r>
        <w:t>Nafarroako Gobernuaren ordezkariaren txostenak azkenean ondorioztatzen du egokiro arrazoitutzat jotzen duela konpentsazio-formula aplikatzeko inte</w:t>
      </w:r>
      <w:r>
        <w:t>r</w:t>
      </w:r>
      <w:r>
        <w:t xml:space="preserve">pretazio-irizpideak 1 baliodun C koefizientea aintzat hartzea, eta bidezkoa dela </w:t>
      </w:r>
      <w:proofErr w:type="spellStart"/>
      <w:r>
        <w:t>Audenasak</w:t>
      </w:r>
      <w:proofErr w:type="spellEnd"/>
      <w:r>
        <w:t xml:space="preserve"> aurkezturiko gora jotzeko errekurtsoa baiestea.</w:t>
      </w:r>
    </w:p>
    <w:p w:rsidR="00BE2B23" w:rsidRPr="00133235" w:rsidRDefault="00BE2B23" w:rsidP="006B420D">
      <w:pPr>
        <w:pStyle w:val="texto"/>
        <w:spacing w:after="120"/>
        <w:rPr>
          <w:szCs w:val="26"/>
        </w:rPr>
      </w:pPr>
      <w:r>
        <w:t>Halaber, 2021eko otsailaren 10ean, Ekonomia eta Ogasuneko Departame</w:t>
      </w:r>
      <w:r>
        <w:t>n</w:t>
      </w:r>
      <w:r>
        <w:t xml:space="preserve">tuko idazkari nagusi teknikoak txosten juridiko bat eman zuen gora jotzeko errekurtsoari buruz, eta hartan honako zertzelada hauek zehaztu zituen, besteak </w:t>
      </w:r>
      <w:proofErr w:type="spellStart"/>
      <w:r>
        <w:t>beste</w:t>
      </w:r>
      <w:proofErr w:type="spellEnd"/>
      <w:r>
        <w:t>:</w:t>
      </w:r>
    </w:p>
    <w:p w:rsidR="00BE2B23" w:rsidRPr="00133235" w:rsidRDefault="00BE2B23" w:rsidP="00BE2B23">
      <w:pPr>
        <w:pStyle w:val="texto"/>
        <w:spacing w:before="120"/>
        <w:rPr>
          <w:i/>
          <w:sz w:val="24"/>
        </w:rPr>
      </w:pPr>
      <w:r>
        <w:rPr>
          <w:i/>
          <w:sz w:val="24"/>
        </w:rPr>
        <w:t>"...Besterik ez bada ere, ematen du arriskutsua dela eragozpen etengarria oinarr</w:t>
      </w:r>
      <w:r>
        <w:rPr>
          <w:i/>
          <w:sz w:val="24"/>
        </w:rPr>
        <w:t>i</w:t>
      </w:r>
      <w:r>
        <w:rPr>
          <w:i/>
          <w:sz w:val="24"/>
        </w:rPr>
        <w:t>tuta egotea irizpide-aldaketaren ustezko arrazoitze-ez batean, eta hori guztia eram</w:t>
      </w:r>
      <w:r>
        <w:rPr>
          <w:i/>
          <w:sz w:val="24"/>
        </w:rPr>
        <w:t>a</w:t>
      </w:r>
      <w:r>
        <w:rPr>
          <w:i/>
          <w:sz w:val="24"/>
        </w:rPr>
        <w:t xml:space="preserve">tea "betebeharraren aitorpenaren frogagirien irregulartasun larriak, edo behar adina ez frogatzea hartzailearen eskubidea" espresioaren abarora; eta ez bakarrik </w:t>
      </w:r>
      <w:proofErr w:type="spellStart"/>
      <w:r>
        <w:rPr>
          <w:i/>
          <w:sz w:val="24"/>
        </w:rPr>
        <w:t>aurkaratzaileak</w:t>
      </w:r>
      <w:proofErr w:type="spellEnd"/>
      <w:r>
        <w:rPr>
          <w:i/>
          <w:sz w:val="24"/>
        </w:rPr>
        <w:t xml:space="preserve"> azaldutakoarengatik, baizik eta Gobernuak </w:t>
      </w:r>
      <w:proofErr w:type="spellStart"/>
      <w:r>
        <w:rPr>
          <w:i/>
          <w:sz w:val="24"/>
        </w:rPr>
        <w:t>AUDENASAn</w:t>
      </w:r>
      <w:proofErr w:type="spellEnd"/>
      <w:r>
        <w:rPr>
          <w:i/>
          <w:sz w:val="24"/>
        </w:rPr>
        <w:t xml:space="preserve"> daukan o</w:t>
      </w:r>
      <w:r>
        <w:rPr>
          <w:i/>
          <w:sz w:val="24"/>
        </w:rPr>
        <w:t>r</w:t>
      </w:r>
      <w:r>
        <w:rPr>
          <w:i/>
          <w:sz w:val="24"/>
        </w:rPr>
        <w:t>dezkariak egindako txostenengatik, non esplikatzen baita formula aplikatzearen jat</w:t>
      </w:r>
      <w:r>
        <w:rPr>
          <w:i/>
          <w:sz w:val="24"/>
        </w:rPr>
        <w:t>o</w:t>
      </w:r>
      <w:r>
        <w:rPr>
          <w:i/>
          <w:sz w:val="24"/>
        </w:rPr>
        <w:t xml:space="preserve">rria, Administrazio Kontseiluko negoziazioak, horretarako sorturiko lantaldea, diru-sarreren 2007tik aurrerako analisiak eta C koefizientearen aplikazioa, oreka </w:t>
      </w:r>
      <w:proofErr w:type="spellStart"/>
      <w:r>
        <w:rPr>
          <w:i/>
          <w:sz w:val="24"/>
        </w:rPr>
        <w:t>ekon</w:t>
      </w:r>
      <w:r>
        <w:rPr>
          <w:i/>
          <w:sz w:val="24"/>
        </w:rPr>
        <w:t>o</w:t>
      </w:r>
      <w:r>
        <w:rPr>
          <w:i/>
          <w:sz w:val="24"/>
        </w:rPr>
        <w:t>miko-finantzarioari</w:t>
      </w:r>
      <w:proofErr w:type="spellEnd"/>
      <w:r>
        <w:rPr>
          <w:i/>
          <w:sz w:val="24"/>
        </w:rPr>
        <w:t xml:space="preserve"> buruzko hitzarmenaren 7. klausularen balizko aplikazioa, C ko</w:t>
      </w:r>
      <w:r>
        <w:rPr>
          <w:i/>
          <w:sz w:val="24"/>
        </w:rPr>
        <w:t>e</w:t>
      </w:r>
      <w:r>
        <w:rPr>
          <w:i/>
          <w:sz w:val="24"/>
        </w:rPr>
        <w:lastRenderedPageBreak/>
        <w:t>fizientea =1 dela interpretatzearen logika. Arrazoitze horretan sakondu egiten da a</w:t>
      </w:r>
      <w:r>
        <w:rPr>
          <w:i/>
          <w:sz w:val="24"/>
        </w:rPr>
        <w:t>i</w:t>
      </w:r>
      <w:r>
        <w:rPr>
          <w:i/>
          <w:sz w:val="24"/>
        </w:rPr>
        <w:t>pagai dugun errekurtsoari erantzuteko txostenean.</w:t>
      </w:r>
    </w:p>
    <w:p w:rsidR="00BE2B23" w:rsidRPr="00133235" w:rsidRDefault="00BE2B23" w:rsidP="00BE2B23">
      <w:pPr>
        <w:pStyle w:val="texto"/>
        <w:spacing w:before="120"/>
        <w:rPr>
          <w:i/>
          <w:sz w:val="24"/>
        </w:rPr>
      </w:pPr>
      <w:r>
        <w:rPr>
          <w:i/>
          <w:sz w:val="24"/>
        </w:rPr>
        <w:t>Ez dirudi Kontu-hartzaile Nagusiak azaldutakoa ilegaltasun gaindiezin edo ko</w:t>
      </w:r>
      <w:r>
        <w:rPr>
          <w:i/>
          <w:sz w:val="24"/>
        </w:rPr>
        <w:t>n</w:t>
      </w:r>
      <w:r>
        <w:rPr>
          <w:i/>
          <w:sz w:val="24"/>
        </w:rPr>
        <w:t>ponezin (errekurtso-egilearen hitzetan) bat denik, eragozpen etengarri baten adi</w:t>
      </w:r>
      <w:r>
        <w:rPr>
          <w:i/>
          <w:sz w:val="24"/>
        </w:rPr>
        <w:t>e</w:t>
      </w:r>
      <w:r>
        <w:rPr>
          <w:i/>
          <w:sz w:val="24"/>
        </w:rPr>
        <w:t>razpena erakartzen dutenetakoa. Arlo honi aplikatzekoa den arauditik (bai 13/2007 Foru Legea, apirilaren 4koa, Nafarroako Ogasun Publikoari buruzkoa, bai jada a</w:t>
      </w:r>
      <w:r>
        <w:rPr>
          <w:i/>
          <w:sz w:val="24"/>
        </w:rPr>
        <w:t>i</w:t>
      </w:r>
      <w:r>
        <w:rPr>
          <w:i/>
          <w:sz w:val="24"/>
        </w:rPr>
        <w:t>paturiko 31/2010 Foru Dekretua) ondorioztatzen da ezen, eragozpenak adierazi ahal izateko, ordenamenduaren urraketa bat egon behar dela, behar adinako zuztarra d</w:t>
      </w:r>
      <w:r>
        <w:rPr>
          <w:i/>
          <w:sz w:val="24"/>
        </w:rPr>
        <w:t>u</w:t>
      </w:r>
      <w:r>
        <w:rPr>
          <w:i/>
          <w:sz w:val="24"/>
        </w:rPr>
        <w:t xml:space="preserve">ena </w:t>
      </w:r>
      <w:proofErr w:type="spellStart"/>
      <w:r>
        <w:rPr>
          <w:i/>
          <w:sz w:val="24"/>
        </w:rPr>
        <w:t>–irregulartasun</w:t>
      </w:r>
      <w:proofErr w:type="spellEnd"/>
      <w:r>
        <w:rPr>
          <w:i/>
          <w:sz w:val="24"/>
        </w:rPr>
        <w:t xml:space="preserve"> larriak, izapiderik egin ez izanak egintzaren deuseztasuna er</w:t>
      </w:r>
      <w:r>
        <w:rPr>
          <w:i/>
          <w:sz w:val="24"/>
        </w:rPr>
        <w:t>a</w:t>
      </w:r>
      <w:r>
        <w:rPr>
          <w:i/>
          <w:sz w:val="24"/>
        </w:rPr>
        <w:t xml:space="preserve">kartzea eta hala, prozedura </w:t>
      </w:r>
      <w:proofErr w:type="spellStart"/>
      <w:r>
        <w:rPr>
          <w:i/>
          <w:sz w:val="24"/>
        </w:rPr>
        <w:t>etetea–</w:t>
      </w:r>
      <w:proofErr w:type="spellEnd"/>
      <w:r>
        <w:rPr>
          <w:i/>
          <w:sz w:val="24"/>
        </w:rPr>
        <w:t>. Ez dirudi hori denik kasua, zeren eta hemen e</w:t>
      </w:r>
      <w:r>
        <w:rPr>
          <w:i/>
          <w:sz w:val="24"/>
        </w:rPr>
        <w:t>z</w:t>
      </w:r>
      <w:r>
        <w:rPr>
          <w:i/>
          <w:sz w:val="24"/>
        </w:rPr>
        <w:t>tabaidatzen dena ea arrazoitzea behar bestekoa izan ote den lehenagoko jarduket</w:t>
      </w:r>
      <w:r>
        <w:rPr>
          <w:i/>
          <w:sz w:val="24"/>
        </w:rPr>
        <w:t>e</w:t>
      </w:r>
      <w:r>
        <w:rPr>
          <w:i/>
          <w:sz w:val="24"/>
        </w:rPr>
        <w:t>tako irizpidea aldatzeko; eta, gorago esplikatuaren ildotik, ondoriozta daiteke G</w:t>
      </w:r>
      <w:r>
        <w:rPr>
          <w:i/>
          <w:sz w:val="24"/>
        </w:rPr>
        <w:t>o</w:t>
      </w:r>
      <w:r>
        <w:rPr>
          <w:i/>
          <w:sz w:val="24"/>
        </w:rPr>
        <w:t>bernuak emakidadunean daukan ordezkariak bapo justifikatu duela baliaturiko iri</w:t>
      </w:r>
      <w:r>
        <w:rPr>
          <w:i/>
          <w:sz w:val="24"/>
        </w:rPr>
        <w:t>z</w:t>
      </w:r>
      <w:r>
        <w:rPr>
          <w:i/>
          <w:sz w:val="24"/>
        </w:rPr>
        <w:t>pidea, horretarako eskaera egin izan zaion bakoitzean...".</w:t>
      </w:r>
    </w:p>
    <w:p w:rsidR="00BE2B23" w:rsidRPr="00133235" w:rsidRDefault="00BE2B23" w:rsidP="006B420D">
      <w:pPr>
        <w:pStyle w:val="texto"/>
        <w:spacing w:after="120"/>
        <w:rPr>
          <w:szCs w:val="26"/>
        </w:rPr>
      </w:pPr>
      <w:r>
        <w:t>Idazkari nagusi teknikoaren txostena amaitzen da esanez aurkezturiko gora jotzeko errekurtsoa baietsi beharrekoa dela eta, horrenbestez, hasiera batean proposaturiko zenbateko guztia ordaindu behar dela, 6,28 milioikoa.</w:t>
      </w:r>
    </w:p>
    <w:p w:rsidR="00BE2B23" w:rsidRPr="00133235" w:rsidRDefault="00BE2B23" w:rsidP="006B420D">
      <w:pPr>
        <w:pStyle w:val="texto"/>
        <w:spacing w:after="120"/>
        <w:rPr>
          <w:szCs w:val="26"/>
        </w:rPr>
      </w:pPr>
      <w:r>
        <w:t xml:space="preserve">2021eko otsailaren 19an, </w:t>
      </w:r>
      <w:proofErr w:type="spellStart"/>
      <w:r>
        <w:t>Kontu-hartzailetza</w:t>
      </w:r>
      <w:proofErr w:type="spellEnd"/>
      <w:r>
        <w:t xml:space="preserve"> Nagusiak fiskalizazio-txostena eman zuen </w:t>
      </w:r>
      <w:proofErr w:type="spellStart"/>
      <w:r>
        <w:t>Audenasak</w:t>
      </w:r>
      <w:proofErr w:type="spellEnd"/>
      <w:r>
        <w:t xml:space="preserve"> aurkezturiko gora jotzeko errekurtsoa baiesten duen G</w:t>
      </w:r>
      <w:r>
        <w:t>o</w:t>
      </w:r>
      <w:r>
        <w:t xml:space="preserve">bernu-erabakiaren proposamenari buruz, eta bertan honako zertzelada hauek adierazten dira, besteak </w:t>
      </w:r>
      <w:proofErr w:type="spellStart"/>
      <w:r>
        <w:t>beste</w:t>
      </w:r>
      <w:proofErr w:type="spellEnd"/>
      <w:r>
        <w:t>:</w:t>
      </w:r>
    </w:p>
    <w:p w:rsidR="00BE2B23" w:rsidRPr="00133235" w:rsidRDefault="00BE2B23" w:rsidP="00BE2B23">
      <w:pPr>
        <w:autoSpaceDE w:val="0"/>
        <w:autoSpaceDN w:val="0"/>
        <w:adjustRightInd w:val="0"/>
        <w:spacing w:after="120"/>
        <w:ind w:firstLine="284"/>
        <w:rPr>
          <w:i/>
          <w:spacing w:val="6"/>
          <w:sz w:val="24"/>
          <w:szCs w:val="24"/>
        </w:rPr>
      </w:pPr>
      <w:r>
        <w:rPr>
          <w:i/>
          <w:sz w:val="24"/>
          <w:szCs w:val="24"/>
        </w:rPr>
        <w:t>"... C zuzenketa-koefiziente horrek, bat baino handiagoa izaki, errepideko trafiko-aldaketak diru-bilketa teorikoan daukan efektua areagotzen du, hala gorakada-kasuetan nola beherakada-kasuetan; efektua, alabaina, konpentsatu egiten da denboran zehar.</w:t>
      </w:r>
    </w:p>
    <w:p w:rsidR="00BE2B23" w:rsidRPr="00133235" w:rsidRDefault="00BE2B23" w:rsidP="00BE2B23">
      <w:pPr>
        <w:autoSpaceDE w:val="0"/>
        <w:autoSpaceDN w:val="0"/>
        <w:adjustRightInd w:val="0"/>
        <w:spacing w:after="120"/>
        <w:ind w:firstLine="284"/>
        <w:rPr>
          <w:i/>
          <w:spacing w:val="6"/>
          <w:sz w:val="24"/>
          <w:szCs w:val="24"/>
        </w:rPr>
      </w:pPr>
      <w:r>
        <w:rPr>
          <w:i/>
          <w:sz w:val="24"/>
          <w:szCs w:val="24"/>
        </w:rPr>
        <w:t>Ekitaldi bateko diru-bilketa teorikoa aurrekoan izandakoari loturik zehazten denez, ek</w:t>
      </w:r>
      <w:r>
        <w:rPr>
          <w:i/>
          <w:sz w:val="24"/>
          <w:szCs w:val="24"/>
        </w:rPr>
        <w:t>i</w:t>
      </w:r>
      <w:r>
        <w:rPr>
          <w:i/>
          <w:sz w:val="24"/>
          <w:szCs w:val="24"/>
        </w:rPr>
        <w:t>taldi baterako eginiko formula-aldaketak ez du kasuko urteko emaitzan soilik eragiten, baizik eta aurrerantzeko urteetakoan ere. Hori dela-eta, logikoa da formula 1999an h</w:t>
      </w:r>
      <w:r>
        <w:rPr>
          <w:i/>
          <w:sz w:val="24"/>
          <w:szCs w:val="24"/>
        </w:rPr>
        <w:t>i</w:t>
      </w:r>
      <w:r>
        <w:rPr>
          <w:i/>
          <w:sz w:val="24"/>
          <w:szCs w:val="24"/>
        </w:rPr>
        <w:t>tzartu zenez geroztik formula horri eman izan zaion interpretazioa, ulerturik ezen, form</w:t>
      </w:r>
      <w:r>
        <w:rPr>
          <w:i/>
          <w:sz w:val="24"/>
          <w:szCs w:val="24"/>
        </w:rPr>
        <w:t>u</w:t>
      </w:r>
      <w:r>
        <w:rPr>
          <w:i/>
          <w:sz w:val="24"/>
          <w:szCs w:val="24"/>
        </w:rPr>
        <w:t>lan gorakada seinalatzen denean, aldaketa esan nahi duela, positiboa nahiz negatiboa, eta modu berean aplikatuta trafikoaren gorakada nahiz beherakada (2008tik 2013ra arte) izan den urteetan; izan ere, bestela, diru-bilketa teorikoaren eboluzioa trafikoaren errealitat</w:t>
      </w:r>
      <w:r>
        <w:rPr>
          <w:i/>
          <w:sz w:val="24"/>
          <w:szCs w:val="24"/>
        </w:rPr>
        <w:t>e</w:t>
      </w:r>
      <w:r>
        <w:rPr>
          <w:i/>
          <w:sz w:val="24"/>
          <w:szCs w:val="24"/>
        </w:rPr>
        <w:t>tik aldenduko litzateke, trafiko horren gorakadekin handitzeagatik, baina ez haren beher</w:t>
      </w:r>
      <w:r>
        <w:rPr>
          <w:i/>
          <w:sz w:val="24"/>
          <w:szCs w:val="24"/>
        </w:rPr>
        <w:t>a</w:t>
      </w:r>
      <w:r>
        <w:rPr>
          <w:i/>
          <w:sz w:val="24"/>
          <w:szCs w:val="24"/>
        </w:rPr>
        <w:t>kadekin.</w:t>
      </w:r>
    </w:p>
    <w:p w:rsidR="00BE2B23" w:rsidRPr="00133235" w:rsidRDefault="00BE2B23" w:rsidP="00BE2B23">
      <w:pPr>
        <w:autoSpaceDE w:val="0"/>
        <w:autoSpaceDN w:val="0"/>
        <w:adjustRightInd w:val="0"/>
        <w:spacing w:after="120"/>
        <w:ind w:firstLine="284"/>
        <w:rPr>
          <w:i/>
          <w:spacing w:val="6"/>
          <w:sz w:val="24"/>
          <w:szCs w:val="24"/>
        </w:rPr>
      </w:pPr>
      <w:r>
        <w:rPr>
          <w:i/>
          <w:sz w:val="24"/>
          <w:szCs w:val="24"/>
        </w:rPr>
        <w:t>Beraz, gauza bat litzateke enpresa emakidadunari konpentsazioa ematea 7/2020 Foru Legeko 2.5 artikuluaren nondik norakoen araberako galera batengatik, betiere betekizun eskatuak betez gero, eta beste bat, oso bestelakoa, da ekitaldi zehatz bati eginiko formula-aplikaziotik egitea aldaketa, emakidaren bizialdi osorako izanen lituzkeen ondorioekin.</w:t>
      </w:r>
    </w:p>
    <w:p w:rsidR="00BE2B23" w:rsidRPr="00133235" w:rsidRDefault="00BE2B23" w:rsidP="00BE2B23">
      <w:pPr>
        <w:autoSpaceDE w:val="0"/>
        <w:autoSpaceDN w:val="0"/>
        <w:adjustRightInd w:val="0"/>
        <w:spacing w:after="0"/>
        <w:ind w:firstLine="284"/>
        <w:rPr>
          <w:i/>
          <w:spacing w:val="6"/>
          <w:sz w:val="24"/>
          <w:szCs w:val="24"/>
        </w:rPr>
      </w:pPr>
      <w:r>
        <w:rPr>
          <w:i/>
          <w:sz w:val="24"/>
          <w:szCs w:val="24"/>
        </w:rPr>
        <w:t xml:space="preserve">Horregatik, </w:t>
      </w:r>
      <w:proofErr w:type="spellStart"/>
      <w:r>
        <w:rPr>
          <w:i/>
          <w:sz w:val="24"/>
          <w:szCs w:val="24"/>
        </w:rPr>
        <w:t>Kontu-hartzailetza</w:t>
      </w:r>
      <w:proofErr w:type="spellEnd"/>
      <w:r>
        <w:rPr>
          <w:i/>
          <w:sz w:val="24"/>
          <w:szCs w:val="24"/>
        </w:rPr>
        <w:t xml:space="preserve"> Nagusi honen aburuz, prozedura </w:t>
      </w:r>
      <w:proofErr w:type="spellStart"/>
      <w:r>
        <w:rPr>
          <w:i/>
          <w:sz w:val="24"/>
          <w:szCs w:val="24"/>
        </w:rPr>
        <w:t>orotik</w:t>
      </w:r>
      <w:proofErr w:type="spellEnd"/>
      <w:r>
        <w:rPr>
          <w:i/>
          <w:sz w:val="24"/>
          <w:szCs w:val="24"/>
        </w:rPr>
        <w:t xml:space="preserve"> at enpresa err</w:t>
      </w:r>
      <w:r>
        <w:rPr>
          <w:i/>
          <w:sz w:val="24"/>
          <w:szCs w:val="24"/>
        </w:rPr>
        <w:t>e</w:t>
      </w:r>
      <w:r>
        <w:rPr>
          <w:i/>
          <w:sz w:val="24"/>
          <w:szCs w:val="24"/>
        </w:rPr>
        <w:t>kurtsogileak inposatu nahi duen interpretazioak alde handiz gainditzen du kasuko ko</w:t>
      </w:r>
      <w:r>
        <w:rPr>
          <w:i/>
          <w:sz w:val="24"/>
          <w:szCs w:val="24"/>
        </w:rPr>
        <w:t>n</w:t>
      </w:r>
      <w:r>
        <w:rPr>
          <w:i/>
          <w:sz w:val="24"/>
          <w:szCs w:val="24"/>
        </w:rPr>
        <w:t>tratu-klausulen interpretazio hedakor bat litzatekeena, eta haien hitzez-hitzezkotasunetik askoz harago doa, kontratuko klausulen aldaketa petoa egiten baitu.</w:t>
      </w:r>
    </w:p>
    <w:p w:rsidR="00BE2B23" w:rsidRPr="006B420D" w:rsidRDefault="00BE2B23" w:rsidP="00BE2B23">
      <w:pPr>
        <w:autoSpaceDE w:val="0"/>
        <w:autoSpaceDN w:val="0"/>
        <w:adjustRightInd w:val="0"/>
        <w:spacing w:before="120" w:after="0"/>
        <w:ind w:firstLine="284"/>
        <w:rPr>
          <w:i/>
          <w:color w:val="FF0000"/>
          <w:sz w:val="24"/>
          <w:szCs w:val="24"/>
        </w:rPr>
      </w:pPr>
      <w:r>
        <w:rPr>
          <w:i/>
          <w:sz w:val="24"/>
          <w:szCs w:val="24"/>
        </w:rPr>
        <w:lastRenderedPageBreak/>
        <w:t>Azkenik, inolako justifikaziorik gabea da C koefizientearen 1,65eko balio ezarria ek</w:t>
      </w:r>
      <w:r>
        <w:rPr>
          <w:i/>
          <w:sz w:val="24"/>
          <w:szCs w:val="24"/>
        </w:rPr>
        <w:t>i</w:t>
      </w:r>
      <w:r>
        <w:rPr>
          <w:i/>
          <w:sz w:val="24"/>
          <w:szCs w:val="24"/>
        </w:rPr>
        <w:t>taldi zehatz honetan bat balioarekin ordeztea, eta ez beste edozein baliorekin, gero fo</w:t>
      </w:r>
      <w:r>
        <w:rPr>
          <w:i/>
          <w:sz w:val="24"/>
          <w:szCs w:val="24"/>
        </w:rPr>
        <w:t>r</w:t>
      </w:r>
      <w:r>
        <w:rPr>
          <w:i/>
          <w:sz w:val="24"/>
          <w:szCs w:val="24"/>
        </w:rPr>
        <w:t>mula hasiera batean aurreikusi zen bezala aplikatzeari berriro heldurik...".</w:t>
      </w:r>
    </w:p>
    <w:p w:rsidR="00BE2B23" w:rsidRDefault="00040D64" w:rsidP="00BE2B23">
      <w:pPr>
        <w:pStyle w:val="texto"/>
        <w:spacing w:before="120" w:after="120"/>
        <w:rPr>
          <w:szCs w:val="26"/>
        </w:rPr>
      </w:pPr>
      <w:proofErr w:type="spellStart"/>
      <w:r>
        <w:t>Kontu-hartzailetza</w:t>
      </w:r>
      <w:proofErr w:type="spellEnd"/>
      <w:r>
        <w:t xml:space="preserve"> Nagusiak amaitzen du ondorioztatuz ezen gora jotzeko errekurtsoa baiesten duen Gobernuaren erabaki-proposamenetik eratorritako espediente-kudeaketa administratiboarekin aurrera jarraitzeak kalte ekonom</w:t>
      </w:r>
      <w:r>
        <w:t>i</w:t>
      </w:r>
      <w:r>
        <w:t>koak ekar liezazkiokeela Nafarroako Ogasun Publikoari.</w:t>
      </w:r>
    </w:p>
    <w:p w:rsidR="00BE2B23" w:rsidRDefault="00BE2B23" w:rsidP="00BE2B23">
      <w:pPr>
        <w:pStyle w:val="texto"/>
        <w:spacing w:before="120" w:after="120"/>
        <w:rPr>
          <w:szCs w:val="26"/>
        </w:rPr>
      </w:pPr>
      <w:r>
        <w:t xml:space="preserve">2021eko otsailaren 23an, Nafarroako Gobernuaren ordezkariak eta Ekonomia eta Ogasun Departamentuko idazkari nagusi teknikoak txosten bana eman zuten </w:t>
      </w:r>
      <w:proofErr w:type="spellStart"/>
      <w:r>
        <w:t>Kontu-hartzailetza</w:t>
      </w:r>
      <w:proofErr w:type="spellEnd"/>
      <w:r>
        <w:t xml:space="preserve"> Nagusiak lehenago eginiko fiskalizazio-txostenari buruz, harekiko desadostasuna adierazirik.</w:t>
      </w:r>
    </w:p>
    <w:p w:rsidR="006C4DAC" w:rsidRDefault="00944870" w:rsidP="00133235">
      <w:pPr>
        <w:pStyle w:val="texto"/>
        <w:spacing w:before="120" w:after="120"/>
      </w:pPr>
      <w:r>
        <w:t>2021eko otsailaren 24an bi Gobernu-erabaki onetsi ziren: bataren bidez, d</w:t>
      </w:r>
      <w:r>
        <w:t>e</w:t>
      </w:r>
      <w:r>
        <w:t xml:space="preserve">partamentuak proposaturiko ildotik ebazten zen </w:t>
      </w:r>
      <w:proofErr w:type="spellStart"/>
      <w:r>
        <w:t>Kontu-hartzailetza</w:t>
      </w:r>
      <w:proofErr w:type="spellEnd"/>
      <w:r>
        <w:t xml:space="preserve"> Nagusiaren eta Ekonomia eta Ogasun Departamentuaren artean zegoen desadostasuna, 2020ko azaroko fakturaren </w:t>
      </w:r>
      <w:proofErr w:type="spellStart"/>
      <w:r>
        <w:t>Audenasarentzako</w:t>
      </w:r>
      <w:proofErr w:type="spellEnd"/>
      <w:r>
        <w:t xml:space="preserve"> ordainketari buruzkoa; besteak baietsi egiten du </w:t>
      </w:r>
      <w:proofErr w:type="spellStart"/>
      <w:r>
        <w:t>Audenasaren</w:t>
      </w:r>
      <w:proofErr w:type="spellEnd"/>
      <w:r>
        <w:t xml:space="preserve"> gora jotzeko errekurtsoa, eta agintzen du ordain dadila 2020ko azaroko faktura, 6,28 milioikoa (kontuan izanik 1,21 milioi j</w:t>
      </w:r>
      <w:r>
        <w:t>a</w:t>
      </w:r>
      <w:r>
        <w:t>danik ordaindu zitzaizkiola, gainerako 5,07 milioien ordainketa zegoen eg</w:t>
      </w:r>
      <w:r>
        <w:t>i</w:t>
      </w:r>
      <w:r>
        <w:t xml:space="preserve">teke). </w:t>
      </w:r>
      <w:r>
        <w:br w:type="page"/>
      </w:r>
    </w:p>
    <w:p w:rsidR="0049412A" w:rsidRPr="00341874" w:rsidRDefault="0049412A" w:rsidP="0049412A">
      <w:pPr>
        <w:pStyle w:val="atitulo1"/>
      </w:pPr>
      <w:bookmarkStart w:id="19" w:name="_Toc499802367"/>
      <w:bookmarkStart w:id="20" w:name="_Toc511912025"/>
      <w:bookmarkStart w:id="21" w:name="_Toc67394578"/>
      <w:bookmarkStart w:id="22" w:name="_Toc78530035"/>
      <w:r>
        <w:lastRenderedPageBreak/>
        <w:t>III. Helburuak eta norainokoa</w:t>
      </w:r>
      <w:bookmarkEnd w:id="22"/>
      <w:r>
        <w:t xml:space="preserve"> </w:t>
      </w:r>
      <w:bookmarkEnd w:id="19"/>
      <w:bookmarkEnd w:id="20"/>
      <w:bookmarkEnd w:id="21"/>
    </w:p>
    <w:p w:rsidR="0049412A" w:rsidRDefault="0049412A" w:rsidP="0049412A">
      <w:pPr>
        <w:pStyle w:val="texto"/>
        <w:tabs>
          <w:tab w:val="clear" w:pos="2835"/>
          <w:tab w:val="clear" w:pos="3969"/>
          <w:tab w:val="clear" w:pos="5103"/>
          <w:tab w:val="clear" w:pos="6237"/>
          <w:tab w:val="clear" w:pos="7371"/>
        </w:tabs>
        <w:spacing w:after="100"/>
        <w:rPr>
          <w:szCs w:val="26"/>
        </w:rPr>
      </w:pPr>
      <w:r>
        <w:t>Parlamentutik jasotako eskaera kontuan hartuta, honako hauek izan dira lan honen helburuak:</w:t>
      </w:r>
    </w:p>
    <w:p w:rsidR="00F15075" w:rsidRDefault="00F15075"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r>
        <w:t>Gobernuaren 2021eko otsailaren 24ko erabakien gaineko fiskalizazioa eg</w:t>
      </w:r>
      <w:r>
        <w:t>i</w:t>
      </w:r>
      <w:r>
        <w:t xml:space="preserve">tea, legezkotasuna betetzeari buruzkoa, </w:t>
      </w:r>
      <w:proofErr w:type="spellStart"/>
      <w:r>
        <w:t>NFKAren</w:t>
      </w:r>
      <w:proofErr w:type="spellEnd"/>
      <w:r>
        <w:t xml:space="preserve"> deskontu-konpentsazioko e</w:t>
      </w:r>
      <w:r>
        <w:t>s</w:t>
      </w:r>
      <w:r>
        <w:t xml:space="preserve">pedientearen gainekoa, </w:t>
      </w:r>
      <w:proofErr w:type="spellStart"/>
      <w:r>
        <w:t>Audenasarekiko</w:t>
      </w:r>
      <w:proofErr w:type="spellEnd"/>
      <w:r>
        <w:t xml:space="preserve"> politika komertziala dela-eta, 2020ko azaroari dagokionez. Guztizko zenbatekoak 6,28 milioi egiten du.</w:t>
      </w:r>
    </w:p>
    <w:p w:rsidR="0049412A" w:rsidRDefault="00F15075"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r>
        <w:t xml:space="preserve">Aurreko espedientearen fiskalizazio finantzarioa egitea. </w:t>
      </w:r>
    </w:p>
    <w:p w:rsidR="0049412A" w:rsidRDefault="00EF0BDF"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r>
        <w:t xml:space="preserve">Aztertzea zer balizko efektu izan ditzakeen 2020ko azaroan 6,28 milioiko konpentsazioa onesteak, hurrengo urteei begira, 2029an emakida amaitu arte, 2020an eguneraturiko </w:t>
      </w:r>
      <w:proofErr w:type="spellStart"/>
      <w:r>
        <w:t>PEFaren</w:t>
      </w:r>
      <w:proofErr w:type="spellEnd"/>
      <w:r>
        <w:t xml:space="preserve"> aurreikuspenak betez gero. </w:t>
      </w:r>
    </w:p>
    <w:p w:rsidR="0049412A" w:rsidRPr="005355B5" w:rsidRDefault="0049412A" w:rsidP="00EF0BDF">
      <w:pPr>
        <w:pStyle w:val="texto"/>
        <w:tabs>
          <w:tab w:val="clear" w:pos="2835"/>
          <w:tab w:val="clear" w:pos="3969"/>
          <w:tab w:val="clear" w:pos="5103"/>
          <w:tab w:val="clear" w:pos="6237"/>
          <w:tab w:val="clear" w:pos="7371"/>
          <w:tab w:val="left" w:pos="567"/>
        </w:tabs>
        <w:rPr>
          <w:szCs w:val="26"/>
        </w:rPr>
      </w:pPr>
      <w:r>
        <w:t xml:space="preserve">Honako hau izan da egin dugun lanaren norainokoa: </w:t>
      </w:r>
    </w:p>
    <w:p w:rsidR="0049412A" w:rsidRDefault="0049412A"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proofErr w:type="spellStart"/>
      <w:r>
        <w:t>Audenasarentzako</w:t>
      </w:r>
      <w:proofErr w:type="spellEnd"/>
      <w:r>
        <w:t xml:space="preserve"> 2008-2021 epeko deskontu-konpentsazioarekin zerik</w:t>
      </w:r>
      <w:r>
        <w:t>u</w:t>
      </w:r>
      <w:r>
        <w:t xml:space="preserve">sia duten aurrekontu-partidak. </w:t>
      </w:r>
    </w:p>
    <w:p w:rsidR="00EF0BDF" w:rsidRDefault="00EF0BDF"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proofErr w:type="spellStart"/>
      <w:r>
        <w:t>Audenasarentzako</w:t>
      </w:r>
      <w:proofErr w:type="spellEnd"/>
      <w:r>
        <w:t xml:space="preserve"> deskontu-konpentsazioagatiko 2020ko azaroko faktur</w:t>
      </w:r>
      <w:r>
        <w:t>a</w:t>
      </w:r>
      <w:r>
        <w:t xml:space="preserve">ren onespenaren espedientea. </w:t>
      </w:r>
    </w:p>
    <w:p w:rsidR="00F36C25" w:rsidRDefault="00F36C25"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r>
        <w:t>Administrazio Kontseiluk erabakitako eta 2014ko gobernu-erabakiz on</w:t>
      </w:r>
      <w:r>
        <w:t>e</w:t>
      </w:r>
      <w:r>
        <w:t xml:space="preserve">tsitako </w:t>
      </w:r>
      <w:proofErr w:type="spellStart"/>
      <w:r>
        <w:t>PEFa</w:t>
      </w:r>
      <w:proofErr w:type="spellEnd"/>
      <w:r>
        <w:t>, 2014-2029 epeari buruzkoa, eta 2019 eta 2020 urteetarako eg</w:t>
      </w:r>
      <w:r>
        <w:t>i</w:t>
      </w:r>
      <w:r>
        <w:t>niko eguneraketak.</w:t>
      </w:r>
    </w:p>
    <w:p w:rsidR="00EF0BDF" w:rsidRPr="00B94CC1" w:rsidRDefault="00EF0BDF" w:rsidP="006532FD">
      <w:pPr>
        <w:pStyle w:val="texto"/>
        <w:numPr>
          <w:ilvl w:val="0"/>
          <w:numId w:val="10"/>
        </w:numPr>
        <w:tabs>
          <w:tab w:val="clear" w:pos="2835"/>
          <w:tab w:val="clear" w:pos="3969"/>
          <w:tab w:val="clear" w:pos="5103"/>
          <w:tab w:val="clear" w:pos="6237"/>
          <w:tab w:val="clear" w:pos="7371"/>
          <w:tab w:val="left" w:pos="567"/>
        </w:tabs>
        <w:ind w:left="0" w:firstLine="284"/>
        <w:rPr>
          <w:szCs w:val="26"/>
        </w:rPr>
      </w:pPr>
      <w:proofErr w:type="spellStart"/>
      <w:r>
        <w:t>NFKAren</w:t>
      </w:r>
      <w:proofErr w:type="spellEnd"/>
      <w:r>
        <w:t xml:space="preserve"> eta </w:t>
      </w:r>
      <w:proofErr w:type="spellStart"/>
      <w:r>
        <w:t>Audenasaren</w:t>
      </w:r>
      <w:proofErr w:type="spellEnd"/>
      <w:r>
        <w:t xml:space="preserve"> arteko harremana arautzen duen arau-esparrua.</w:t>
      </w:r>
    </w:p>
    <w:p w:rsidR="00F15075" w:rsidRDefault="00F15075" w:rsidP="00F15075">
      <w:pPr>
        <w:pStyle w:val="texto"/>
        <w:tabs>
          <w:tab w:val="clear" w:pos="2835"/>
          <w:tab w:val="clear" w:pos="3969"/>
          <w:tab w:val="clear" w:pos="5103"/>
          <w:tab w:val="clear" w:pos="6237"/>
          <w:tab w:val="clear" w:pos="7371"/>
          <w:tab w:val="left" w:pos="567"/>
        </w:tabs>
        <w:rPr>
          <w:b/>
          <w:color w:val="FF0000"/>
          <w:szCs w:val="26"/>
        </w:rPr>
      </w:pPr>
      <w:r>
        <w:t>Kontuen Ganberak halaber ohartarazi nahi du ezen 2020-2029 eperako b</w:t>
      </w:r>
      <w:r>
        <w:t>a</w:t>
      </w:r>
      <w:r>
        <w:t>lizko efektuei buruz eginiko analisia azken PEF eguneratuan jasotako datuen arabera egin dela</w:t>
      </w:r>
      <w:r w:rsidR="001D24F3">
        <w:rPr>
          <w:rStyle w:val="Refdenotaalpie"/>
          <w:szCs w:val="26"/>
        </w:rPr>
        <w:footnoteReference w:id="3"/>
      </w:r>
      <w:r>
        <w:t>. Suertaturiko kopuruak aurreikusiriko datu horietatik erat</w:t>
      </w:r>
      <w:r>
        <w:t>o</w:t>
      </w:r>
      <w:r>
        <w:t xml:space="preserve">rriak dira, eta balioztapenak dira, bete gabeko gerta daitezkeenak; dena </w:t>
      </w:r>
      <w:proofErr w:type="spellStart"/>
      <w:r>
        <w:t>den</w:t>
      </w:r>
      <w:proofErr w:type="spellEnd"/>
      <w:r>
        <w:t>, gure ustez posibilitate hori ez litzateke gure lanarentzat mugapen izanen, eta ez lituzke funtsean aldatuko gure konklusioak.</w:t>
      </w:r>
    </w:p>
    <w:p w:rsidR="00F15075" w:rsidRDefault="00F15075" w:rsidP="00EF0BDF">
      <w:pPr>
        <w:pStyle w:val="texto"/>
        <w:tabs>
          <w:tab w:val="clear" w:pos="2835"/>
          <w:tab w:val="clear" w:pos="3969"/>
          <w:tab w:val="clear" w:pos="5103"/>
          <w:tab w:val="clear" w:pos="6237"/>
          <w:tab w:val="clear" w:pos="7371"/>
          <w:tab w:val="left" w:pos="567"/>
        </w:tabs>
        <w:ind w:firstLine="0"/>
        <w:rPr>
          <w:b/>
          <w:color w:val="FF0000"/>
          <w:szCs w:val="26"/>
        </w:rPr>
      </w:pPr>
    </w:p>
    <w:p w:rsidR="00F15075" w:rsidRDefault="00F15075" w:rsidP="00EF0BDF">
      <w:pPr>
        <w:pStyle w:val="texto"/>
        <w:tabs>
          <w:tab w:val="clear" w:pos="2835"/>
          <w:tab w:val="clear" w:pos="3969"/>
          <w:tab w:val="clear" w:pos="5103"/>
          <w:tab w:val="clear" w:pos="6237"/>
          <w:tab w:val="clear" w:pos="7371"/>
          <w:tab w:val="left" w:pos="567"/>
        </w:tabs>
        <w:ind w:firstLine="0"/>
        <w:rPr>
          <w:b/>
          <w:color w:val="FF0000"/>
          <w:szCs w:val="26"/>
        </w:rPr>
      </w:pPr>
    </w:p>
    <w:p w:rsidR="00EF0BDF" w:rsidRDefault="00EF0BDF">
      <w:pPr>
        <w:spacing w:after="0"/>
        <w:ind w:firstLine="0"/>
        <w:jc w:val="left"/>
        <w:rPr>
          <w:rFonts w:ascii="Arial" w:hAnsi="Arial"/>
          <w:b/>
          <w:color w:val="000000"/>
          <w:kern w:val="28"/>
          <w:sz w:val="25"/>
          <w:szCs w:val="26"/>
        </w:rPr>
      </w:pPr>
      <w:bookmarkStart w:id="23" w:name="_Toc67394579"/>
      <w:r>
        <w:br w:type="page"/>
      </w:r>
    </w:p>
    <w:p w:rsidR="00676CA2" w:rsidRPr="00BB1925" w:rsidRDefault="00676CA2" w:rsidP="00676CA2">
      <w:pPr>
        <w:pStyle w:val="atitulo1"/>
      </w:pPr>
      <w:bookmarkStart w:id="24" w:name="_Toc78530036"/>
      <w:r>
        <w:lastRenderedPageBreak/>
        <w:t>IV. Konklusioak eta gomendioak</w:t>
      </w:r>
      <w:bookmarkEnd w:id="23"/>
      <w:bookmarkEnd w:id="24"/>
    </w:p>
    <w:p w:rsidR="00676CA2" w:rsidRPr="00F377C9" w:rsidRDefault="00676CA2" w:rsidP="002301DE">
      <w:pPr>
        <w:keepNext/>
        <w:spacing w:before="120" w:after="120"/>
        <w:ind w:firstLine="0"/>
        <w:rPr>
          <w:rFonts w:ascii="Arial" w:hAnsi="Arial"/>
          <w:i/>
          <w:iCs/>
          <w:color w:val="000000"/>
          <w:spacing w:val="10"/>
          <w:kern w:val="28"/>
          <w:sz w:val="25"/>
          <w:szCs w:val="26"/>
        </w:rPr>
      </w:pPr>
      <w:bookmarkStart w:id="25" w:name="_Toc499802369"/>
      <w:bookmarkStart w:id="26" w:name="_Toc511912027"/>
      <w:r>
        <w:rPr>
          <w:rFonts w:ascii="Arial" w:hAnsi="Arial"/>
          <w:i/>
          <w:iCs/>
          <w:color w:val="000000"/>
          <w:sz w:val="25"/>
          <w:szCs w:val="26"/>
        </w:rPr>
        <w:t xml:space="preserve">Nafarroako Foru Komunitateko Administrazioaren erantzukizuna </w:t>
      </w:r>
    </w:p>
    <w:p w:rsidR="00676CA2" w:rsidRDefault="009966E1" w:rsidP="002301DE">
      <w:pPr>
        <w:pStyle w:val="texto"/>
      </w:pPr>
      <w:r>
        <w:t xml:space="preserve">Nafarroako Gobernuaren delegatua da </w:t>
      </w:r>
      <w:proofErr w:type="spellStart"/>
      <w:r>
        <w:t>NFKAk</w:t>
      </w:r>
      <w:proofErr w:type="spellEnd"/>
      <w:r>
        <w:t xml:space="preserve"> </w:t>
      </w:r>
      <w:proofErr w:type="spellStart"/>
      <w:r>
        <w:t>Audenasari</w:t>
      </w:r>
      <w:proofErr w:type="spellEnd"/>
      <w:r>
        <w:t xml:space="preserve"> autobidearen er</w:t>
      </w:r>
      <w:r>
        <w:t>a</w:t>
      </w:r>
      <w:r>
        <w:t>biltzaileei egin zaizkien deskontuengatik eman beharreko konpentsazioa zenb</w:t>
      </w:r>
      <w:r>
        <w:t>a</w:t>
      </w:r>
      <w:r>
        <w:t>testen duten kalkuluak aztertu, berrikusi eta kontrolatzearen arduraduna, bai eta kasuko fakturek araudia betetzen dutela bermatzearena.</w:t>
      </w:r>
    </w:p>
    <w:p w:rsidR="00275577" w:rsidRPr="00C52381" w:rsidRDefault="00F14D76" w:rsidP="002301DE">
      <w:pPr>
        <w:pStyle w:val="texto"/>
      </w:pPr>
      <w:r>
        <w:t>Ekonomia eta Ogasuneko Departamentuko Idazkaritza Nagusi Teknikoa da AP-15aren emakidaren kontratua kudeatzen duen unitatea.</w:t>
      </w:r>
    </w:p>
    <w:p w:rsidR="00676CA2" w:rsidRDefault="00F15075" w:rsidP="00676CA2">
      <w:pPr>
        <w:pStyle w:val="texto"/>
      </w:pPr>
      <w:r>
        <w:t>Ekonomia eta Ogasun Departamentua da beharrezkotzat jotzen dituen barne kontroleko sistemak ezartzeko erantzukizuna duena, bermatzekoak Ekonomia eta Ogasun Departamentuak aurreko paragrafoan xedatuta dagoena betetzen duela.</w:t>
      </w:r>
    </w:p>
    <w:p w:rsidR="00676CA2" w:rsidRPr="00F377C9" w:rsidRDefault="00676CA2" w:rsidP="002301DE">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Nafarroako Kontuen Ganberaren erantzukizuna</w:t>
      </w:r>
    </w:p>
    <w:p w:rsidR="00676CA2" w:rsidRPr="00F377C9" w:rsidRDefault="00676CA2" w:rsidP="002301DE">
      <w:pPr>
        <w:pStyle w:val="texto"/>
      </w:pPr>
      <w:r>
        <w:t xml:space="preserve">Gure erantzukizuna da iritzia ematea deskontu-konpentsazioagatik </w:t>
      </w:r>
      <w:proofErr w:type="spellStart"/>
      <w:r>
        <w:t>Auden</w:t>
      </w:r>
      <w:r>
        <w:t>a</w:t>
      </w:r>
      <w:r>
        <w:t>sari</w:t>
      </w:r>
      <w:proofErr w:type="spellEnd"/>
      <w:r>
        <w:t xml:space="preserve"> 2020ko azaroko faktura ordaintzea onesteko jarraitu den prozeduraren l</w:t>
      </w:r>
      <w:r>
        <w:t>e</w:t>
      </w:r>
      <w:r>
        <w:t xml:space="preserve">gezkotasunari buruz, eta erabilitako irizpideen </w:t>
      </w:r>
      <w:proofErr w:type="spellStart"/>
      <w:r>
        <w:t>abiarazpenak</w:t>
      </w:r>
      <w:proofErr w:type="spellEnd"/>
      <w:r>
        <w:t xml:space="preserve"> hurrengo urteetan izanen dituen balizko efektuak aztertzea. </w:t>
      </w:r>
    </w:p>
    <w:p w:rsidR="00676CA2" w:rsidRPr="00F377C9" w:rsidRDefault="00676CA2" w:rsidP="00676CA2">
      <w:pPr>
        <w:pStyle w:val="texto"/>
      </w:pPr>
      <w:r>
        <w:t xml:space="preserve">Horretarako, gure fiskalizazio-lana egin dugu Kanpo Kontroleko Erakunde Publikoek dituzten oinarrizko fiskalizazio-printzipioei jarraituz; zehazkiago, </w:t>
      </w:r>
      <w:proofErr w:type="spellStart"/>
      <w:r>
        <w:t>ISSAI-ES</w:t>
      </w:r>
      <w:proofErr w:type="spellEnd"/>
      <w:r>
        <w:t xml:space="preserve"> 200 eta 400 arauei jarraituz, fiskalizazio finantzarioaren eta legeria betetzeari buruzko fiskalizazioaren gainekoak, hurrenez </w:t>
      </w:r>
      <w:proofErr w:type="spellStart"/>
      <w:r>
        <w:t>hurren</w:t>
      </w:r>
      <w:proofErr w:type="spellEnd"/>
      <w:r>
        <w:t>.</w:t>
      </w:r>
      <w:r>
        <w:rPr>
          <w:color w:val="FF0000"/>
        </w:rPr>
        <w:t xml:space="preserve"> </w:t>
      </w:r>
      <w:r>
        <w:t>Printzipio h</w:t>
      </w:r>
      <w:r>
        <w:t>o</w:t>
      </w:r>
      <w:r>
        <w:t>riek exijitzen dute etikako eskakizunak bete ditzagula, bai eta fiskalizazioa pl</w:t>
      </w:r>
      <w:r>
        <w:t>a</w:t>
      </w:r>
      <w:r>
        <w:t>nifika eta egin dezagula ere, segurtasun egokia lortze aldera, eginiko jarduketak eta finantzen egoera-orrietan islatutako informazioa alderdi adierazgarri guzti</w:t>
      </w:r>
      <w:r>
        <w:t>e</w:t>
      </w:r>
      <w:r>
        <w:t xml:space="preserve">tan arau indardunen araberakoak izateaz. </w:t>
      </w:r>
    </w:p>
    <w:p w:rsidR="00676CA2" w:rsidRDefault="00676CA2" w:rsidP="00676CA2">
      <w:pPr>
        <w:pStyle w:val="texto"/>
      </w:pPr>
      <w:r>
        <w:t xml:space="preserve">Fiskalizazioa egiteak behartzen du prozedura batzuk aplikatzera, </w:t>
      </w:r>
      <w:proofErr w:type="spellStart"/>
      <w:r>
        <w:t>auditoretza-ebidentzia</w:t>
      </w:r>
      <w:proofErr w:type="spellEnd"/>
      <w:r>
        <w:t xml:space="preserve"> bat lortze aldera, kasu honetan 2020ko azaroko fakturan jasotako zenbatekoei eta informazioari buruz, bai eta kasuko araudian ezarritako alderdi muntadunen betetzeari buruz ere. Hautatutako prozedurak auditorearen irizp</w:t>
      </w:r>
      <w:r>
        <w:t>i</w:t>
      </w:r>
      <w:r>
        <w:t>dearen araberakoak dira, horren barne dela arriskuen balorazioa, bai iruzurraren edo oker baten ondorioz fakturan akats materialak egotetik eratorrienak, bai l</w:t>
      </w:r>
      <w:r>
        <w:t>e</w:t>
      </w:r>
      <w:r>
        <w:t>geriaren urraketarenak. Arriskuari buruzko balorazio horiek egiterakoan, aud</w:t>
      </w:r>
      <w:r>
        <w:t>i</w:t>
      </w:r>
      <w:r>
        <w:t>toreak kontuan hartzen du barne kontrola, muntadun dena entitateak gastua k</w:t>
      </w:r>
      <w:r>
        <w:t>a</w:t>
      </w:r>
      <w:r>
        <w:t>suko aurrekontu-partidan egozteko eta legeria betetzen dela bermatzeko, ing</w:t>
      </w:r>
      <w:r>
        <w:t>u</w:t>
      </w:r>
      <w:r>
        <w:t xml:space="preserve">ruabarren araberako </w:t>
      </w:r>
      <w:proofErr w:type="spellStart"/>
      <w:r>
        <w:t>auditoretza-prozedura</w:t>
      </w:r>
      <w:proofErr w:type="spellEnd"/>
      <w:r>
        <w:t xml:space="preserve"> egokiak diseinatze aldera, eta ez e</w:t>
      </w:r>
      <w:r>
        <w:t>n</w:t>
      </w:r>
      <w:r>
        <w:t xml:space="preserve">titatearen barne kontrolaren eraginkortasunari buruzko iritzia emateko xedez. </w:t>
      </w:r>
    </w:p>
    <w:p w:rsidR="00676CA2" w:rsidRPr="00F377C9" w:rsidRDefault="00676CA2" w:rsidP="00676CA2">
      <w:pPr>
        <w:pStyle w:val="texto"/>
      </w:pPr>
      <w:proofErr w:type="spellStart"/>
      <w:r>
        <w:t>Auditoretza</w:t>
      </w:r>
      <w:proofErr w:type="spellEnd"/>
      <w:r>
        <w:t xml:space="preserve"> batek barne biltzen du, era berean, aplikatutako kontabilitate-politiken egokitasunaren eta zuzendaritzak egindako kontabilitate-estimazioen </w:t>
      </w:r>
      <w:r>
        <w:lastRenderedPageBreak/>
        <w:t>arrazoizkotasunaren ebaluazioa, bai eta aztertutako aurrekontu-partidaren au</w:t>
      </w:r>
      <w:r>
        <w:t>r</w:t>
      </w:r>
      <w:r>
        <w:t>kezpenaren ebaluazioa ere.</w:t>
      </w:r>
    </w:p>
    <w:p w:rsidR="00676CA2" w:rsidRPr="00DB163A" w:rsidRDefault="00676CA2" w:rsidP="00676CA2">
      <w:pPr>
        <w:pStyle w:val="texto"/>
        <w:spacing w:after="240"/>
        <w:rPr>
          <w:b/>
          <w:color w:val="FF0000"/>
        </w:rPr>
      </w:pPr>
      <w:r>
        <w:t xml:space="preserve">Gure ustez, lortu dugun </w:t>
      </w:r>
      <w:proofErr w:type="spellStart"/>
      <w:r>
        <w:t>auditoretza-ebidentziak</w:t>
      </w:r>
      <w:proofErr w:type="spellEnd"/>
      <w:r>
        <w:t xml:space="preserve"> behar adinako eta behar b</w:t>
      </w:r>
      <w:r>
        <w:t>e</w:t>
      </w:r>
      <w:r>
        <w:t>zalako oinarria ematen du gure iritzia eta konklusioak funtsatzeko.</w:t>
      </w:r>
    </w:p>
    <w:p w:rsidR="00EF0BDF" w:rsidRDefault="00EF0BDF" w:rsidP="00EF0BDF">
      <w:pPr>
        <w:pStyle w:val="atitulo2"/>
      </w:pPr>
      <w:bookmarkStart w:id="27" w:name="_Toc78530037"/>
      <w:bookmarkEnd w:id="25"/>
      <w:bookmarkEnd w:id="26"/>
      <w:r>
        <w:t>IV.1. Legeriaren betetzearen fiskalizazio-iritzia</w:t>
      </w:r>
      <w:bookmarkEnd w:id="27"/>
    </w:p>
    <w:p w:rsidR="00644BE1" w:rsidRDefault="00644BE1" w:rsidP="00644BE1">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 xml:space="preserve">Legezkotasun-iritziaren oinarria </w:t>
      </w:r>
    </w:p>
    <w:p w:rsidR="00DF0F66" w:rsidRDefault="00DF0F66" w:rsidP="00DF0F66">
      <w:pPr>
        <w:pStyle w:val="texto"/>
        <w:tabs>
          <w:tab w:val="clear" w:pos="2835"/>
          <w:tab w:val="clear" w:pos="3969"/>
          <w:tab w:val="clear" w:pos="5103"/>
          <w:tab w:val="clear" w:pos="6237"/>
          <w:tab w:val="clear" w:pos="7371"/>
        </w:tabs>
        <w:spacing w:after="100"/>
        <w:ind w:firstLine="289"/>
        <w:rPr>
          <w:szCs w:val="26"/>
        </w:rPr>
      </w:pPr>
      <w:r>
        <w:t>Administrazioak iraganean hartu dituen erabakiei buruz bere egintzen ze</w:t>
      </w:r>
      <w:r>
        <w:t>n</w:t>
      </w:r>
      <w:r>
        <w:t xml:space="preserve">tzua aldatu ahal izatea esanbidez jasota agertzen da Administrazio Publikoen Administrazio Prozedura Erkideari buruzko urriaren 1eko 39/2015 Legeko 35. artikuluan. </w:t>
      </w:r>
    </w:p>
    <w:p w:rsidR="00DF0F66" w:rsidRDefault="00DF0F66" w:rsidP="00DF0F66">
      <w:pPr>
        <w:pStyle w:val="texto"/>
        <w:tabs>
          <w:tab w:val="clear" w:pos="2835"/>
          <w:tab w:val="clear" w:pos="3969"/>
          <w:tab w:val="clear" w:pos="5103"/>
          <w:tab w:val="clear" w:pos="6237"/>
          <w:tab w:val="clear" w:pos="7371"/>
        </w:tabs>
        <w:spacing w:after="240"/>
        <w:ind w:firstLine="289"/>
        <w:rPr>
          <w:szCs w:val="26"/>
        </w:rPr>
      </w:pPr>
      <w:r>
        <w:t>Arau horrek administrazioari arrazoiketa berezi bat eskatzen dio, erabaki hori bestelakoa izatea justifikatuko duena; hala, kasu berdinen aurrean aurre</w:t>
      </w:r>
      <w:r>
        <w:t>i</w:t>
      </w:r>
      <w:r>
        <w:t>kustekoa da soluzio bera ematea, inguruabarrak berberak izanez gero. Kasu h</w:t>
      </w:r>
      <w:r>
        <w:t>o</w:t>
      </w:r>
      <w:r>
        <w:t>netan, nahiz eta lehenago ere gertatuak iren trafiko-aldaketa negatiboak, eta C koefizientea hitzarmenaren arabera zegokion balioarekin aplikatu bazen ere, 2020an aurreko urtearekiko trafiko-beherakada askoz ere nabariagoa da trafiko-jaitsiera izandako beste urte batzuetan gertaturikoa baino, honako taula honetan erakusten den bezala:</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39"/>
        <w:gridCol w:w="994"/>
        <w:gridCol w:w="996"/>
        <w:gridCol w:w="996"/>
        <w:gridCol w:w="994"/>
        <w:gridCol w:w="996"/>
        <w:gridCol w:w="996"/>
        <w:gridCol w:w="994"/>
      </w:tblGrid>
      <w:tr w:rsidR="00C33E41" w:rsidRPr="00C33E41" w:rsidTr="00C33E41">
        <w:trPr>
          <w:trHeight w:val="255"/>
        </w:trPr>
        <w:tc>
          <w:tcPr>
            <w:tcW w:w="1132"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100"/>
              <w:ind w:firstLine="0"/>
              <w:jc w:val="left"/>
              <w:rPr>
                <w:rFonts w:ascii="Arial" w:hAnsi="Arial" w:cs="Arial"/>
                <w:sz w:val="18"/>
                <w:szCs w:val="18"/>
              </w:rPr>
            </w:pPr>
          </w:p>
        </w:tc>
        <w:tc>
          <w:tcPr>
            <w:tcW w:w="552"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2008</w:t>
            </w:r>
          </w:p>
        </w:tc>
        <w:tc>
          <w:tcPr>
            <w:tcW w:w="553"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2009</w:t>
            </w:r>
          </w:p>
        </w:tc>
        <w:tc>
          <w:tcPr>
            <w:tcW w:w="553"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2010</w:t>
            </w:r>
          </w:p>
        </w:tc>
        <w:tc>
          <w:tcPr>
            <w:tcW w:w="552"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2011</w:t>
            </w:r>
          </w:p>
        </w:tc>
        <w:tc>
          <w:tcPr>
            <w:tcW w:w="553"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2012</w:t>
            </w:r>
          </w:p>
        </w:tc>
        <w:tc>
          <w:tcPr>
            <w:tcW w:w="553"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2013</w:t>
            </w:r>
          </w:p>
        </w:tc>
        <w:tc>
          <w:tcPr>
            <w:tcW w:w="553" w:type="pct"/>
            <w:tcBorders>
              <w:bottom w:val="single" w:sz="4" w:space="0" w:color="auto"/>
            </w:tcBorders>
            <w:shd w:val="clear" w:color="auto" w:fill="8DB3E2"/>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2020</w:t>
            </w:r>
          </w:p>
        </w:tc>
      </w:tr>
      <w:tr w:rsidR="00C33E41" w:rsidRPr="00C33E41" w:rsidTr="00C33E41">
        <w:trPr>
          <w:trHeight w:val="198"/>
        </w:trPr>
        <w:tc>
          <w:tcPr>
            <w:tcW w:w="1132"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Trafiko-beherakadaren %</w:t>
            </w:r>
          </w:p>
        </w:tc>
        <w:tc>
          <w:tcPr>
            <w:tcW w:w="552"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-0,88</w:t>
            </w:r>
          </w:p>
        </w:tc>
        <w:tc>
          <w:tcPr>
            <w:tcW w:w="553"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-3,61</w:t>
            </w:r>
          </w:p>
        </w:tc>
        <w:tc>
          <w:tcPr>
            <w:tcW w:w="553"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-0,63</w:t>
            </w:r>
          </w:p>
        </w:tc>
        <w:tc>
          <w:tcPr>
            <w:tcW w:w="552"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-1,07</w:t>
            </w:r>
          </w:p>
        </w:tc>
        <w:tc>
          <w:tcPr>
            <w:tcW w:w="553"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-8,17</w:t>
            </w:r>
          </w:p>
        </w:tc>
        <w:tc>
          <w:tcPr>
            <w:tcW w:w="553"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-3,26</w:t>
            </w:r>
          </w:p>
        </w:tc>
        <w:tc>
          <w:tcPr>
            <w:tcW w:w="553" w:type="pct"/>
            <w:tcBorders>
              <w:top w:val="single" w:sz="4" w:space="0" w:color="auto"/>
              <w:bottom w:val="single" w:sz="4" w:space="0" w:color="auto"/>
            </w:tcBorders>
            <w:shd w:val="clear" w:color="auto" w:fill="auto"/>
            <w:vAlign w:val="center"/>
          </w:tcPr>
          <w:p w:rsidR="00DF0F66" w:rsidRPr="00C33E41" w:rsidRDefault="00DF0F66" w:rsidP="00C33E4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-22,11</w:t>
            </w:r>
          </w:p>
        </w:tc>
      </w:tr>
    </w:tbl>
    <w:p w:rsidR="00C578DD" w:rsidRDefault="00C578DD" w:rsidP="00DF0F66">
      <w:pPr>
        <w:pStyle w:val="texto"/>
        <w:tabs>
          <w:tab w:val="clear" w:pos="2835"/>
          <w:tab w:val="clear" w:pos="3969"/>
          <w:tab w:val="clear" w:pos="5103"/>
          <w:tab w:val="clear" w:pos="6237"/>
          <w:tab w:val="clear" w:pos="7371"/>
        </w:tabs>
        <w:spacing w:before="240" w:after="100"/>
        <w:ind w:firstLine="289"/>
        <w:rPr>
          <w:szCs w:val="26"/>
        </w:rPr>
      </w:pPr>
      <w:proofErr w:type="spellStart"/>
      <w:r>
        <w:t>Audenasak</w:t>
      </w:r>
      <w:proofErr w:type="spellEnd"/>
      <w:r>
        <w:t xml:space="preserve"> 2021eko otsailean gora jotzeko errekurtsoa aurkeztu ondoren, Nafarroako Gobernuak kontratu-interpretazioa egin zuen, </w:t>
      </w:r>
      <w:proofErr w:type="spellStart"/>
      <w:r>
        <w:t>prerrogatiba</w:t>
      </w:r>
      <w:proofErr w:type="spellEnd"/>
      <w:r>
        <w:t xml:space="preserve"> hori esanbidez jasota egonik Kontratu Publikoei buruzko apirilaren 13ko 2/2018 Foru Legeko 34. eta 142. artikuluetan. </w:t>
      </w:r>
    </w:p>
    <w:p w:rsidR="00C578DD" w:rsidRDefault="00C578DD" w:rsidP="00C578DD">
      <w:pPr>
        <w:pStyle w:val="texto"/>
        <w:tabs>
          <w:tab w:val="clear" w:pos="2835"/>
          <w:tab w:val="clear" w:pos="3969"/>
          <w:tab w:val="clear" w:pos="5103"/>
          <w:tab w:val="clear" w:pos="6237"/>
          <w:tab w:val="clear" w:pos="7371"/>
        </w:tabs>
        <w:spacing w:after="100"/>
        <w:ind w:firstLine="289"/>
        <w:rPr>
          <w:szCs w:val="26"/>
        </w:rPr>
      </w:pPr>
      <w:r>
        <w:t xml:space="preserve">Nahiz eta interpretazioa kontratazio-organoak gauzaturiko egintza </w:t>
      </w:r>
      <w:proofErr w:type="spellStart"/>
      <w:r>
        <w:t>diskrezi</w:t>
      </w:r>
      <w:r>
        <w:t>o</w:t>
      </w:r>
      <w:r>
        <w:t>nal</w:t>
      </w:r>
      <w:proofErr w:type="spellEnd"/>
      <w:r>
        <w:t xml:space="preserve"> bat den, araudiak ezarritako prozedurari jarraikiz egin beharrekoa da; z</w:t>
      </w:r>
      <w:r>
        <w:t>e</w:t>
      </w:r>
      <w:r>
        <w:t xml:space="preserve">hazki, 142. artikuluak dio interpretazioa espediente batean dokumentatuko dela, non agertuko baitira egoki diren txosten teknikoak eta juridikoak. </w:t>
      </w:r>
    </w:p>
    <w:p w:rsidR="006E43C0" w:rsidRDefault="00C578DD" w:rsidP="00C578DD">
      <w:pPr>
        <w:pStyle w:val="texto"/>
        <w:tabs>
          <w:tab w:val="clear" w:pos="2835"/>
          <w:tab w:val="clear" w:pos="3969"/>
          <w:tab w:val="clear" w:pos="5103"/>
          <w:tab w:val="clear" w:pos="6237"/>
          <w:tab w:val="clear" w:pos="7371"/>
        </w:tabs>
        <w:spacing w:after="100"/>
        <w:ind w:firstLine="289"/>
        <w:rPr>
          <w:szCs w:val="26"/>
        </w:rPr>
      </w:pPr>
      <w:r>
        <w:t>Txosten honen II. epigrafean adierazi dugun bezala, txosten horiek egon b</w:t>
      </w:r>
      <w:r>
        <w:t>a</w:t>
      </w:r>
      <w:r>
        <w:t>daude, eta kontratu-interpretazioa eskatzen duen errekurtsoa baiestearen ald</w:t>
      </w:r>
      <w:r>
        <w:t>e</w:t>
      </w:r>
      <w:r>
        <w:t>koak dira. Nafarroako Gobernuak errekurtso hori baiesteko 2021eko otsailaren 24an hartutako erabakiaren motibazioa dira.</w:t>
      </w:r>
    </w:p>
    <w:p w:rsidR="006E43C0" w:rsidRDefault="006E43C0">
      <w:pPr>
        <w:spacing w:after="0"/>
        <w:ind w:firstLine="0"/>
        <w:jc w:val="left"/>
        <w:rPr>
          <w:spacing w:val="6"/>
          <w:sz w:val="26"/>
          <w:szCs w:val="26"/>
        </w:rPr>
      </w:pPr>
      <w:r>
        <w:br w:type="page"/>
      </w:r>
    </w:p>
    <w:p w:rsidR="00644BE1" w:rsidRPr="00F377C9" w:rsidRDefault="00644BE1" w:rsidP="00644BE1">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lastRenderedPageBreak/>
        <w:t>Legeriaren betetzeari buruzko iritzia</w:t>
      </w:r>
    </w:p>
    <w:p w:rsidR="00644BE1" w:rsidRPr="00406CC7" w:rsidRDefault="00644BE1" w:rsidP="00DF0F66">
      <w:pPr>
        <w:pStyle w:val="texto"/>
        <w:tabs>
          <w:tab w:val="clear" w:pos="2835"/>
          <w:tab w:val="clear" w:pos="3969"/>
          <w:tab w:val="clear" w:pos="5103"/>
          <w:tab w:val="clear" w:pos="6237"/>
          <w:tab w:val="clear" w:pos="7371"/>
        </w:tabs>
        <w:spacing w:after="240"/>
        <w:ind w:firstLine="289"/>
      </w:pPr>
      <w:r>
        <w:t>Gure ustez, gora jotzeko errekurtsoa baietsi eta Kontu-hartzaile Nagusiaren eragozpena ebazteko jarraitutako prozedura, zeinak berekin baitzekarren 2020ko azaroko fakturako 6,28 milioiak ordaintzea, aplikatzekoa den araudi</w:t>
      </w:r>
      <w:r>
        <w:t>a</w:t>
      </w:r>
      <w:r>
        <w:t>ren araberakoa da, ezertan galarazi gabe Nafarroako Kontseiluak gai honetaz duen iritzia</w:t>
      </w:r>
      <w:r w:rsidR="005E280A">
        <w:rPr>
          <w:rStyle w:val="Refdenotaalpie"/>
          <w:szCs w:val="26"/>
        </w:rPr>
        <w:footnoteReference w:id="4"/>
      </w:r>
      <w:r>
        <w:t>.</w:t>
      </w:r>
    </w:p>
    <w:p w:rsidR="00E5443F" w:rsidRPr="00F377C9" w:rsidRDefault="00E5443F" w:rsidP="00E5443F">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Beste oharpen batzuk, emandako iritzian eraginik ez dutenak</w:t>
      </w:r>
    </w:p>
    <w:p w:rsidR="00A66D60" w:rsidRPr="009A5CC8" w:rsidRDefault="00D2133D" w:rsidP="00E5443F">
      <w:pPr>
        <w:pStyle w:val="texto"/>
        <w:tabs>
          <w:tab w:val="clear" w:pos="2835"/>
          <w:tab w:val="clear" w:pos="3969"/>
          <w:tab w:val="clear" w:pos="5103"/>
          <w:tab w:val="clear" w:pos="6237"/>
          <w:tab w:val="clear" w:pos="7371"/>
        </w:tabs>
        <w:spacing w:after="240"/>
        <w:ind w:firstLine="289"/>
        <w:rPr>
          <w:szCs w:val="26"/>
        </w:rPr>
      </w:pPr>
      <w:r>
        <w:t xml:space="preserve">Kontuen Ganberak ulertzen du ezen </w:t>
      </w:r>
      <w:proofErr w:type="spellStart"/>
      <w:r>
        <w:t>Audenasak</w:t>
      </w:r>
      <w:proofErr w:type="spellEnd"/>
      <w:r>
        <w:t xml:space="preserve"> gora jotzeko errekurtsoa aurkeztearen ondorioz Nafarroako Gobernuak interpretazio-boterea egikaritze hori egin beharko zela faktura 2020ko abenduan aurkeztu zen unean.</w:t>
      </w:r>
    </w:p>
    <w:p w:rsidR="00C578DD" w:rsidRDefault="00C578DD" w:rsidP="00DF0F66">
      <w:pPr>
        <w:pStyle w:val="atitulo2"/>
        <w:spacing w:after="120"/>
      </w:pPr>
      <w:bookmarkStart w:id="28" w:name="_Toc67394580"/>
      <w:bookmarkStart w:id="29" w:name="_Toc78530038"/>
      <w:r>
        <w:t xml:space="preserve">IV.2. </w:t>
      </w:r>
      <w:bookmarkEnd w:id="28"/>
      <w:proofErr w:type="spellStart"/>
      <w:r>
        <w:t>Auditoretza</w:t>
      </w:r>
      <w:proofErr w:type="spellEnd"/>
      <w:r>
        <w:t xml:space="preserve"> finantzarioko iritzia</w:t>
      </w:r>
      <w:bookmarkEnd w:id="29"/>
      <w:r>
        <w:t xml:space="preserve"> </w:t>
      </w:r>
    </w:p>
    <w:p w:rsidR="00644BE1" w:rsidRDefault="005F5B32" w:rsidP="00644BE1">
      <w:pPr>
        <w:keepNext/>
        <w:spacing w:before="120" w:after="120"/>
        <w:ind w:firstLine="357"/>
        <w:rPr>
          <w:spacing w:val="6"/>
          <w:sz w:val="26"/>
          <w:szCs w:val="24"/>
        </w:rPr>
      </w:pPr>
      <w:proofErr w:type="spellStart"/>
      <w:r>
        <w:rPr>
          <w:sz w:val="26"/>
          <w:szCs w:val="24"/>
        </w:rPr>
        <w:t>Audenasaren</w:t>
      </w:r>
      <w:proofErr w:type="spellEnd"/>
      <w:r>
        <w:rPr>
          <w:sz w:val="26"/>
          <w:szCs w:val="24"/>
        </w:rPr>
        <w:t xml:space="preserve"> gora jotzeko errekurtsoaren baiespena kontuan harturik, 2020ko azaroan aurkezturiko fakturako datuak eta kalkuluak, Ekonomia eta Ogasun Depa</w:t>
      </w:r>
      <w:r>
        <w:rPr>
          <w:sz w:val="26"/>
          <w:szCs w:val="24"/>
        </w:rPr>
        <w:t>r</w:t>
      </w:r>
      <w:r>
        <w:rPr>
          <w:sz w:val="26"/>
          <w:szCs w:val="24"/>
        </w:rPr>
        <w:t>tamentuak onetsitako horretakoak, zuzenak dira.</w:t>
      </w:r>
    </w:p>
    <w:p w:rsidR="00A471C0" w:rsidRPr="001E2157" w:rsidRDefault="00A471C0" w:rsidP="00A471C0">
      <w:pPr>
        <w:pStyle w:val="texto"/>
        <w:spacing w:after="120"/>
      </w:pPr>
      <w:bookmarkStart w:id="30" w:name="_Toc67394583"/>
      <w:bookmarkStart w:id="31" w:name="_Toc67394582"/>
      <w:r>
        <w:t>Txosten hau idazteko unean, fakturak kontabilizatuta dirau, baina ordaink</w:t>
      </w:r>
      <w:r>
        <w:t>i</w:t>
      </w:r>
      <w:r>
        <w:t>zun segitzen dute 5,07 milioik.</w:t>
      </w:r>
    </w:p>
    <w:bookmarkEnd w:id="30"/>
    <w:p w:rsidR="000A54AC" w:rsidRDefault="000A54AC">
      <w:pPr>
        <w:spacing w:after="0"/>
        <w:ind w:firstLine="0"/>
        <w:jc w:val="left"/>
        <w:rPr>
          <w:b/>
          <w:color w:val="FF0000"/>
          <w:spacing w:val="6"/>
          <w:sz w:val="26"/>
          <w:szCs w:val="24"/>
        </w:rPr>
      </w:pPr>
      <w:r>
        <w:br w:type="page"/>
      </w:r>
    </w:p>
    <w:p w:rsidR="00644BE1" w:rsidRDefault="006B548F" w:rsidP="006B548F">
      <w:pPr>
        <w:pStyle w:val="atitulo2"/>
        <w:spacing w:before="240" w:after="120"/>
        <w:rPr>
          <w:bCs w:val="0"/>
          <w:iCs w:val="0"/>
        </w:rPr>
      </w:pPr>
      <w:bookmarkStart w:id="32" w:name="_Toc78530039"/>
      <w:r>
        <w:lastRenderedPageBreak/>
        <w:t xml:space="preserve">IV.3. </w:t>
      </w:r>
      <w:bookmarkEnd w:id="31"/>
      <w:r>
        <w:t>2020ko azaroko konpentsazioaren onespenak 2020-2029 epean izan ditzakeen efektuen analisia</w:t>
      </w:r>
      <w:bookmarkEnd w:id="32"/>
    </w:p>
    <w:p w:rsidR="00600E5F" w:rsidRDefault="00A471C0" w:rsidP="00A471C0">
      <w:pPr>
        <w:pStyle w:val="texto"/>
        <w:spacing w:after="240"/>
      </w:pPr>
      <w:r>
        <w:t>Aintzat harturik konpentsazioari aplikatzeko formularen osagaiak (diru-bilketa teorikoa – diru-bilketa erreala), C koefizienteari 1 edo 1,65 balioa apl</w:t>
      </w:r>
      <w:r>
        <w:t>i</w:t>
      </w:r>
      <w:r>
        <w:t>katzeak esan nahi du 2020rako diru-bilketa teoriko desberdin bat lortzea, h</w:t>
      </w:r>
      <w:r>
        <w:t>o</w:t>
      </w:r>
      <w:r>
        <w:t>nako koadro honetan erakusten den bezala:</w:t>
      </w:r>
    </w:p>
    <w:tbl>
      <w:tblPr>
        <w:tblW w:w="5000" w:type="pct"/>
        <w:tblBorders>
          <w:top w:val="single" w:sz="4" w:space="0" w:color="auto"/>
          <w:bottom w:val="single" w:sz="4" w:space="0" w:color="auto"/>
          <w:insideH w:val="single" w:sz="4" w:space="0" w:color="auto"/>
        </w:tblBorders>
        <w:tblCellMar>
          <w:left w:w="30" w:type="dxa"/>
          <w:right w:w="30" w:type="dxa"/>
        </w:tblCellMar>
        <w:tblLook w:val="0000" w:firstRow="0" w:lastRow="0" w:firstColumn="0" w:lastColumn="0" w:noHBand="0" w:noVBand="0"/>
      </w:tblPr>
      <w:tblGrid>
        <w:gridCol w:w="1140"/>
        <w:gridCol w:w="1041"/>
        <w:gridCol w:w="982"/>
        <w:gridCol w:w="871"/>
        <w:gridCol w:w="510"/>
        <w:gridCol w:w="722"/>
        <w:gridCol w:w="1122"/>
        <w:gridCol w:w="419"/>
        <w:gridCol w:w="780"/>
        <w:gridCol w:w="1262"/>
      </w:tblGrid>
      <w:tr w:rsidR="00C33E41" w:rsidRPr="00D02050" w:rsidTr="00294F01">
        <w:trPr>
          <w:trHeight w:hRule="exact" w:val="624"/>
        </w:trPr>
        <w:tc>
          <w:tcPr>
            <w:tcW w:w="644" w:type="pct"/>
            <w:tcBorders>
              <w:bottom w:val="single" w:sz="4" w:space="0" w:color="auto"/>
            </w:tcBorders>
            <w:shd w:val="clear" w:color="auto" w:fill="8DB3E2"/>
            <w:vAlign w:val="center"/>
          </w:tcPr>
          <w:p w:rsidR="00202542" w:rsidRPr="00B56671" w:rsidRDefault="00202542" w:rsidP="00C33E41">
            <w:pPr>
              <w:autoSpaceDE w:val="0"/>
              <w:autoSpaceDN w:val="0"/>
              <w:adjustRightInd w:val="0"/>
              <w:spacing w:after="0"/>
              <w:ind w:firstLine="0"/>
              <w:jc w:val="left"/>
              <w:rPr>
                <w:rFonts w:ascii="Arial" w:hAnsi="Arial" w:cs="Arial"/>
                <w:color w:val="000000"/>
                <w:sz w:val="16"/>
                <w:szCs w:val="16"/>
                <w:lang w:eastAsia="es-ES"/>
              </w:rPr>
            </w:pPr>
          </w:p>
        </w:tc>
        <w:tc>
          <w:tcPr>
            <w:tcW w:w="588" w:type="pct"/>
            <w:tcBorders>
              <w:bottom w:val="single" w:sz="4" w:space="0" w:color="auto"/>
            </w:tcBorders>
            <w:shd w:val="clear" w:color="auto" w:fill="8DB3E2"/>
            <w:vAlign w:val="center"/>
          </w:tcPr>
          <w:p w:rsidR="00202542" w:rsidRPr="00D02050" w:rsidRDefault="008C410D" w:rsidP="00541F31">
            <w:pPr>
              <w:autoSpaceDE w:val="0"/>
              <w:autoSpaceDN w:val="0"/>
              <w:adjustRightInd w:val="0"/>
              <w:spacing w:after="0"/>
              <w:ind w:firstLine="0"/>
              <w:jc w:val="right"/>
              <w:rPr>
                <w:rFonts w:ascii="Arial" w:hAnsi="Arial" w:cs="Arial"/>
                <w:color w:val="000000"/>
                <w:sz w:val="16"/>
                <w:szCs w:val="16"/>
              </w:rPr>
            </w:pPr>
            <w:r>
              <w:rPr>
                <w:rFonts w:ascii="Arial" w:hAnsi="Arial"/>
                <w:color w:val="000000"/>
                <w:sz w:val="16"/>
                <w:szCs w:val="16"/>
              </w:rPr>
              <w:t>Diru-bilketa teorikoa</w:t>
            </w:r>
          </w:p>
          <w:p w:rsidR="00202542" w:rsidRPr="00D02050" w:rsidRDefault="00202542" w:rsidP="00541F31">
            <w:pPr>
              <w:autoSpaceDE w:val="0"/>
              <w:autoSpaceDN w:val="0"/>
              <w:adjustRightInd w:val="0"/>
              <w:spacing w:after="0"/>
              <w:ind w:firstLine="0"/>
              <w:jc w:val="right"/>
              <w:rPr>
                <w:rFonts w:ascii="Arial" w:hAnsi="Arial" w:cs="Arial"/>
                <w:color w:val="000000"/>
                <w:sz w:val="16"/>
                <w:szCs w:val="16"/>
              </w:rPr>
            </w:pPr>
            <w:r>
              <w:rPr>
                <w:rFonts w:ascii="Arial" w:hAnsi="Arial"/>
                <w:color w:val="000000"/>
                <w:sz w:val="16"/>
                <w:szCs w:val="16"/>
              </w:rPr>
              <w:t>2019</w:t>
            </w:r>
          </w:p>
        </w:tc>
        <w:tc>
          <w:tcPr>
            <w:tcW w:w="555" w:type="pct"/>
            <w:tcBorders>
              <w:bottom w:val="single" w:sz="4" w:space="0" w:color="auto"/>
            </w:tcBorders>
            <w:shd w:val="clear" w:color="auto" w:fill="8DB3E2"/>
            <w:vAlign w:val="center"/>
          </w:tcPr>
          <w:p w:rsidR="00202542" w:rsidRPr="00D02050" w:rsidRDefault="00202542" w:rsidP="00541F31">
            <w:pPr>
              <w:autoSpaceDE w:val="0"/>
              <w:autoSpaceDN w:val="0"/>
              <w:adjustRightInd w:val="0"/>
              <w:spacing w:after="0"/>
              <w:ind w:firstLine="0"/>
              <w:jc w:val="right"/>
              <w:rPr>
                <w:rFonts w:ascii="Arial" w:hAnsi="Arial" w:cs="Arial"/>
                <w:color w:val="000000"/>
                <w:sz w:val="16"/>
                <w:szCs w:val="16"/>
              </w:rPr>
            </w:pPr>
            <w:proofErr w:type="spellStart"/>
            <w:r>
              <w:rPr>
                <w:rFonts w:ascii="Arial" w:hAnsi="Arial"/>
                <w:color w:val="000000"/>
                <w:sz w:val="16"/>
                <w:szCs w:val="16"/>
              </w:rPr>
              <w:t>Akt</w:t>
            </w:r>
            <w:proofErr w:type="spellEnd"/>
            <w:r>
              <w:rPr>
                <w:rFonts w:ascii="Arial" w:hAnsi="Arial"/>
                <w:color w:val="000000"/>
                <w:sz w:val="16"/>
                <w:szCs w:val="16"/>
              </w:rPr>
              <w:t>. 2020. tarifa.</w:t>
            </w:r>
          </w:p>
          <w:p w:rsidR="00202542" w:rsidRPr="00D02050" w:rsidRDefault="00202542" w:rsidP="00541F31">
            <w:pPr>
              <w:autoSpaceDE w:val="0"/>
              <w:autoSpaceDN w:val="0"/>
              <w:adjustRightInd w:val="0"/>
              <w:spacing w:after="0"/>
              <w:ind w:firstLine="0"/>
              <w:jc w:val="right"/>
              <w:rPr>
                <w:rFonts w:ascii="Arial" w:hAnsi="Arial" w:cs="Arial"/>
                <w:color w:val="000000"/>
                <w:sz w:val="16"/>
                <w:szCs w:val="16"/>
              </w:rPr>
            </w:pPr>
            <w:r>
              <w:rPr>
                <w:rFonts w:ascii="Arial" w:hAnsi="Arial"/>
                <w:color w:val="000000"/>
                <w:sz w:val="16"/>
                <w:szCs w:val="16"/>
              </w:rPr>
              <w:t>(</w:t>
            </w:r>
            <w:proofErr w:type="spellStart"/>
            <w:r>
              <w:rPr>
                <w:rFonts w:ascii="Arial" w:hAnsi="Arial"/>
                <w:color w:val="000000"/>
                <w:sz w:val="16"/>
                <w:szCs w:val="16"/>
              </w:rPr>
              <w:t>KPIaren</w:t>
            </w:r>
            <w:proofErr w:type="spellEnd"/>
            <w:r>
              <w:rPr>
                <w:rFonts w:ascii="Arial" w:hAnsi="Arial"/>
                <w:color w:val="000000"/>
                <w:sz w:val="16"/>
                <w:szCs w:val="16"/>
              </w:rPr>
              <w:t xml:space="preserve"> % 95)</w:t>
            </w:r>
          </w:p>
        </w:tc>
        <w:tc>
          <w:tcPr>
            <w:tcW w:w="492" w:type="pct"/>
            <w:tcBorders>
              <w:bottom w:val="single" w:sz="4" w:space="0" w:color="auto"/>
            </w:tcBorders>
            <w:shd w:val="clear" w:color="auto" w:fill="8DB3E2"/>
            <w:vAlign w:val="center"/>
          </w:tcPr>
          <w:p w:rsidR="00202542" w:rsidRPr="00D02050" w:rsidRDefault="00202542" w:rsidP="00541F31">
            <w:pPr>
              <w:autoSpaceDE w:val="0"/>
              <w:autoSpaceDN w:val="0"/>
              <w:adjustRightInd w:val="0"/>
              <w:spacing w:after="0"/>
              <w:ind w:firstLine="0"/>
              <w:jc w:val="right"/>
              <w:rPr>
                <w:rFonts w:ascii="Arial" w:hAnsi="Arial" w:cs="Arial"/>
                <w:color w:val="000000"/>
                <w:sz w:val="16"/>
                <w:szCs w:val="16"/>
              </w:rPr>
            </w:pPr>
            <w:r>
              <w:rPr>
                <w:rFonts w:ascii="Arial" w:hAnsi="Arial"/>
                <w:color w:val="000000"/>
                <w:sz w:val="16"/>
                <w:szCs w:val="16"/>
              </w:rPr>
              <w:t>Errepideko trafiko-gorakada</w:t>
            </w:r>
          </w:p>
          <w:p w:rsidR="00202542" w:rsidRPr="00D02050" w:rsidRDefault="00202542" w:rsidP="006B2990">
            <w:pPr>
              <w:autoSpaceDE w:val="0"/>
              <w:autoSpaceDN w:val="0"/>
              <w:adjustRightInd w:val="0"/>
              <w:spacing w:after="0"/>
              <w:ind w:firstLine="0"/>
              <w:jc w:val="right"/>
              <w:rPr>
                <w:rFonts w:ascii="Arial" w:hAnsi="Arial" w:cs="Arial"/>
                <w:color w:val="000000"/>
                <w:sz w:val="16"/>
                <w:szCs w:val="16"/>
              </w:rPr>
            </w:pPr>
          </w:p>
        </w:tc>
        <w:tc>
          <w:tcPr>
            <w:tcW w:w="696" w:type="pct"/>
            <w:gridSpan w:val="2"/>
            <w:tcBorders>
              <w:bottom w:val="single" w:sz="4" w:space="0" w:color="auto"/>
            </w:tcBorders>
            <w:shd w:val="clear" w:color="auto" w:fill="8DB3E2"/>
            <w:vAlign w:val="center"/>
          </w:tcPr>
          <w:p w:rsidR="00202542" w:rsidRPr="00D02050" w:rsidRDefault="00202542" w:rsidP="00C910F3">
            <w:pPr>
              <w:autoSpaceDE w:val="0"/>
              <w:autoSpaceDN w:val="0"/>
              <w:adjustRightInd w:val="0"/>
              <w:spacing w:after="0"/>
              <w:ind w:left="76" w:right="241" w:firstLine="0"/>
              <w:jc w:val="right"/>
              <w:rPr>
                <w:rFonts w:ascii="Arial" w:hAnsi="Arial" w:cs="Arial"/>
                <w:color w:val="000000"/>
                <w:sz w:val="16"/>
                <w:szCs w:val="16"/>
              </w:rPr>
            </w:pPr>
            <w:r>
              <w:rPr>
                <w:rFonts w:ascii="Arial" w:hAnsi="Arial"/>
                <w:color w:val="000000"/>
                <w:sz w:val="16"/>
                <w:szCs w:val="16"/>
              </w:rPr>
              <w:t>Autobideko C koefizie</w:t>
            </w:r>
            <w:r>
              <w:rPr>
                <w:rFonts w:ascii="Arial" w:hAnsi="Arial"/>
                <w:color w:val="000000"/>
                <w:sz w:val="16"/>
                <w:szCs w:val="16"/>
              </w:rPr>
              <w:t>n</w:t>
            </w:r>
            <w:r>
              <w:rPr>
                <w:rFonts w:ascii="Arial" w:hAnsi="Arial"/>
                <w:color w:val="000000"/>
                <w:sz w:val="16"/>
                <w:szCs w:val="16"/>
              </w:rPr>
              <w:t>tea = 1,65</w:t>
            </w:r>
          </w:p>
          <w:p w:rsidR="00202542" w:rsidRPr="00D02050" w:rsidRDefault="00202542" w:rsidP="00C910F3">
            <w:pPr>
              <w:autoSpaceDE w:val="0"/>
              <w:autoSpaceDN w:val="0"/>
              <w:adjustRightInd w:val="0"/>
              <w:spacing w:after="0"/>
              <w:ind w:left="76" w:right="241" w:firstLine="0"/>
              <w:jc w:val="right"/>
              <w:rPr>
                <w:rFonts w:ascii="Arial" w:hAnsi="Arial" w:cs="Arial"/>
                <w:color w:val="000000"/>
                <w:sz w:val="16"/>
                <w:szCs w:val="16"/>
              </w:rPr>
            </w:pPr>
          </w:p>
          <w:p w:rsidR="00202542" w:rsidRPr="00D02050" w:rsidRDefault="00202542" w:rsidP="00C910F3">
            <w:pPr>
              <w:autoSpaceDE w:val="0"/>
              <w:autoSpaceDN w:val="0"/>
              <w:adjustRightInd w:val="0"/>
              <w:spacing w:after="0"/>
              <w:ind w:left="76" w:right="241" w:firstLine="0"/>
              <w:jc w:val="right"/>
              <w:rPr>
                <w:rFonts w:ascii="Arial" w:hAnsi="Arial" w:cs="Arial"/>
                <w:color w:val="000000"/>
                <w:sz w:val="16"/>
                <w:szCs w:val="16"/>
              </w:rPr>
            </w:pPr>
          </w:p>
        </w:tc>
        <w:tc>
          <w:tcPr>
            <w:tcW w:w="634" w:type="pct"/>
            <w:tcBorders>
              <w:bottom w:val="single" w:sz="4" w:space="0" w:color="auto"/>
            </w:tcBorders>
            <w:shd w:val="clear" w:color="auto" w:fill="8DB3E2"/>
            <w:vAlign w:val="center"/>
          </w:tcPr>
          <w:p w:rsidR="00202542" w:rsidRPr="00D02050" w:rsidRDefault="00202542" w:rsidP="00541F31">
            <w:pPr>
              <w:autoSpaceDE w:val="0"/>
              <w:autoSpaceDN w:val="0"/>
              <w:adjustRightInd w:val="0"/>
              <w:spacing w:after="0"/>
              <w:ind w:firstLine="0"/>
              <w:jc w:val="right"/>
              <w:rPr>
                <w:rFonts w:ascii="Arial" w:hAnsi="Arial" w:cs="Arial"/>
                <w:bCs/>
                <w:color w:val="000000"/>
                <w:sz w:val="16"/>
                <w:szCs w:val="16"/>
              </w:rPr>
            </w:pPr>
            <w:r>
              <w:rPr>
                <w:rFonts w:ascii="Arial" w:hAnsi="Arial"/>
                <w:bCs/>
                <w:color w:val="000000"/>
                <w:sz w:val="16"/>
                <w:szCs w:val="16"/>
              </w:rPr>
              <w:t>2020ko diru-bilketa teor</w:t>
            </w:r>
            <w:r>
              <w:rPr>
                <w:rFonts w:ascii="Arial" w:hAnsi="Arial"/>
                <w:bCs/>
                <w:color w:val="000000"/>
                <w:sz w:val="16"/>
                <w:szCs w:val="16"/>
              </w:rPr>
              <w:t>i</w:t>
            </w:r>
            <w:r>
              <w:rPr>
                <w:rFonts w:ascii="Arial" w:hAnsi="Arial"/>
                <w:bCs/>
                <w:color w:val="000000"/>
                <w:sz w:val="16"/>
                <w:szCs w:val="16"/>
              </w:rPr>
              <w:t>koa</w:t>
            </w:r>
          </w:p>
          <w:p w:rsidR="00202542" w:rsidRPr="00D02050" w:rsidRDefault="00202542" w:rsidP="00541F31">
            <w:pPr>
              <w:autoSpaceDE w:val="0"/>
              <w:autoSpaceDN w:val="0"/>
              <w:adjustRightInd w:val="0"/>
              <w:spacing w:after="0"/>
              <w:ind w:firstLine="0"/>
              <w:jc w:val="right"/>
              <w:rPr>
                <w:rFonts w:ascii="Arial" w:hAnsi="Arial" w:cs="Arial"/>
                <w:bCs/>
                <w:color w:val="000000"/>
                <w:sz w:val="16"/>
                <w:szCs w:val="16"/>
              </w:rPr>
            </w:pPr>
            <w:r>
              <w:rPr>
                <w:rFonts w:ascii="Arial" w:hAnsi="Arial"/>
                <w:bCs/>
                <w:color w:val="000000"/>
                <w:sz w:val="16"/>
                <w:szCs w:val="16"/>
              </w:rPr>
              <w:t>C=1,65</w:t>
            </w:r>
          </w:p>
        </w:tc>
        <w:tc>
          <w:tcPr>
            <w:tcW w:w="678" w:type="pct"/>
            <w:gridSpan w:val="2"/>
            <w:tcBorders>
              <w:bottom w:val="single" w:sz="4" w:space="0" w:color="auto"/>
            </w:tcBorders>
            <w:shd w:val="clear" w:color="auto" w:fill="8DB3E2"/>
            <w:vAlign w:val="center"/>
          </w:tcPr>
          <w:p w:rsidR="00202542" w:rsidRPr="00D02050" w:rsidRDefault="00202542" w:rsidP="00541F31">
            <w:pPr>
              <w:autoSpaceDE w:val="0"/>
              <w:autoSpaceDN w:val="0"/>
              <w:adjustRightInd w:val="0"/>
              <w:spacing w:after="0"/>
              <w:ind w:right="129" w:firstLine="0"/>
              <w:jc w:val="right"/>
              <w:rPr>
                <w:rFonts w:ascii="Arial" w:hAnsi="Arial" w:cs="Arial"/>
                <w:color w:val="000000"/>
                <w:sz w:val="16"/>
                <w:szCs w:val="16"/>
              </w:rPr>
            </w:pPr>
            <w:r>
              <w:rPr>
                <w:rFonts w:ascii="Arial" w:hAnsi="Arial"/>
                <w:color w:val="000000"/>
                <w:sz w:val="16"/>
                <w:szCs w:val="16"/>
              </w:rPr>
              <w:t>Autobideko C koefizientea = 1</w:t>
            </w:r>
          </w:p>
          <w:p w:rsidR="00202542" w:rsidRPr="00D02050" w:rsidRDefault="00202542" w:rsidP="00541F31">
            <w:pPr>
              <w:autoSpaceDE w:val="0"/>
              <w:autoSpaceDN w:val="0"/>
              <w:adjustRightInd w:val="0"/>
              <w:spacing w:after="0"/>
              <w:ind w:right="129" w:firstLine="0"/>
              <w:jc w:val="right"/>
              <w:rPr>
                <w:rFonts w:ascii="Arial" w:hAnsi="Arial" w:cs="Arial"/>
                <w:color w:val="000000"/>
                <w:sz w:val="16"/>
                <w:szCs w:val="16"/>
              </w:rPr>
            </w:pPr>
          </w:p>
          <w:p w:rsidR="00202542" w:rsidRPr="00D02050" w:rsidRDefault="00202542" w:rsidP="00541F31">
            <w:pPr>
              <w:autoSpaceDE w:val="0"/>
              <w:autoSpaceDN w:val="0"/>
              <w:adjustRightInd w:val="0"/>
              <w:spacing w:after="0"/>
              <w:ind w:right="129" w:firstLine="0"/>
              <w:jc w:val="right"/>
              <w:rPr>
                <w:rFonts w:ascii="Arial" w:hAnsi="Arial" w:cs="Arial"/>
                <w:color w:val="000000"/>
                <w:sz w:val="16"/>
                <w:szCs w:val="16"/>
              </w:rPr>
            </w:pPr>
          </w:p>
        </w:tc>
        <w:tc>
          <w:tcPr>
            <w:tcW w:w="713" w:type="pct"/>
            <w:tcBorders>
              <w:bottom w:val="single" w:sz="4" w:space="0" w:color="auto"/>
            </w:tcBorders>
            <w:shd w:val="clear" w:color="auto" w:fill="8DB3E2"/>
            <w:vAlign w:val="center"/>
          </w:tcPr>
          <w:p w:rsidR="00202542" w:rsidRPr="00D02050" w:rsidRDefault="00202542" w:rsidP="00541F31">
            <w:pPr>
              <w:autoSpaceDE w:val="0"/>
              <w:autoSpaceDN w:val="0"/>
              <w:adjustRightInd w:val="0"/>
              <w:spacing w:after="0"/>
              <w:ind w:firstLine="0"/>
              <w:jc w:val="right"/>
              <w:rPr>
                <w:rFonts w:ascii="Arial" w:hAnsi="Arial" w:cs="Arial"/>
                <w:bCs/>
                <w:color w:val="000000"/>
                <w:sz w:val="16"/>
                <w:szCs w:val="16"/>
              </w:rPr>
            </w:pPr>
            <w:r>
              <w:rPr>
                <w:rFonts w:ascii="Arial" w:hAnsi="Arial"/>
                <w:bCs/>
                <w:color w:val="000000"/>
                <w:sz w:val="16"/>
                <w:szCs w:val="16"/>
              </w:rPr>
              <w:t>2020ko diru-bilketa teorikoa</w:t>
            </w:r>
          </w:p>
          <w:p w:rsidR="00202542" w:rsidRPr="00D02050" w:rsidRDefault="00202542" w:rsidP="00541F31">
            <w:pPr>
              <w:autoSpaceDE w:val="0"/>
              <w:autoSpaceDN w:val="0"/>
              <w:adjustRightInd w:val="0"/>
              <w:spacing w:after="0"/>
              <w:ind w:firstLine="0"/>
              <w:jc w:val="right"/>
              <w:rPr>
                <w:rFonts w:ascii="Arial" w:hAnsi="Arial" w:cs="Arial"/>
                <w:bCs/>
                <w:color w:val="000000"/>
                <w:sz w:val="16"/>
                <w:szCs w:val="16"/>
              </w:rPr>
            </w:pPr>
            <w:r>
              <w:rPr>
                <w:rFonts w:ascii="Arial" w:hAnsi="Arial"/>
                <w:bCs/>
                <w:color w:val="000000"/>
                <w:sz w:val="16"/>
                <w:szCs w:val="16"/>
              </w:rPr>
              <w:t>C=1</w:t>
            </w:r>
          </w:p>
        </w:tc>
      </w:tr>
      <w:tr w:rsidR="00C33E41" w:rsidRPr="00C33E41" w:rsidTr="00294F01">
        <w:trPr>
          <w:trHeight w:hRule="exact" w:val="284"/>
        </w:trPr>
        <w:tc>
          <w:tcPr>
            <w:tcW w:w="644"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Urtarrila</w:t>
            </w:r>
          </w:p>
        </w:tc>
        <w:tc>
          <w:tcPr>
            <w:tcW w:w="588"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3.437.129</w:t>
            </w:r>
          </w:p>
        </w:tc>
        <w:tc>
          <w:tcPr>
            <w:tcW w:w="555"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1,13</w:t>
            </w:r>
          </w:p>
        </w:tc>
        <w:tc>
          <w:tcPr>
            <w:tcW w:w="288"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0,01865</w:t>
            </w:r>
          </w:p>
        </w:tc>
        <w:tc>
          <w:tcPr>
            <w:tcW w:w="634"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3.504.540</w:t>
            </w:r>
          </w:p>
        </w:tc>
        <w:tc>
          <w:tcPr>
            <w:tcW w:w="237"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1,13</w:t>
            </w:r>
          </w:p>
        </w:tc>
        <w:tc>
          <w:tcPr>
            <w:tcW w:w="713" w:type="pct"/>
            <w:tcBorders>
              <w:top w:val="single" w:sz="4"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3.479.271</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Otsaila</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3.520.115</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1,57</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0,02591</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3.743.832</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1,57</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3.706.591</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Martxoa</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3.900.956</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37,21</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-0,61397</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1.507.336</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37,21</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2.451.737</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Apirila</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4.180.451</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68,79</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-1,13504</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-565.043</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68,79</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1.305.958</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Maiatza</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3.948.302</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47,59</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-0,78524</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848.763</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47,59</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2.071.271</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Ekaina</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3.913.957</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21,39</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-0,35294</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2.534.991</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21,39</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3.079.685</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Uztaila</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4.796.386</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13,96</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-0,23034</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3.695.093</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13,96</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4.130.731</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Abuztua</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4.579.623</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11,83</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-0,19520</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3.689.205</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11,83</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4.041.690</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Iraila</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3.918.449</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8,74</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-0,14421</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3.356.555</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8,74</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3.579.374</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Urria</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4.365.241</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17,80</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-0,29370</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3.086.098</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17,80</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3.591.637</w:t>
            </w:r>
          </w:p>
        </w:tc>
      </w:tr>
      <w:tr w:rsidR="00C33E41" w:rsidRPr="00C33E41" w:rsidTr="00294F01">
        <w:trPr>
          <w:trHeight w:hRule="exact" w:val="284"/>
        </w:trPr>
        <w:tc>
          <w:tcPr>
            <w:tcW w:w="64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Azaroa</w:t>
            </w:r>
          </w:p>
        </w:tc>
        <w:tc>
          <w:tcPr>
            <w:tcW w:w="5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4.129.203</w:t>
            </w:r>
          </w:p>
        </w:tc>
        <w:tc>
          <w:tcPr>
            <w:tcW w:w="555"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19,45</w:t>
            </w:r>
          </w:p>
        </w:tc>
        <w:tc>
          <w:tcPr>
            <w:tcW w:w="28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-0,32093</w:t>
            </w:r>
          </w:p>
        </w:tc>
        <w:tc>
          <w:tcPr>
            <w:tcW w:w="634"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2.806.702</w:t>
            </w:r>
          </w:p>
        </w:tc>
        <w:tc>
          <w:tcPr>
            <w:tcW w:w="237"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19,45</w:t>
            </w:r>
          </w:p>
        </w:tc>
        <w:tc>
          <w:tcPr>
            <w:tcW w:w="713" w:type="pct"/>
            <w:tcBorders>
              <w:top w:val="single" w:sz="2" w:space="0" w:color="auto"/>
              <w:bottom w:val="single" w:sz="2"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3.329.232</w:t>
            </w:r>
          </w:p>
        </w:tc>
      </w:tr>
      <w:tr w:rsidR="00C33E41" w:rsidRPr="00C33E41" w:rsidTr="00294F01">
        <w:trPr>
          <w:trHeight w:hRule="exact" w:val="284"/>
        </w:trPr>
        <w:tc>
          <w:tcPr>
            <w:tcW w:w="644"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Abendua</w:t>
            </w:r>
          </w:p>
        </w:tc>
        <w:tc>
          <w:tcPr>
            <w:tcW w:w="588"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3.974.117</w:t>
            </w:r>
          </w:p>
        </w:tc>
        <w:tc>
          <w:tcPr>
            <w:tcW w:w="555"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1,00095</w:t>
            </w:r>
          </w:p>
        </w:tc>
        <w:tc>
          <w:tcPr>
            <w:tcW w:w="492"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15,71</w:t>
            </w:r>
          </w:p>
        </w:tc>
        <w:tc>
          <w:tcPr>
            <w:tcW w:w="288"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1,65</w:t>
            </w:r>
          </w:p>
        </w:tc>
        <w:tc>
          <w:tcPr>
            <w:tcW w:w="408"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-0,25922</w:t>
            </w:r>
          </w:p>
        </w:tc>
        <w:tc>
          <w:tcPr>
            <w:tcW w:w="634"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2.816.657</w:t>
            </w:r>
          </w:p>
        </w:tc>
        <w:tc>
          <w:tcPr>
            <w:tcW w:w="237"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441"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bCs/>
                <w:color w:val="000000"/>
              </w:rPr>
            </w:pPr>
            <w:r>
              <w:rPr>
                <w:rFonts w:ascii="Arial Narrow" w:hAnsi="Arial Narrow"/>
                <w:bCs/>
                <w:color w:val="000000"/>
              </w:rPr>
              <w:t>-% 15,71</w:t>
            </w:r>
          </w:p>
        </w:tc>
        <w:tc>
          <w:tcPr>
            <w:tcW w:w="713" w:type="pct"/>
            <w:tcBorders>
              <w:top w:val="single" w:sz="2" w:space="0" w:color="auto"/>
              <w:bottom w:val="single" w:sz="4" w:space="0" w:color="auto"/>
            </w:tcBorders>
            <w:shd w:val="clear" w:color="auto" w:fill="auto"/>
            <w:vAlign w:val="center"/>
          </w:tcPr>
          <w:p w:rsidR="004A60A2" w:rsidRPr="00C33E41" w:rsidRDefault="004A60A2" w:rsidP="00C33E41">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3.277.113</w:t>
            </w:r>
          </w:p>
        </w:tc>
      </w:tr>
      <w:tr w:rsidR="00C33E41" w:rsidRPr="00202542" w:rsidTr="00294F01">
        <w:trPr>
          <w:trHeight w:hRule="exact" w:val="284"/>
        </w:trPr>
        <w:tc>
          <w:tcPr>
            <w:tcW w:w="644" w:type="pct"/>
            <w:tcBorders>
              <w:top w:val="single" w:sz="4" w:space="0" w:color="auto"/>
            </w:tcBorders>
            <w:shd w:val="clear" w:color="auto" w:fill="8DB3E2"/>
            <w:vAlign w:val="center"/>
          </w:tcPr>
          <w:p w:rsidR="004A60A2" w:rsidRPr="00C33E41" w:rsidRDefault="004A60A2" w:rsidP="00C33E41">
            <w:pPr>
              <w:autoSpaceDE w:val="0"/>
              <w:autoSpaceDN w:val="0"/>
              <w:adjustRightInd w:val="0"/>
              <w:spacing w:after="0"/>
              <w:ind w:firstLine="0"/>
              <w:jc w:val="left"/>
              <w:rPr>
                <w:rFonts w:ascii="Arial" w:hAnsi="Arial" w:cs="Arial"/>
                <w:sz w:val="18"/>
                <w:szCs w:val="18"/>
              </w:rPr>
            </w:pPr>
            <w:r>
              <w:rPr>
                <w:rFonts w:ascii="Arial" w:hAnsi="Arial"/>
                <w:sz w:val="18"/>
                <w:szCs w:val="18"/>
              </w:rPr>
              <w:t>Guztira</w:t>
            </w:r>
          </w:p>
        </w:tc>
        <w:tc>
          <w:tcPr>
            <w:tcW w:w="588"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sz w:val="18"/>
                <w:szCs w:val="18"/>
              </w:rPr>
            </w:pPr>
            <w:r>
              <w:rPr>
                <w:rFonts w:ascii="Arial" w:hAnsi="Arial"/>
                <w:sz w:val="18"/>
                <w:szCs w:val="18"/>
              </w:rPr>
              <w:t>48.663.929</w:t>
            </w:r>
          </w:p>
        </w:tc>
        <w:tc>
          <w:tcPr>
            <w:tcW w:w="555"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sz w:val="18"/>
                <w:szCs w:val="18"/>
              </w:rPr>
            </w:pPr>
            <w:r>
              <w:rPr>
                <w:rFonts w:ascii="Arial" w:hAnsi="Arial"/>
                <w:sz w:val="18"/>
                <w:szCs w:val="18"/>
              </w:rPr>
              <w:t>1,00095</w:t>
            </w:r>
          </w:p>
        </w:tc>
        <w:tc>
          <w:tcPr>
            <w:tcW w:w="492"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bCs/>
                <w:sz w:val="18"/>
                <w:szCs w:val="18"/>
              </w:rPr>
            </w:pPr>
            <w:r>
              <w:rPr>
                <w:rFonts w:ascii="Arial" w:hAnsi="Arial"/>
                <w:bCs/>
                <w:sz w:val="18"/>
                <w:szCs w:val="18"/>
              </w:rPr>
              <w:t>-% 22,11</w:t>
            </w:r>
          </w:p>
        </w:tc>
        <w:tc>
          <w:tcPr>
            <w:tcW w:w="288"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bCs/>
                <w:sz w:val="18"/>
                <w:szCs w:val="18"/>
              </w:rPr>
            </w:pPr>
            <w:r>
              <w:rPr>
                <w:rFonts w:ascii="Arial" w:hAnsi="Arial"/>
                <w:bCs/>
                <w:sz w:val="18"/>
                <w:szCs w:val="18"/>
              </w:rPr>
              <w:t>1,65</w:t>
            </w:r>
          </w:p>
        </w:tc>
        <w:tc>
          <w:tcPr>
            <w:tcW w:w="408"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bCs/>
                <w:sz w:val="18"/>
                <w:szCs w:val="18"/>
              </w:rPr>
            </w:pPr>
            <w:r>
              <w:rPr>
                <w:rFonts w:ascii="Arial" w:hAnsi="Arial"/>
                <w:bCs/>
                <w:sz w:val="18"/>
                <w:szCs w:val="18"/>
              </w:rPr>
              <w:t>-0,3648</w:t>
            </w:r>
          </w:p>
        </w:tc>
        <w:tc>
          <w:tcPr>
            <w:tcW w:w="634"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sz w:val="18"/>
                <w:szCs w:val="18"/>
              </w:rPr>
            </w:pPr>
            <w:r>
              <w:rPr>
                <w:rFonts w:ascii="Arial" w:hAnsi="Arial"/>
                <w:sz w:val="18"/>
                <w:szCs w:val="18"/>
              </w:rPr>
              <w:t>31.024.729</w:t>
            </w:r>
          </w:p>
        </w:tc>
        <w:tc>
          <w:tcPr>
            <w:tcW w:w="237"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sz w:val="18"/>
                <w:szCs w:val="18"/>
              </w:rPr>
            </w:pPr>
            <w:r>
              <w:rPr>
                <w:rFonts w:ascii="Arial" w:hAnsi="Arial"/>
                <w:sz w:val="18"/>
                <w:szCs w:val="18"/>
              </w:rPr>
              <w:t>1</w:t>
            </w:r>
          </w:p>
        </w:tc>
        <w:tc>
          <w:tcPr>
            <w:tcW w:w="441"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bCs/>
                <w:sz w:val="18"/>
                <w:szCs w:val="18"/>
              </w:rPr>
            </w:pPr>
            <w:r>
              <w:rPr>
                <w:rFonts w:ascii="Arial" w:hAnsi="Arial"/>
                <w:bCs/>
                <w:sz w:val="18"/>
                <w:szCs w:val="18"/>
              </w:rPr>
              <w:t>-% 22,11</w:t>
            </w:r>
          </w:p>
        </w:tc>
        <w:tc>
          <w:tcPr>
            <w:tcW w:w="713" w:type="pct"/>
            <w:tcBorders>
              <w:top w:val="single" w:sz="4" w:space="0" w:color="auto"/>
            </w:tcBorders>
            <w:shd w:val="clear" w:color="auto" w:fill="8DB3E2"/>
            <w:vAlign w:val="center"/>
          </w:tcPr>
          <w:p w:rsidR="004A60A2" w:rsidRPr="00C33E41" w:rsidRDefault="004A60A2" w:rsidP="004A60A2">
            <w:pPr>
              <w:autoSpaceDE w:val="0"/>
              <w:autoSpaceDN w:val="0"/>
              <w:adjustRightInd w:val="0"/>
              <w:spacing w:after="0"/>
              <w:ind w:firstLine="0"/>
              <w:jc w:val="right"/>
              <w:rPr>
                <w:rFonts w:ascii="Arial" w:hAnsi="Arial" w:cs="Arial"/>
                <w:sz w:val="18"/>
                <w:szCs w:val="18"/>
              </w:rPr>
            </w:pPr>
            <w:r>
              <w:rPr>
                <w:rFonts w:ascii="Arial" w:hAnsi="Arial"/>
                <w:sz w:val="18"/>
                <w:szCs w:val="18"/>
              </w:rPr>
              <w:t>38.044.289</w:t>
            </w:r>
          </w:p>
        </w:tc>
      </w:tr>
    </w:tbl>
    <w:p w:rsidR="00600E5F" w:rsidRDefault="00202542" w:rsidP="00E5443F">
      <w:pPr>
        <w:pStyle w:val="texto"/>
        <w:spacing w:before="240" w:after="120"/>
      </w:pPr>
      <w:r>
        <w:t>Ikusten denez, 2020ko diru-bilketa teorikoa, 1 balioa aintzat harturik C ko</w:t>
      </w:r>
      <w:r>
        <w:t>e</w:t>
      </w:r>
      <w:r>
        <w:t xml:space="preserve">fizientearentzat, 38,04 milioikoa da; </w:t>
      </w:r>
      <w:proofErr w:type="spellStart"/>
      <w:r>
        <w:t>Ck</w:t>
      </w:r>
      <w:proofErr w:type="spellEnd"/>
      <w:r>
        <w:t xml:space="preserve"> 1,65 balioa hartzen badu, ordea, zenb</w:t>
      </w:r>
      <w:r>
        <w:t>a</w:t>
      </w:r>
      <w:r>
        <w:t xml:space="preserve">teko hori 31,02 milioira jaisten da. </w:t>
      </w:r>
    </w:p>
    <w:p w:rsidR="00294F01" w:rsidRDefault="00294F01" w:rsidP="00294F01">
      <w:pPr>
        <w:pStyle w:val="texto"/>
        <w:spacing w:after="120"/>
      </w:pPr>
      <w:r>
        <w:t>Alde hain nabarmen horiek ikusita, nahiz eta 2020ko azaroko fakturako d</w:t>
      </w:r>
      <w:r>
        <w:t>a</w:t>
      </w:r>
      <w:r>
        <w:t>tuak eta kalkuluak zuzenak diren, formulako C koefizientearentzat 1 balioa erabiliz eginiko kontratu-interpretazioak efektuak dauzka ondoko urteetan, h</w:t>
      </w:r>
      <w:r>
        <w:t>a</w:t>
      </w:r>
      <w:r>
        <w:t>rik eta emakida 2029an amaitu arte.</w:t>
      </w:r>
    </w:p>
    <w:p w:rsidR="00EC5ABF" w:rsidRDefault="00294F01" w:rsidP="00294F01">
      <w:pPr>
        <w:pStyle w:val="texto"/>
        <w:spacing w:after="120"/>
      </w:pPr>
      <w:r>
        <w:t>Abiapuntu harturik aurreko koadroan bildutako 2020ko diru-bilketa teoriko</w:t>
      </w:r>
      <w:r>
        <w:t>a</w:t>
      </w:r>
      <w:r>
        <w:t xml:space="preserve">ren datuak, lortuak </w:t>
      </w:r>
      <w:proofErr w:type="spellStart"/>
      <w:r>
        <w:t>Ck</w:t>
      </w:r>
      <w:proofErr w:type="spellEnd"/>
      <w:r>
        <w:t xml:space="preserve"> 1 edo 1,65 balioa hartzearen ikuspegitik, kalkulatu dugu zenbaki bakoitzak zer efektu izanen lukeen </w:t>
      </w:r>
      <w:proofErr w:type="spellStart"/>
      <w:r>
        <w:t>NFKAk</w:t>
      </w:r>
      <w:proofErr w:type="spellEnd"/>
      <w:r>
        <w:t xml:space="preserve"> </w:t>
      </w:r>
      <w:proofErr w:type="spellStart"/>
      <w:r>
        <w:t>Audenasari</w:t>
      </w:r>
      <w:proofErr w:type="spellEnd"/>
      <w:r>
        <w:t xml:space="preserve"> eginen liokeen konpentsazioan eta horren adierazle </w:t>
      </w:r>
      <w:proofErr w:type="spellStart"/>
      <w:r>
        <w:t>ekonomiko-finantzarioetan</w:t>
      </w:r>
      <w:proofErr w:type="spellEnd"/>
      <w:r>
        <w:t>, 2020ko datu</w:t>
      </w:r>
      <w:r>
        <w:t>e</w:t>
      </w:r>
      <w:r>
        <w:t xml:space="preserve">kin eguneraturiko azken </w:t>
      </w:r>
      <w:proofErr w:type="spellStart"/>
      <w:r>
        <w:t>PEFeko</w:t>
      </w:r>
      <w:proofErr w:type="spellEnd"/>
      <w:r>
        <w:t xml:space="preserve"> aurreikuspenak betetzearen kasuan.</w:t>
      </w:r>
    </w:p>
    <w:p w:rsidR="002F2BC3" w:rsidRDefault="002F2BC3">
      <w:pPr>
        <w:spacing w:after="0"/>
        <w:ind w:firstLine="0"/>
        <w:jc w:val="left"/>
        <w:rPr>
          <w:spacing w:val="6"/>
          <w:sz w:val="26"/>
          <w:szCs w:val="24"/>
        </w:rPr>
      </w:pPr>
      <w:r>
        <w:br w:type="page"/>
      </w:r>
    </w:p>
    <w:p w:rsidR="00485E70" w:rsidRDefault="00485E70" w:rsidP="002F2BC3">
      <w:pPr>
        <w:pStyle w:val="texto"/>
        <w:spacing w:after="240"/>
      </w:pPr>
      <w:r>
        <w:lastRenderedPageBreak/>
        <w:t xml:space="preserve">Jarraian erakusten dugu </w:t>
      </w:r>
      <w:proofErr w:type="spellStart"/>
      <w:r>
        <w:t>NFKAk</w:t>
      </w:r>
      <w:proofErr w:type="spellEnd"/>
      <w:r>
        <w:t xml:space="preserve"> 2020-2029 epean </w:t>
      </w:r>
      <w:proofErr w:type="spellStart"/>
      <w:r>
        <w:t>Audenasari</w:t>
      </w:r>
      <w:proofErr w:type="spellEnd"/>
      <w:r>
        <w:t xml:space="preserve"> deskontueng</w:t>
      </w:r>
      <w:r>
        <w:t>a</w:t>
      </w:r>
      <w:r>
        <w:t>tik egin beharko liokeen konpentsazioan gertatuko litzatekeen efektua, aintzat harturik aurreko diru-bilketa teorikoaren kopuruak, 2020rako eguneraturiko a</w:t>
      </w:r>
      <w:r>
        <w:t>z</w:t>
      </w:r>
      <w:r>
        <w:t xml:space="preserve">ken </w:t>
      </w:r>
      <w:proofErr w:type="spellStart"/>
      <w:r>
        <w:t>PEFaren</w:t>
      </w:r>
      <w:proofErr w:type="spellEnd"/>
      <w:r>
        <w:t xml:space="preserve"> arabera aurreikusitako datuak (C berdin 1) eta C koefizienteari 1,65 balioa aplikatzetik suertatuko zena:</w:t>
      </w:r>
    </w:p>
    <w:tbl>
      <w:tblPr>
        <w:tblW w:w="5000" w:type="pct"/>
        <w:tblBorders>
          <w:top w:val="single" w:sz="4" w:space="0" w:color="auto"/>
          <w:bottom w:val="single" w:sz="4" w:space="0" w:color="auto"/>
          <w:insideH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426"/>
        <w:gridCol w:w="1984"/>
        <w:gridCol w:w="2205"/>
        <w:gridCol w:w="2314"/>
      </w:tblGrid>
      <w:tr w:rsidR="004A60A2" w:rsidRPr="00C33E41" w:rsidTr="002E6C2D">
        <w:trPr>
          <w:trHeight w:val="255"/>
        </w:trPr>
        <w:tc>
          <w:tcPr>
            <w:tcW w:w="1100" w:type="pct"/>
            <w:vMerge w:val="restart"/>
            <w:shd w:val="clear" w:color="auto" w:fill="8DB3E2"/>
            <w:vAlign w:val="center"/>
          </w:tcPr>
          <w:p w:rsidR="004A60A2" w:rsidRPr="00C33E41" w:rsidRDefault="004A60A2" w:rsidP="00C33E41">
            <w:pPr>
              <w:spacing w:after="0"/>
              <w:ind w:firstLine="0"/>
              <w:jc w:val="left"/>
              <w:rPr>
                <w:rFonts w:ascii="Arial" w:hAnsi="Arial" w:cs="Arial"/>
                <w:bCs/>
                <w:sz w:val="18"/>
                <w:szCs w:val="18"/>
              </w:rPr>
            </w:pPr>
            <w:r>
              <w:rPr>
                <w:rFonts w:ascii="Arial" w:hAnsi="Arial"/>
                <w:bCs/>
                <w:sz w:val="18"/>
                <w:szCs w:val="18"/>
              </w:rPr>
              <w:t>Urtea</w:t>
            </w:r>
          </w:p>
        </w:tc>
        <w:tc>
          <w:tcPr>
            <w:tcW w:w="900" w:type="pct"/>
            <w:gridSpan w:val="2"/>
            <w:shd w:val="clear" w:color="auto" w:fill="8DB3E2"/>
            <w:vAlign w:val="center"/>
          </w:tcPr>
          <w:p w:rsidR="004A60A2" w:rsidRPr="00C33E41" w:rsidRDefault="004A60A2" w:rsidP="00C33E41">
            <w:pPr>
              <w:spacing w:after="0"/>
              <w:ind w:firstLine="0"/>
              <w:jc w:val="center"/>
              <w:rPr>
                <w:rFonts w:ascii="Arial" w:hAnsi="Arial" w:cs="Arial"/>
                <w:bCs/>
                <w:sz w:val="18"/>
                <w:szCs w:val="18"/>
              </w:rPr>
            </w:pPr>
            <w:proofErr w:type="spellStart"/>
            <w:r>
              <w:rPr>
                <w:rFonts w:ascii="Arial" w:hAnsi="Arial"/>
                <w:bCs/>
                <w:sz w:val="18"/>
                <w:szCs w:val="18"/>
              </w:rPr>
              <w:t>NFKAren</w:t>
            </w:r>
            <w:proofErr w:type="spellEnd"/>
            <w:r>
              <w:rPr>
                <w:rFonts w:ascii="Arial" w:hAnsi="Arial"/>
                <w:bCs/>
                <w:sz w:val="18"/>
                <w:szCs w:val="18"/>
              </w:rPr>
              <w:t xml:space="preserve"> konpentsazioa</w:t>
            </w:r>
          </w:p>
        </w:tc>
        <w:tc>
          <w:tcPr>
            <w:tcW w:w="1050" w:type="pct"/>
            <w:vMerge w:val="restart"/>
            <w:shd w:val="clear" w:color="auto" w:fill="8DB3E2"/>
            <w:vAlign w:val="center"/>
          </w:tcPr>
          <w:p w:rsidR="004A60A2" w:rsidRPr="00C33E41" w:rsidRDefault="004A60A2" w:rsidP="00C33E41">
            <w:pPr>
              <w:spacing w:after="0"/>
              <w:jc w:val="right"/>
              <w:rPr>
                <w:rFonts w:ascii="Arial" w:hAnsi="Arial" w:cs="Arial"/>
                <w:bCs/>
                <w:sz w:val="18"/>
                <w:szCs w:val="18"/>
              </w:rPr>
            </w:pPr>
            <w:r>
              <w:rPr>
                <w:rFonts w:ascii="Arial" w:hAnsi="Arial"/>
                <w:bCs/>
                <w:sz w:val="18"/>
                <w:szCs w:val="18"/>
              </w:rPr>
              <w:t>Konpentsazioen a</w:t>
            </w:r>
            <w:r>
              <w:rPr>
                <w:rFonts w:ascii="Arial" w:hAnsi="Arial"/>
                <w:bCs/>
                <w:sz w:val="18"/>
                <w:szCs w:val="18"/>
              </w:rPr>
              <w:t>l</w:t>
            </w:r>
            <w:r>
              <w:rPr>
                <w:rFonts w:ascii="Arial" w:hAnsi="Arial"/>
                <w:bCs/>
                <w:sz w:val="18"/>
                <w:szCs w:val="18"/>
              </w:rPr>
              <w:t xml:space="preserve">dea </w:t>
            </w:r>
          </w:p>
          <w:p w:rsidR="004A60A2" w:rsidRPr="00C33E41" w:rsidRDefault="004A60A2" w:rsidP="00C33E41">
            <w:pPr>
              <w:spacing w:after="0"/>
              <w:jc w:val="right"/>
              <w:rPr>
                <w:rFonts w:ascii="Arial" w:hAnsi="Arial" w:cs="Arial"/>
                <w:bCs/>
                <w:sz w:val="18"/>
                <w:szCs w:val="18"/>
              </w:rPr>
            </w:pPr>
          </w:p>
        </w:tc>
      </w:tr>
      <w:tr w:rsidR="00C33E41" w:rsidRPr="004A60A2" w:rsidTr="002E6C2D">
        <w:trPr>
          <w:trHeight w:val="255"/>
        </w:trPr>
        <w:tc>
          <w:tcPr>
            <w:tcW w:w="1100" w:type="pct"/>
            <w:vMerge/>
            <w:tcBorders>
              <w:bottom w:val="single" w:sz="4" w:space="0" w:color="auto"/>
            </w:tcBorders>
            <w:shd w:val="clear" w:color="auto" w:fill="8DB3E2"/>
            <w:vAlign w:val="center"/>
            <w:hideMark/>
          </w:tcPr>
          <w:p w:rsidR="004A60A2" w:rsidRPr="00C33E41" w:rsidRDefault="004A60A2" w:rsidP="004A60A2">
            <w:pPr>
              <w:spacing w:after="0"/>
              <w:ind w:firstLine="0"/>
              <w:rPr>
                <w:rFonts w:ascii="Arial" w:hAnsi="Arial" w:cs="Arial"/>
                <w:bCs/>
                <w:sz w:val="18"/>
                <w:szCs w:val="18"/>
                <w:lang w:val="es-ES" w:eastAsia="es-ES"/>
              </w:rPr>
            </w:pPr>
          </w:p>
        </w:tc>
        <w:tc>
          <w:tcPr>
            <w:tcW w:w="900" w:type="pct"/>
            <w:tcBorders>
              <w:bottom w:val="single" w:sz="4" w:space="0" w:color="auto"/>
            </w:tcBorders>
            <w:shd w:val="clear" w:color="auto" w:fill="8DB3E2"/>
            <w:vAlign w:val="center"/>
          </w:tcPr>
          <w:p w:rsidR="004A60A2" w:rsidRPr="00C33E41" w:rsidRDefault="004A60A2" w:rsidP="004A60A2">
            <w:pPr>
              <w:spacing w:after="0"/>
              <w:ind w:firstLine="0"/>
              <w:jc w:val="right"/>
              <w:rPr>
                <w:rFonts w:ascii="Arial" w:hAnsi="Arial" w:cs="Arial"/>
                <w:bCs/>
                <w:sz w:val="18"/>
                <w:szCs w:val="18"/>
              </w:rPr>
            </w:pPr>
            <w:r>
              <w:rPr>
                <w:rFonts w:ascii="Arial" w:hAnsi="Arial"/>
                <w:bCs/>
                <w:sz w:val="18"/>
                <w:szCs w:val="18"/>
              </w:rPr>
              <w:t>C = 1, 2020an</w:t>
            </w:r>
          </w:p>
        </w:tc>
        <w:tc>
          <w:tcPr>
            <w:tcW w:w="1000" w:type="pct"/>
            <w:tcBorders>
              <w:bottom w:val="single" w:sz="4" w:space="0" w:color="auto"/>
            </w:tcBorders>
            <w:shd w:val="clear" w:color="auto" w:fill="8DB3E2"/>
            <w:vAlign w:val="center"/>
          </w:tcPr>
          <w:p w:rsidR="004A60A2" w:rsidRPr="00C33E41" w:rsidRDefault="004A60A2" w:rsidP="004A60A2">
            <w:pPr>
              <w:spacing w:after="0"/>
              <w:ind w:firstLine="0"/>
              <w:jc w:val="right"/>
              <w:rPr>
                <w:rFonts w:ascii="Arial" w:hAnsi="Arial" w:cs="Arial"/>
                <w:bCs/>
                <w:sz w:val="18"/>
                <w:szCs w:val="18"/>
              </w:rPr>
            </w:pPr>
            <w:r>
              <w:rPr>
                <w:rFonts w:ascii="Arial" w:hAnsi="Arial"/>
                <w:bCs/>
                <w:sz w:val="18"/>
                <w:szCs w:val="18"/>
              </w:rPr>
              <w:t>C = 1,65, 2020an</w:t>
            </w:r>
          </w:p>
        </w:tc>
        <w:tc>
          <w:tcPr>
            <w:tcW w:w="1050" w:type="pct"/>
            <w:vMerge/>
            <w:tcBorders>
              <w:bottom w:val="single" w:sz="4" w:space="0" w:color="auto"/>
            </w:tcBorders>
            <w:shd w:val="clear" w:color="auto" w:fill="8DB3E2"/>
            <w:vAlign w:val="center"/>
          </w:tcPr>
          <w:p w:rsidR="004A60A2" w:rsidRPr="00C33E41" w:rsidRDefault="004A60A2" w:rsidP="004A60A2">
            <w:pPr>
              <w:spacing w:after="0"/>
              <w:ind w:firstLine="0"/>
              <w:jc w:val="right"/>
              <w:rPr>
                <w:rFonts w:ascii="Arial" w:hAnsi="Arial" w:cs="Arial"/>
                <w:bCs/>
                <w:sz w:val="18"/>
                <w:szCs w:val="18"/>
                <w:lang w:val="es-ES" w:eastAsia="es-ES"/>
              </w:rPr>
            </w:pPr>
          </w:p>
        </w:tc>
      </w:tr>
      <w:tr w:rsidR="00C33E41" w:rsidRPr="00C33E41" w:rsidTr="002E6C2D">
        <w:trPr>
          <w:trHeight w:val="198"/>
        </w:trPr>
        <w:tc>
          <w:tcPr>
            <w:tcW w:w="1100" w:type="pct"/>
            <w:tcBorders>
              <w:top w:val="single" w:sz="4" w:space="0" w:color="auto"/>
              <w:bottom w:val="single" w:sz="2" w:space="0" w:color="auto"/>
            </w:tcBorders>
            <w:shd w:val="clear" w:color="auto" w:fill="FFFFFF" w:themeFill="background1"/>
            <w:noWrap/>
            <w:vAlign w:val="center"/>
          </w:tcPr>
          <w:p w:rsidR="0072452C" w:rsidRPr="00C33E41" w:rsidRDefault="0072452C" w:rsidP="00C33E41">
            <w:pPr>
              <w:spacing w:after="0"/>
              <w:ind w:firstLine="0"/>
              <w:jc w:val="left"/>
              <w:rPr>
                <w:rFonts w:ascii="Arial Narrow" w:hAnsi="Arial Narrow" w:cs="Calibri"/>
                <w:bCs/>
              </w:rPr>
            </w:pPr>
            <w:r>
              <w:rPr>
                <w:rFonts w:ascii="Arial Narrow" w:hAnsi="Arial Narrow"/>
                <w:bCs/>
              </w:rPr>
              <w:t>2020</w:t>
            </w:r>
          </w:p>
        </w:tc>
        <w:tc>
          <w:tcPr>
            <w:tcW w:w="900" w:type="pct"/>
            <w:tcBorders>
              <w:top w:val="single" w:sz="4" w:space="0" w:color="auto"/>
              <w:bottom w:val="single" w:sz="2" w:space="0" w:color="auto"/>
            </w:tcBorders>
            <w:shd w:val="clear" w:color="auto" w:fill="FFFFFF" w:themeFill="background1"/>
            <w:vAlign w:val="center"/>
          </w:tcPr>
          <w:p w:rsidR="0072452C" w:rsidRPr="00C33E41" w:rsidRDefault="0072452C" w:rsidP="00C33E41">
            <w:pPr>
              <w:spacing w:after="0"/>
              <w:ind w:firstLine="0"/>
              <w:jc w:val="right"/>
              <w:rPr>
                <w:rFonts w:ascii="Arial Narrow" w:hAnsi="Arial Narrow" w:cs="Calibri"/>
                <w:bCs/>
              </w:rPr>
            </w:pPr>
            <w:r>
              <w:rPr>
                <w:rFonts w:ascii="Arial Narrow" w:hAnsi="Arial Narrow"/>
                <w:bCs/>
              </w:rPr>
              <w:t>14.532.289</w:t>
            </w:r>
          </w:p>
        </w:tc>
        <w:tc>
          <w:tcPr>
            <w:tcW w:w="1000" w:type="pct"/>
            <w:tcBorders>
              <w:top w:val="single" w:sz="4" w:space="0" w:color="auto"/>
              <w:bottom w:val="single" w:sz="2" w:space="0" w:color="auto"/>
            </w:tcBorders>
            <w:shd w:val="clear" w:color="auto" w:fill="FFFFFF" w:themeFill="background1"/>
            <w:vAlign w:val="center"/>
          </w:tcPr>
          <w:p w:rsidR="0072452C" w:rsidRPr="00C33E41" w:rsidRDefault="002A2EFF" w:rsidP="00C33E41">
            <w:pPr>
              <w:spacing w:after="0"/>
              <w:ind w:firstLine="0"/>
              <w:jc w:val="right"/>
              <w:rPr>
                <w:rFonts w:ascii="Arial Narrow" w:hAnsi="Arial Narrow" w:cs="Calibri"/>
                <w:bCs/>
              </w:rPr>
            </w:pPr>
            <w:r>
              <w:rPr>
                <w:rFonts w:ascii="Arial Narrow" w:hAnsi="Arial Narrow"/>
                <w:bCs/>
              </w:rPr>
              <w:t>7.512.729</w:t>
            </w:r>
          </w:p>
        </w:tc>
        <w:tc>
          <w:tcPr>
            <w:tcW w:w="1050" w:type="pct"/>
            <w:tcBorders>
              <w:top w:val="single" w:sz="4" w:space="0" w:color="auto"/>
              <w:bottom w:val="single" w:sz="2" w:space="0" w:color="auto"/>
            </w:tcBorders>
            <w:shd w:val="clear" w:color="auto" w:fill="FFFFFF" w:themeFill="background1"/>
            <w:vAlign w:val="center"/>
          </w:tcPr>
          <w:p w:rsidR="0072452C" w:rsidRPr="00C33E41" w:rsidRDefault="002A2EFF" w:rsidP="00C33E41">
            <w:pPr>
              <w:spacing w:after="0"/>
              <w:ind w:firstLine="0"/>
              <w:jc w:val="right"/>
              <w:rPr>
                <w:rFonts w:ascii="Arial Narrow" w:hAnsi="Arial Narrow" w:cs="Arial"/>
              </w:rPr>
            </w:pPr>
            <w:r>
              <w:rPr>
                <w:rFonts w:ascii="Arial Narrow" w:hAnsi="Arial Narrow"/>
              </w:rPr>
              <w:t>7.019.550</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rPr>
            </w:pPr>
            <w:r>
              <w:rPr>
                <w:rFonts w:ascii="Arial Narrow" w:hAnsi="Arial Narrow"/>
                <w:bCs/>
              </w:rPr>
              <w:t>2021</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ind w:firstLine="0"/>
              <w:jc w:val="right"/>
              <w:rPr>
                <w:rFonts w:ascii="Arial Narrow" w:hAnsi="Arial Narrow" w:cs="Calibri"/>
                <w:bCs/>
              </w:rPr>
            </w:pPr>
            <w:r>
              <w:rPr>
                <w:rFonts w:ascii="Arial Narrow" w:hAnsi="Arial Narrow"/>
                <w:bCs/>
              </w:rPr>
              <w:t>13.055.946</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ind w:firstLine="0"/>
              <w:jc w:val="right"/>
              <w:rPr>
                <w:rFonts w:ascii="Arial Narrow" w:hAnsi="Arial Narrow" w:cs="Calibri"/>
                <w:bCs/>
              </w:rPr>
            </w:pPr>
            <w:r>
              <w:rPr>
                <w:rFonts w:ascii="Arial Narrow" w:hAnsi="Arial Narrow"/>
                <w:bCs/>
              </w:rPr>
              <w:t>5.019.799</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ind w:firstLine="0"/>
              <w:jc w:val="right"/>
              <w:rPr>
                <w:rFonts w:ascii="Arial Narrow" w:hAnsi="Arial Narrow" w:cs="Arial"/>
              </w:rPr>
            </w:pPr>
            <w:r>
              <w:rPr>
                <w:rFonts w:ascii="Arial Narrow" w:hAnsi="Arial Narrow"/>
              </w:rPr>
              <w:t>8.036.148</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rPr>
            </w:pPr>
            <w:r>
              <w:rPr>
                <w:rFonts w:ascii="Arial Narrow" w:hAnsi="Arial Narrow"/>
                <w:bCs/>
              </w:rPr>
              <w:t>2022</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14.063.685</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5.407.631</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Pr>
                <w:rFonts w:ascii="Arial Narrow" w:hAnsi="Arial Narrow"/>
              </w:rPr>
              <w:t>8.656.054</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rPr>
            </w:pPr>
            <w:r>
              <w:rPr>
                <w:rFonts w:ascii="Arial Narrow" w:hAnsi="Arial Narrow"/>
                <w:bCs/>
              </w:rPr>
              <w:t>2023</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14.922.003</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5.737.638</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Pr>
                <w:rFonts w:ascii="Arial Narrow" w:hAnsi="Arial Narrow"/>
              </w:rPr>
              <w:t>9.184.365</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rPr>
            </w:pPr>
            <w:r>
              <w:rPr>
                <w:rFonts w:ascii="Arial Narrow" w:hAnsi="Arial Narrow"/>
                <w:bCs/>
              </w:rPr>
              <w:t>2024</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15.851.170</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6.156.972</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Pr>
                <w:rFonts w:ascii="Arial Narrow" w:hAnsi="Arial Narrow"/>
              </w:rPr>
              <w:t>9.694.198</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rPr>
            </w:pPr>
            <w:r>
              <w:rPr>
                <w:rFonts w:ascii="Arial Narrow" w:hAnsi="Arial Narrow"/>
                <w:bCs/>
              </w:rPr>
              <w:t>2025</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16.534.094</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6.357.601</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Pr>
                <w:rFonts w:ascii="Arial Narrow" w:hAnsi="Arial Narrow"/>
              </w:rPr>
              <w:t>10.176.493</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rPr>
            </w:pPr>
            <w:r>
              <w:rPr>
                <w:rFonts w:ascii="Arial Narrow" w:hAnsi="Arial Narrow"/>
                <w:bCs/>
              </w:rPr>
              <w:t>2026</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17.403.688</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6.691.637</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Pr>
                <w:rFonts w:ascii="Arial Narrow" w:hAnsi="Arial Narrow"/>
              </w:rPr>
              <w:t>10.712.052</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72452C" w:rsidP="00C33E41">
            <w:pPr>
              <w:spacing w:after="0"/>
              <w:ind w:firstLine="0"/>
              <w:jc w:val="left"/>
              <w:rPr>
                <w:rFonts w:ascii="Arial Narrow" w:hAnsi="Arial Narrow" w:cs="Calibri"/>
                <w:bCs/>
              </w:rPr>
            </w:pPr>
            <w:r>
              <w:rPr>
                <w:rFonts w:ascii="Arial Narrow" w:hAnsi="Arial Narrow"/>
                <w:bCs/>
              </w:rPr>
              <w:t>2027</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18.320.038</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7.044.243</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Pr>
                <w:rFonts w:ascii="Arial Narrow" w:hAnsi="Arial Narrow"/>
              </w:rPr>
              <w:t>11.275.795</w:t>
            </w:r>
          </w:p>
        </w:tc>
      </w:tr>
      <w:tr w:rsidR="00C33E41" w:rsidRPr="00C33E41" w:rsidTr="002E6C2D">
        <w:trPr>
          <w:trHeight w:val="198"/>
        </w:trPr>
        <w:tc>
          <w:tcPr>
            <w:tcW w:w="1100" w:type="pct"/>
            <w:tcBorders>
              <w:top w:val="single" w:sz="2" w:space="0" w:color="auto"/>
              <w:bottom w:val="single" w:sz="2"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rPr>
            </w:pPr>
            <w:r>
              <w:rPr>
                <w:rFonts w:ascii="Arial Narrow" w:hAnsi="Arial Narrow"/>
                <w:bCs/>
              </w:rPr>
              <w:t>2028</w:t>
            </w:r>
          </w:p>
        </w:tc>
        <w:tc>
          <w:tcPr>
            <w:tcW w:w="9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19.460.423</w:t>
            </w:r>
          </w:p>
        </w:tc>
        <w:tc>
          <w:tcPr>
            <w:tcW w:w="100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7.558.698</w:t>
            </w:r>
          </w:p>
        </w:tc>
        <w:tc>
          <w:tcPr>
            <w:tcW w:w="1050" w:type="pct"/>
            <w:tcBorders>
              <w:top w:val="single" w:sz="2" w:space="0" w:color="auto"/>
              <w:bottom w:val="single" w:sz="2"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Pr>
                <w:rFonts w:ascii="Arial Narrow" w:hAnsi="Arial Narrow"/>
              </w:rPr>
              <w:t>11.901.724</w:t>
            </w:r>
          </w:p>
        </w:tc>
      </w:tr>
      <w:tr w:rsidR="00C33E41" w:rsidRPr="00C33E41" w:rsidTr="002E6C2D">
        <w:trPr>
          <w:trHeight w:val="198"/>
        </w:trPr>
        <w:tc>
          <w:tcPr>
            <w:tcW w:w="1100" w:type="pct"/>
            <w:tcBorders>
              <w:top w:val="single" w:sz="2" w:space="0" w:color="auto"/>
              <w:bottom w:val="single" w:sz="4" w:space="0" w:color="auto"/>
            </w:tcBorders>
            <w:shd w:val="clear" w:color="auto" w:fill="FFFFFF" w:themeFill="background1"/>
            <w:noWrap/>
            <w:vAlign w:val="center"/>
            <w:hideMark/>
          </w:tcPr>
          <w:p w:rsidR="002F2BC3" w:rsidRPr="00C33E41" w:rsidRDefault="002F2BC3" w:rsidP="00C33E41">
            <w:pPr>
              <w:spacing w:after="0"/>
              <w:ind w:firstLine="0"/>
              <w:jc w:val="left"/>
              <w:rPr>
                <w:rFonts w:ascii="Arial Narrow" w:hAnsi="Arial Narrow" w:cs="Calibri"/>
                <w:bCs/>
              </w:rPr>
            </w:pPr>
            <w:r>
              <w:rPr>
                <w:rFonts w:ascii="Arial Narrow" w:hAnsi="Arial Narrow"/>
                <w:bCs/>
              </w:rPr>
              <w:t>2029</w:t>
            </w:r>
          </w:p>
        </w:tc>
        <w:tc>
          <w:tcPr>
            <w:tcW w:w="900" w:type="pct"/>
            <w:tcBorders>
              <w:top w:val="single" w:sz="2" w:space="0" w:color="auto"/>
              <w:bottom w:val="single" w:sz="4"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10.149.790</w:t>
            </w:r>
          </w:p>
        </w:tc>
        <w:tc>
          <w:tcPr>
            <w:tcW w:w="1000" w:type="pct"/>
            <w:tcBorders>
              <w:top w:val="single" w:sz="2" w:space="0" w:color="auto"/>
              <w:bottom w:val="single" w:sz="4" w:space="0" w:color="auto"/>
            </w:tcBorders>
            <w:shd w:val="clear" w:color="auto" w:fill="FFFFFF" w:themeFill="background1"/>
            <w:vAlign w:val="center"/>
          </w:tcPr>
          <w:p w:rsidR="002F2BC3" w:rsidRPr="00C33E41" w:rsidRDefault="002F2BC3" w:rsidP="00C33E41">
            <w:pPr>
              <w:spacing w:after="0"/>
              <w:jc w:val="right"/>
              <w:rPr>
                <w:rFonts w:ascii="Arial Narrow" w:hAnsi="Arial Narrow" w:cs="Calibri"/>
                <w:bCs/>
                <w:color w:val="000000"/>
              </w:rPr>
            </w:pPr>
            <w:r>
              <w:rPr>
                <w:rFonts w:ascii="Arial Narrow" w:hAnsi="Arial Narrow"/>
                <w:bCs/>
                <w:color w:val="000000"/>
              </w:rPr>
              <w:t>3.902.867</w:t>
            </w:r>
          </w:p>
        </w:tc>
        <w:tc>
          <w:tcPr>
            <w:tcW w:w="1050" w:type="pct"/>
            <w:tcBorders>
              <w:top w:val="single" w:sz="2" w:space="0" w:color="auto"/>
              <w:bottom w:val="single" w:sz="4" w:space="0" w:color="auto"/>
            </w:tcBorders>
            <w:shd w:val="clear" w:color="auto" w:fill="FFFFFF" w:themeFill="background1"/>
            <w:vAlign w:val="center"/>
          </w:tcPr>
          <w:p w:rsidR="002F2BC3" w:rsidRPr="00C33E41" w:rsidRDefault="002F2BC3" w:rsidP="00C33E41">
            <w:pPr>
              <w:spacing w:after="0"/>
              <w:jc w:val="right"/>
              <w:rPr>
                <w:rFonts w:ascii="Arial Narrow" w:hAnsi="Arial Narrow" w:cs="Arial"/>
              </w:rPr>
            </w:pPr>
            <w:r>
              <w:rPr>
                <w:rFonts w:ascii="Arial Narrow" w:hAnsi="Arial Narrow"/>
              </w:rPr>
              <w:t>6.246.923</w:t>
            </w:r>
          </w:p>
        </w:tc>
      </w:tr>
      <w:tr w:rsidR="002F2BC3" w:rsidRPr="004A60A2" w:rsidTr="002E6C2D">
        <w:trPr>
          <w:trHeight w:val="255"/>
        </w:trPr>
        <w:tc>
          <w:tcPr>
            <w:tcW w:w="1100" w:type="pct"/>
            <w:tcBorders>
              <w:top w:val="single" w:sz="4" w:space="0" w:color="auto"/>
            </w:tcBorders>
            <w:shd w:val="clear" w:color="auto" w:fill="8DB3E2"/>
            <w:noWrap/>
            <w:vAlign w:val="center"/>
          </w:tcPr>
          <w:p w:rsidR="002F2BC3" w:rsidRPr="00C33E41" w:rsidRDefault="004A60A2" w:rsidP="00C33E41">
            <w:pPr>
              <w:spacing w:after="0"/>
              <w:ind w:firstLine="0"/>
              <w:jc w:val="left"/>
              <w:rPr>
                <w:rFonts w:ascii="Arial" w:hAnsi="Arial" w:cs="Arial"/>
                <w:bCs/>
                <w:sz w:val="18"/>
                <w:szCs w:val="18"/>
              </w:rPr>
            </w:pPr>
            <w:r>
              <w:rPr>
                <w:rFonts w:ascii="Arial" w:hAnsi="Arial"/>
                <w:bCs/>
                <w:sz w:val="18"/>
                <w:szCs w:val="18"/>
              </w:rPr>
              <w:t>Guztira, 2020-2029</w:t>
            </w:r>
          </w:p>
        </w:tc>
        <w:tc>
          <w:tcPr>
            <w:tcW w:w="900" w:type="pct"/>
            <w:tcBorders>
              <w:top w:val="single" w:sz="4" w:space="0" w:color="auto"/>
            </w:tcBorders>
            <w:shd w:val="clear" w:color="auto" w:fill="8DB3E2"/>
            <w:vAlign w:val="center"/>
          </w:tcPr>
          <w:p w:rsidR="002F2BC3" w:rsidRPr="00C33E41" w:rsidRDefault="002A2EFF" w:rsidP="004A60A2">
            <w:pPr>
              <w:spacing w:after="0"/>
              <w:jc w:val="right"/>
              <w:rPr>
                <w:rFonts w:ascii="Arial" w:hAnsi="Arial" w:cs="Arial"/>
                <w:bCs/>
                <w:color w:val="000000"/>
                <w:sz w:val="18"/>
                <w:szCs w:val="18"/>
              </w:rPr>
            </w:pPr>
            <w:r>
              <w:rPr>
                <w:rFonts w:ascii="Arial" w:hAnsi="Arial"/>
                <w:bCs/>
                <w:color w:val="000000"/>
                <w:sz w:val="18"/>
                <w:szCs w:val="18"/>
              </w:rPr>
              <w:t>154.293.116</w:t>
            </w:r>
          </w:p>
        </w:tc>
        <w:tc>
          <w:tcPr>
            <w:tcW w:w="1000" w:type="pct"/>
            <w:tcBorders>
              <w:top w:val="single" w:sz="4" w:space="0" w:color="auto"/>
            </w:tcBorders>
            <w:shd w:val="clear" w:color="auto" w:fill="8DB3E2"/>
            <w:vAlign w:val="center"/>
          </w:tcPr>
          <w:p w:rsidR="002F2BC3" w:rsidRPr="00C33E41" w:rsidRDefault="002A2EFF" w:rsidP="004A60A2">
            <w:pPr>
              <w:spacing w:after="0"/>
              <w:jc w:val="right"/>
              <w:rPr>
                <w:rFonts w:ascii="Arial" w:hAnsi="Arial" w:cs="Arial"/>
                <w:bCs/>
                <w:color w:val="000000"/>
                <w:sz w:val="18"/>
                <w:szCs w:val="18"/>
              </w:rPr>
            </w:pPr>
            <w:r>
              <w:rPr>
                <w:rFonts w:ascii="Arial" w:hAnsi="Arial"/>
                <w:bCs/>
                <w:color w:val="000000"/>
                <w:sz w:val="18"/>
                <w:szCs w:val="18"/>
              </w:rPr>
              <w:t>61.389.814</w:t>
            </w:r>
          </w:p>
        </w:tc>
        <w:tc>
          <w:tcPr>
            <w:tcW w:w="1050" w:type="pct"/>
            <w:tcBorders>
              <w:top w:val="single" w:sz="4" w:space="0" w:color="auto"/>
            </w:tcBorders>
            <w:shd w:val="clear" w:color="auto" w:fill="8DB3E2"/>
            <w:vAlign w:val="center"/>
          </w:tcPr>
          <w:p w:rsidR="002F2BC3" w:rsidRPr="00C33E41" w:rsidRDefault="002A2EFF" w:rsidP="004A60A2">
            <w:pPr>
              <w:spacing w:after="0"/>
              <w:jc w:val="right"/>
              <w:rPr>
                <w:rFonts w:ascii="Arial" w:hAnsi="Arial" w:cs="Arial"/>
                <w:sz w:val="18"/>
                <w:szCs w:val="18"/>
              </w:rPr>
            </w:pPr>
            <w:r>
              <w:rPr>
                <w:rFonts w:ascii="Arial" w:hAnsi="Arial"/>
                <w:sz w:val="18"/>
                <w:szCs w:val="18"/>
              </w:rPr>
              <w:t>92.903.301</w:t>
            </w:r>
          </w:p>
        </w:tc>
      </w:tr>
    </w:tbl>
    <w:p w:rsidR="00D22CC5" w:rsidRDefault="004A60A2" w:rsidP="00896C0A">
      <w:pPr>
        <w:pStyle w:val="texto"/>
        <w:spacing w:before="240" w:after="120"/>
      </w:pPr>
      <w:proofErr w:type="spellStart"/>
      <w:r>
        <w:t>NFKAk</w:t>
      </w:r>
      <w:proofErr w:type="spellEnd"/>
      <w:r>
        <w:t xml:space="preserve"> </w:t>
      </w:r>
      <w:proofErr w:type="spellStart"/>
      <w:r>
        <w:t>Audenasari</w:t>
      </w:r>
      <w:proofErr w:type="spellEnd"/>
      <w:r>
        <w:t xml:space="preserve"> politika komertzialetik eratorritako deskontuengatik eginen liokeen guztizko konpentsazioan sortuko litzatekeen aldea, 2020an C koefizientearentzat 1 balioa edo 1,65 balioa aintzat hartzearen artekoa, 92,90 milioikoa da. Azaldu dugun bezala, alde hori baldintzatuta dauka C koefizie</w:t>
      </w:r>
      <w:r>
        <w:t>n</w:t>
      </w:r>
      <w:r>
        <w:t>tearen balio bakoitzerako lortzen den 2020ko diru-bilketa teorikoak.</w:t>
      </w:r>
    </w:p>
    <w:p w:rsidR="00EC5ABF" w:rsidRDefault="00CA74FA" w:rsidP="00EC5ABF">
      <w:pPr>
        <w:pStyle w:val="texto"/>
        <w:tabs>
          <w:tab w:val="clear" w:pos="2835"/>
          <w:tab w:val="clear" w:pos="3969"/>
          <w:tab w:val="clear" w:pos="5103"/>
          <w:tab w:val="clear" w:pos="6237"/>
          <w:tab w:val="clear" w:pos="7371"/>
          <w:tab w:val="left" w:pos="567"/>
        </w:tabs>
        <w:spacing w:after="120"/>
        <w:rPr>
          <w:i/>
          <w:sz w:val="24"/>
        </w:rPr>
      </w:pPr>
      <w:r>
        <w:t xml:space="preserve">Bestalde, gaur egun indarrean dagoen </w:t>
      </w:r>
      <w:proofErr w:type="spellStart"/>
      <w:r>
        <w:t>PEFa</w:t>
      </w:r>
      <w:proofErr w:type="spellEnd"/>
      <w:r>
        <w:t>, 2014an onetsia eta urtero eg</w:t>
      </w:r>
      <w:r>
        <w:t>u</w:t>
      </w:r>
      <w:r>
        <w:t>neratua, prestatzen da modu itxurosoan bermatzearren, epe luzerako aurreiku</w:t>
      </w:r>
      <w:r>
        <w:t>s</w:t>
      </w:r>
      <w:r>
        <w:t xml:space="preserve">pen orok berezkoa duen ziurgabetasunarekin, emakidaren bideragarritasuna eta oreka </w:t>
      </w:r>
      <w:proofErr w:type="spellStart"/>
      <w:r>
        <w:t>ekonomiko-finantzarioaren</w:t>
      </w:r>
      <w:proofErr w:type="spellEnd"/>
      <w:r>
        <w:t xml:space="preserve"> mantentzea. Horrela, 1999ko hitzarmenaren 7. klausulak honako hau ezartzen du: </w:t>
      </w:r>
      <w:r>
        <w:rPr>
          <w:i/>
          <w:sz w:val="24"/>
        </w:rPr>
        <w:t xml:space="preserve">"...Baldin eta etorkizunean akordio honen aplikazioak eragin negatiboa badu </w:t>
      </w:r>
      <w:proofErr w:type="spellStart"/>
      <w:r>
        <w:rPr>
          <w:i/>
          <w:sz w:val="24"/>
        </w:rPr>
        <w:t>Audenasaren</w:t>
      </w:r>
      <w:proofErr w:type="spellEnd"/>
      <w:r>
        <w:rPr>
          <w:i/>
          <w:sz w:val="24"/>
        </w:rPr>
        <w:t xml:space="preserve"> plan </w:t>
      </w:r>
      <w:proofErr w:type="spellStart"/>
      <w:r>
        <w:rPr>
          <w:i/>
          <w:sz w:val="24"/>
        </w:rPr>
        <w:t>ekonomiko-finantzarioan</w:t>
      </w:r>
      <w:proofErr w:type="spellEnd"/>
      <w:r>
        <w:rPr>
          <w:i/>
          <w:sz w:val="24"/>
        </w:rPr>
        <w:t>, N</w:t>
      </w:r>
      <w:r>
        <w:rPr>
          <w:i/>
          <w:sz w:val="24"/>
        </w:rPr>
        <w:t>a</w:t>
      </w:r>
      <w:r>
        <w:rPr>
          <w:i/>
          <w:sz w:val="24"/>
        </w:rPr>
        <w:t xml:space="preserve">farroako Gobernuak egoki diren neurri guztiak hartuko ditu emakidaren oreka </w:t>
      </w:r>
      <w:proofErr w:type="spellStart"/>
      <w:r>
        <w:rPr>
          <w:i/>
          <w:sz w:val="24"/>
        </w:rPr>
        <w:t>ek</w:t>
      </w:r>
      <w:r>
        <w:rPr>
          <w:i/>
          <w:sz w:val="24"/>
        </w:rPr>
        <w:t>o</w:t>
      </w:r>
      <w:r>
        <w:rPr>
          <w:i/>
          <w:sz w:val="24"/>
        </w:rPr>
        <w:t>nomiko-finantzarioari</w:t>
      </w:r>
      <w:proofErr w:type="spellEnd"/>
      <w:r>
        <w:rPr>
          <w:i/>
          <w:sz w:val="24"/>
        </w:rPr>
        <w:t xml:space="preserve"> eusteko".</w:t>
      </w:r>
    </w:p>
    <w:p w:rsidR="00D22CC5" w:rsidRDefault="00EC5ABF" w:rsidP="00EC5ABF">
      <w:pPr>
        <w:pStyle w:val="texto"/>
        <w:tabs>
          <w:tab w:val="clear" w:pos="2835"/>
          <w:tab w:val="clear" w:pos="3969"/>
          <w:tab w:val="clear" w:pos="5103"/>
          <w:tab w:val="clear" w:pos="6237"/>
          <w:tab w:val="clear" w:pos="7371"/>
          <w:tab w:val="left" w:pos="567"/>
        </w:tabs>
        <w:spacing w:after="240"/>
      </w:pPr>
      <w:r>
        <w:t xml:space="preserve">2020ra eguneraturiko </w:t>
      </w:r>
      <w:proofErr w:type="spellStart"/>
      <w:r>
        <w:t>PEFaren</w:t>
      </w:r>
      <w:proofErr w:type="spellEnd"/>
      <w:r>
        <w:t xml:space="preserve"> aurreikuspenak beteko balira, C koefiziente</w:t>
      </w:r>
      <w:r>
        <w:t>a</w:t>
      </w:r>
      <w:r>
        <w:t xml:space="preserve">rentzat aintzat harturiko bi aukerek 2014-2029 epean </w:t>
      </w:r>
      <w:proofErr w:type="spellStart"/>
      <w:r>
        <w:t>Audenasaren</w:t>
      </w:r>
      <w:proofErr w:type="spellEnd"/>
      <w:r>
        <w:t xml:space="preserve"> adierazle </w:t>
      </w:r>
      <w:proofErr w:type="spellStart"/>
      <w:r>
        <w:t>ekonomiko-finantzario</w:t>
      </w:r>
      <w:proofErr w:type="spellEnd"/>
      <w:r>
        <w:t xml:space="preserve"> nagusietan izanen luketen inpaktua (milaka eurotan) honako hau litzateke:</w:t>
      </w:r>
    </w:p>
    <w:tbl>
      <w:tblPr>
        <w:tblW w:w="5001"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341"/>
        <w:gridCol w:w="897"/>
        <w:gridCol w:w="1173"/>
        <w:gridCol w:w="1173"/>
        <w:gridCol w:w="1173"/>
        <w:gridCol w:w="1174"/>
      </w:tblGrid>
      <w:tr w:rsidR="00C33E41" w:rsidRPr="00C33E41" w:rsidTr="00844FD7">
        <w:trPr>
          <w:trHeight w:val="255"/>
        </w:trPr>
        <w:tc>
          <w:tcPr>
            <w:tcW w:w="1445" w:type="pct"/>
            <w:tcBorders>
              <w:top w:val="single" w:sz="4" w:space="0" w:color="auto"/>
              <w:bottom w:val="single" w:sz="4" w:space="0" w:color="auto"/>
            </w:tcBorders>
            <w:shd w:val="clear" w:color="auto" w:fill="8DB3E2"/>
            <w:noWrap/>
            <w:vAlign w:val="center"/>
          </w:tcPr>
          <w:p w:rsidR="009A09EF" w:rsidRPr="00B56671" w:rsidRDefault="009A09EF" w:rsidP="00C33E41">
            <w:pPr>
              <w:spacing w:after="0"/>
              <w:ind w:firstLine="0"/>
              <w:jc w:val="left"/>
              <w:rPr>
                <w:rFonts w:ascii="Arial" w:hAnsi="Arial" w:cs="Arial"/>
                <w:sz w:val="18"/>
                <w:szCs w:val="24"/>
                <w:lang w:eastAsia="es-ES"/>
              </w:rPr>
            </w:pPr>
          </w:p>
        </w:tc>
        <w:tc>
          <w:tcPr>
            <w:tcW w:w="475" w:type="pct"/>
            <w:tcBorders>
              <w:top w:val="single" w:sz="4" w:space="0" w:color="auto"/>
              <w:bottom w:val="single" w:sz="4" w:space="0" w:color="auto"/>
              <w:right w:val="single" w:sz="4" w:space="0" w:color="auto"/>
            </w:tcBorders>
            <w:shd w:val="clear" w:color="auto" w:fill="8DB3E2"/>
            <w:noWrap/>
            <w:vAlign w:val="center"/>
          </w:tcPr>
          <w:p w:rsidR="009A09EF" w:rsidRPr="00B56671" w:rsidRDefault="009A09EF" w:rsidP="00C33E41">
            <w:pPr>
              <w:spacing w:after="0"/>
              <w:ind w:firstLine="0"/>
              <w:jc w:val="right"/>
              <w:rPr>
                <w:rFonts w:ascii="Arial" w:hAnsi="Arial" w:cs="Arial"/>
                <w:color w:val="000000"/>
                <w:sz w:val="18"/>
                <w:szCs w:val="18"/>
                <w:lang w:eastAsia="es-ES"/>
              </w:rPr>
            </w:pPr>
          </w:p>
        </w:tc>
        <w:tc>
          <w:tcPr>
            <w:tcW w:w="1540" w:type="pct"/>
            <w:gridSpan w:val="2"/>
            <w:tcBorders>
              <w:top w:val="single" w:sz="4" w:space="0" w:color="auto"/>
              <w:left w:val="single" w:sz="4" w:space="0" w:color="auto"/>
              <w:right w:val="single" w:sz="4" w:space="0" w:color="auto"/>
            </w:tcBorders>
            <w:shd w:val="clear" w:color="auto" w:fill="8DB3E2"/>
            <w:vAlign w:val="center"/>
          </w:tcPr>
          <w:p w:rsidR="009A09EF" w:rsidRPr="00C33E41" w:rsidRDefault="009A09EF" w:rsidP="00C33E41">
            <w:pPr>
              <w:spacing w:after="0"/>
              <w:ind w:firstLine="0"/>
              <w:jc w:val="center"/>
              <w:rPr>
                <w:rFonts w:ascii="Arial" w:hAnsi="Arial" w:cs="Arial"/>
                <w:color w:val="000000"/>
                <w:sz w:val="18"/>
                <w:szCs w:val="18"/>
              </w:rPr>
            </w:pPr>
            <w:r>
              <w:rPr>
                <w:rFonts w:ascii="Arial" w:hAnsi="Arial"/>
                <w:color w:val="000000"/>
                <w:sz w:val="18"/>
                <w:szCs w:val="18"/>
              </w:rPr>
              <w:t>C = 1, 2020an</w:t>
            </w:r>
          </w:p>
        </w:tc>
        <w:tc>
          <w:tcPr>
            <w:tcW w:w="1540" w:type="pct"/>
            <w:gridSpan w:val="2"/>
            <w:tcBorders>
              <w:top w:val="single" w:sz="4" w:space="0" w:color="auto"/>
              <w:left w:val="single" w:sz="4" w:space="0" w:color="auto"/>
            </w:tcBorders>
            <w:shd w:val="clear" w:color="auto" w:fill="8DB3E2"/>
            <w:vAlign w:val="center"/>
          </w:tcPr>
          <w:p w:rsidR="009A09EF" w:rsidRPr="00C33E41" w:rsidRDefault="009A09EF" w:rsidP="00C33E41">
            <w:pPr>
              <w:spacing w:after="0"/>
              <w:ind w:firstLine="0"/>
              <w:jc w:val="center"/>
              <w:rPr>
                <w:rFonts w:ascii="Arial" w:hAnsi="Arial" w:cs="Arial"/>
                <w:color w:val="000000"/>
                <w:sz w:val="18"/>
                <w:szCs w:val="18"/>
              </w:rPr>
            </w:pPr>
            <w:r>
              <w:rPr>
                <w:rFonts w:ascii="Arial" w:hAnsi="Arial"/>
                <w:color w:val="000000"/>
                <w:sz w:val="18"/>
                <w:szCs w:val="18"/>
              </w:rPr>
              <w:t>C = 1,65, 2020an</w:t>
            </w:r>
          </w:p>
        </w:tc>
      </w:tr>
      <w:tr w:rsidR="008A7475" w:rsidRPr="006D36EF" w:rsidTr="008A7475">
        <w:trPr>
          <w:trHeight w:val="255"/>
        </w:trPr>
        <w:tc>
          <w:tcPr>
            <w:tcW w:w="1445" w:type="pct"/>
            <w:tcBorders>
              <w:bottom w:val="single" w:sz="4" w:space="0" w:color="auto"/>
            </w:tcBorders>
            <w:shd w:val="clear" w:color="auto" w:fill="8DB3E2"/>
            <w:noWrap/>
            <w:vAlign w:val="center"/>
            <w:hideMark/>
          </w:tcPr>
          <w:p w:rsidR="002A2EFF" w:rsidRPr="00C33E41" w:rsidRDefault="002A2EFF" w:rsidP="00C33E41">
            <w:pPr>
              <w:spacing w:after="0"/>
              <w:ind w:firstLine="0"/>
              <w:jc w:val="left"/>
              <w:rPr>
                <w:rFonts w:ascii="Arial" w:hAnsi="Arial" w:cs="Arial"/>
                <w:sz w:val="18"/>
                <w:szCs w:val="24"/>
                <w:lang w:val="es-ES" w:eastAsia="es-ES"/>
              </w:rPr>
            </w:pPr>
          </w:p>
        </w:tc>
        <w:tc>
          <w:tcPr>
            <w:tcW w:w="475" w:type="pct"/>
            <w:tcBorders>
              <w:bottom w:val="single" w:sz="4" w:space="0" w:color="auto"/>
              <w:right w:val="single" w:sz="4" w:space="0" w:color="auto"/>
            </w:tcBorders>
            <w:shd w:val="clear" w:color="auto" w:fill="8DB3E2"/>
            <w:noWrap/>
            <w:hideMark/>
          </w:tcPr>
          <w:p w:rsidR="002A2EFF" w:rsidRPr="00272A4C" w:rsidRDefault="002A2EFF" w:rsidP="001E0949">
            <w:pPr>
              <w:spacing w:after="0"/>
              <w:ind w:firstLine="0"/>
              <w:jc w:val="right"/>
              <w:rPr>
                <w:rFonts w:ascii="Arial" w:hAnsi="Arial" w:cs="Arial"/>
                <w:color w:val="000000"/>
                <w:sz w:val="16"/>
                <w:szCs w:val="16"/>
              </w:rPr>
            </w:pPr>
            <w:r>
              <w:rPr>
                <w:rFonts w:ascii="Arial" w:hAnsi="Arial"/>
                <w:color w:val="000000"/>
                <w:sz w:val="16"/>
                <w:szCs w:val="16"/>
              </w:rPr>
              <w:t>PEF, 2014</w:t>
            </w:r>
          </w:p>
          <w:p w:rsidR="002A2EFF" w:rsidRPr="00272A4C" w:rsidRDefault="002A2EFF" w:rsidP="001E0949">
            <w:pPr>
              <w:spacing w:after="0"/>
              <w:ind w:firstLine="0"/>
              <w:jc w:val="right"/>
              <w:rPr>
                <w:rFonts w:ascii="Arial" w:hAnsi="Arial" w:cs="Arial"/>
                <w:color w:val="000000"/>
                <w:sz w:val="16"/>
                <w:szCs w:val="16"/>
              </w:rPr>
            </w:pPr>
          </w:p>
        </w:tc>
        <w:tc>
          <w:tcPr>
            <w:tcW w:w="770" w:type="pct"/>
            <w:tcBorders>
              <w:left w:val="single" w:sz="4" w:space="0" w:color="auto"/>
              <w:bottom w:val="single" w:sz="4" w:space="0" w:color="auto"/>
            </w:tcBorders>
            <w:shd w:val="clear" w:color="auto" w:fill="8DB3E2"/>
            <w:hideMark/>
          </w:tcPr>
          <w:p w:rsidR="002A2EFF" w:rsidRPr="00272A4C" w:rsidRDefault="002A2EFF" w:rsidP="001E0949">
            <w:pPr>
              <w:spacing w:after="0"/>
              <w:ind w:firstLine="0"/>
              <w:jc w:val="right"/>
              <w:rPr>
                <w:rFonts w:ascii="Arial" w:hAnsi="Arial" w:cs="Arial"/>
                <w:color w:val="000000"/>
                <w:sz w:val="16"/>
                <w:szCs w:val="16"/>
              </w:rPr>
            </w:pPr>
            <w:r>
              <w:rPr>
                <w:rFonts w:ascii="Arial" w:hAnsi="Arial"/>
                <w:color w:val="000000"/>
                <w:sz w:val="16"/>
                <w:szCs w:val="16"/>
              </w:rPr>
              <w:t>2020ko PEF eguneratua</w:t>
            </w:r>
          </w:p>
        </w:tc>
        <w:tc>
          <w:tcPr>
            <w:tcW w:w="770" w:type="pct"/>
            <w:tcBorders>
              <w:bottom w:val="single" w:sz="4" w:space="0" w:color="auto"/>
              <w:right w:val="single" w:sz="4" w:space="0" w:color="auto"/>
            </w:tcBorders>
            <w:shd w:val="clear" w:color="auto" w:fill="8DB3E2"/>
            <w:hideMark/>
          </w:tcPr>
          <w:p w:rsidR="00272A4C" w:rsidRDefault="00272A4C" w:rsidP="00272A4C">
            <w:pPr>
              <w:spacing w:after="0"/>
              <w:ind w:left="-111" w:firstLine="0"/>
              <w:jc w:val="right"/>
              <w:rPr>
                <w:rFonts w:ascii="Arial" w:hAnsi="Arial" w:cs="Arial"/>
                <w:color w:val="000000"/>
                <w:sz w:val="16"/>
                <w:szCs w:val="16"/>
              </w:rPr>
            </w:pPr>
            <w:r>
              <w:rPr>
                <w:rFonts w:ascii="Arial" w:hAnsi="Arial"/>
                <w:color w:val="000000"/>
                <w:sz w:val="16"/>
                <w:szCs w:val="16"/>
              </w:rPr>
              <w:t xml:space="preserve">Aldea (%), 2020ko PEF / 2014ko PEF </w:t>
            </w:r>
          </w:p>
          <w:p w:rsidR="002A2EFF" w:rsidRPr="00272A4C" w:rsidRDefault="002A2EFF" w:rsidP="00272A4C">
            <w:pPr>
              <w:spacing w:after="0"/>
              <w:ind w:left="-111" w:firstLine="0"/>
              <w:jc w:val="right"/>
              <w:rPr>
                <w:rFonts w:ascii="Arial" w:hAnsi="Arial" w:cs="Arial"/>
                <w:color w:val="000000"/>
                <w:sz w:val="16"/>
                <w:szCs w:val="16"/>
              </w:rPr>
            </w:pPr>
          </w:p>
        </w:tc>
        <w:tc>
          <w:tcPr>
            <w:tcW w:w="770" w:type="pct"/>
            <w:tcBorders>
              <w:left w:val="single" w:sz="4" w:space="0" w:color="auto"/>
              <w:bottom w:val="single" w:sz="4" w:space="0" w:color="auto"/>
            </w:tcBorders>
            <w:shd w:val="clear" w:color="auto" w:fill="8DB3E2"/>
            <w:hideMark/>
          </w:tcPr>
          <w:p w:rsidR="002A2EFF" w:rsidRPr="00272A4C" w:rsidRDefault="002A2EFF" w:rsidP="00272A4C">
            <w:pPr>
              <w:spacing w:after="0"/>
              <w:ind w:firstLine="0"/>
              <w:jc w:val="right"/>
              <w:rPr>
                <w:rFonts w:ascii="Arial" w:hAnsi="Arial" w:cs="Arial"/>
                <w:sz w:val="16"/>
                <w:szCs w:val="16"/>
              </w:rPr>
            </w:pPr>
            <w:r>
              <w:rPr>
                <w:rFonts w:ascii="Arial" w:hAnsi="Arial"/>
                <w:color w:val="000000"/>
                <w:sz w:val="16"/>
                <w:szCs w:val="16"/>
              </w:rPr>
              <w:t>2020ko PEF eguneratua</w:t>
            </w:r>
          </w:p>
        </w:tc>
        <w:tc>
          <w:tcPr>
            <w:tcW w:w="770" w:type="pct"/>
            <w:tcBorders>
              <w:bottom w:val="single" w:sz="4" w:space="0" w:color="auto"/>
            </w:tcBorders>
            <w:shd w:val="clear" w:color="auto" w:fill="8DB3E2"/>
            <w:hideMark/>
          </w:tcPr>
          <w:p w:rsidR="00272A4C" w:rsidRDefault="002A2EFF" w:rsidP="001E0949">
            <w:pPr>
              <w:spacing w:after="0"/>
              <w:ind w:firstLine="0"/>
              <w:jc w:val="right"/>
              <w:rPr>
                <w:rFonts w:ascii="Arial" w:hAnsi="Arial" w:cs="Arial"/>
                <w:color w:val="000000"/>
                <w:sz w:val="16"/>
                <w:szCs w:val="16"/>
              </w:rPr>
            </w:pPr>
            <w:r>
              <w:rPr>
                <w:rFonts w:ascii="Arial" w:hAnsi="Arial"/>
                <w:color w:val="000000"/>
                <w:sz w:val="16"/>
                <w:szCs w:val="16"/>
              </w:rPr>
              <w:t xml:space="preserve">Aldea (%) 2014ko </w:t>
            </w:r>
            <w:proofErr w:type="spellStart"/>
            <w:r>
              <w:rPr>
                <w:rFonts w:ascii="Arial" w:hAnsi="Arial"/>
                <w:color w:val="000000"/>
                <w:sz w:val="16"/>
                <w:szCs w:val="16"/>
              </w:rPr>
              <w:t>PEF</w:t>
            </w:r>
            <w:r>
              <w:rPr>
                <w:rFonts w:ascii="Arial" w:hAnsi="Arial"/>
                <w:color w:val="000000"/>
                <w:sz w:val="16"/>
                <w:szCs w:val="16"/>
              </w:rPr>
              <w:t>a</w:t>
            </w:r>
            <w:r>
              <w:rPr>
                <w:rFonts w:ascii="Arial" w:hAnsi="Arial"/>
                <w:color w:val="000000"/>
                <w:sz w:val="16"/>
                <w:szCs w:val="16"/>
              </w:rPr>
              <w:t>rekiko</w:t>
            </w:r>
            <w:proofErr w:type="spellEnd"/>
          </w:p>
          <w:p w:rsidR="002A2EFF" w:rsidRPr="00272A4C" w:rsidRDefault="002A2EFF" w:rsidP="00272A4C">
            <w:pPr>
              <w:spacing w:after="0"/>
              <w:ind w:firstLine="0"/>
              <w:jc w:val="right"/>
              <w:rPr>
                <w:rFonts w:ascii="Arial" w:hAnsi="Arial" w:cs="Arial"/>
                <w:color w:val="000000"/>
                <w:sz w:val="16"/>
                <w:szCs w:val="16"/>
              </w:rPr>
            </w:pPr>
          </w:p>
        </w:tc>
      </w:tr>
      <w:tr w:rsidR="008A7475" w:rsidRPr="00C33E41" w:rsidTr="008A7475">
        <w:trPr>
          <w:trHeight w:val="198"/>
        </w:trPr>
        <w:tc>
          <w:tcPr>
            <w:tcW w:w="1445" w:type="pct"/>
            <w:tcBorders>
              <w:top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left"/>
              <w:rPr>
                <w:rFonts w:ascii="Arial Narrow" w:hAnsi="Arial Narrow" w:cs="Calibri"/>
                <w:color w:val="000000"/>
              </w:rPr>
            </w:pPr>
            <w:r>
              <w:rPr>
                <w:rFonts w:ascii="Arial Narrow" w:hAnsi="Arial Narrow"/>
                <w:color w:val="000000"/>
              </w:rPr>
              <w:t>Diru-bilketa teorikoa</w:t>
            </w:r>
          </w:p>
        </w:tc>
        <w:tc>
          <w:tcPr>
            <w:tcW w:w="475" w:type="pct"/>
            <w:tcBorders>
              <w:top w:val="single" w:sz="4"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869.584</w:t>
            </w:r>
          </w:p>
        </w:tc>
        <w:tc>
          <w:tcPr>
            <w:tcW w:w="770" w:type="pct"/>
            <w:tcBorders>
              <w:top w:val="single" w:sz="4"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796.743</w:t>
            </w:r>
          </w:p>
        </w:tc>
        <w:tc>
          <w:tcPr>
            <w:tcW w:w="770" w:type="pct"/>
            <w:tcBorders>
              <w:top w:val="single" w:sz="4"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-8,4</w:t>
            </w:r>
          </w:p>
        </w:tc>
        <w:tc>
          <w:tcPr>
            <w:tcW w:w="770" w:type="pct"/>
            <w:tcBorders>
              <w:top w:val="single" w:sz="4"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703.747</w:t>
            </w:r>
          </w:p>
        </w:tc>
        <w:tc>
          <w:tcPr>
            <w:tcW w:w="770" w:type="pct"/>
            <w:tcBorders>
              <w:top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-19,1</w:t>
            </w:r>
          </w:p>
        </w:tc>
      </w:tr>
      <w:tr w:rsidR="008A7475" w:rsidRPr="00C33E41" w:rsidTr="008A7475">
        <w:trPr>
          <w:trHeight w:val="198"/>
        </w:trPr>
        <w:tc>
          <w:tcPr>
            <w:tcW w:w="1445" w:type="pct"/>
            <w:tcBorders>
              <w:top w:val="single" w:sz="2" w:space="0" w:color="auto"/>
              <w:bottom w:val="single" w:sz="2" w:space="0" w:color="auto"/>
            </w:tcBorders>
            <w:shd w:val="clear" w:color="auto" w:fill="auto"/>
            <w:noWrap/>
            <w:vAlign w:val="center"/>
            <w:hideMark/>
          </w:tcPr>
          <w:p w:rsidR="002A2EFF" w:rsidRPr="00C33E41" w:rsidRDefault="002A2EFF" w:rsidP="00C33E41">
            <w:pPr>
              <w:spacing w:after="0"/>
              <w:ind w:firstLine="0"/>
              <w:jc w:val="left"/>
              <w:rPr>
                <w:rFonts w:ascii="Arial Narrow" w:hAnsi="Arial Narrow" w:cs="Calibri"/>
                <w:color w:val="000000"/>
              </w:rPr>
            </w:pPr>
            <w:r>
              <w:rPr>
                <w:rFonts w:ascii="Arial Narrow" w:hAnsi="Arial Narrow"/>
                <w:color w:val="000000"/>
              </w:rPr>
              <w:t>Deskontuak</w:t>
            </w:r>
          </w:p>
        </w:tc>
        <w:tc>
          <w:tcPr>
            <w:tcW w:w="475"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751.201</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663.368</w:t>
            </w:r>
          </w:p>
        </w:tc>
        <w:tc>
          <w:tcPr>
            <w:tcW w:w="770"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-11,7</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i/>
                <w:iCs/>
                <w:color w:val="000000"/>
              </w:rPr>
            </w:pPr>
            <w:r>
              <w:rPr>
                <w:rFonts w:ascii="Arial Narrow" w:hAnsi="Arial Narrow"/>
                <w:i/>
                <w:iCs/>
                <w:color w:val="000000"/>
              </w:rPr>
              <w:t>663.368</w:t>
            </w:r>
          </w:p>
        </w:tc>
        <w:tc>
          <w:tcPr>
            <w:tcW w:w="770" w:type="pct"/>
            <w:tcBorders>
              <w:top w:val="single" w:sz="2"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-11,7</w:t>
            </w:r>
          </w:p>
        </w:tc>
      </w:tr>
      <w:tr w:rsidR="008A7475" w:rsidRPr="00C33E41" w:rsidTr="008A7475">
        <w:trPr>
          <w:trHeight w:val="198"/>
        </w:trPr>
        <w:tc>
          <w:tcPr>
            <w:tcW w:w="1445" w:type="pct"/>
            <w:tcBorders>
              <w:top w:val="single" w:sz="2" w:space="0" w:color="auto"/>
              <w:bottom w:val="single" w:sz="2" w:space="0" w:color="auto"/>
            </w:tcBorders>
            <w:shd w:val="clear" w:color="auto" w:fill="auto"/>
            <w:noWrap/>
            <w:vAlign w:val="center"/>
            <w:hideMark/>
          </w:tcPr>
          <w:p w:rsidR="002A2EFF" w:rsidRPr="00C33E41" w:rsidRDefault="002A2EFF" w:rsidP="00C33E41">
            <w:pPr>
              <w:spacing w:after="0"/>
              <w:ind w:firstLine="0"/>
              <w:jc w:val="left"/>
              <w:rPr>
                <w:rFonts w:ascii="Arial Narrow" w:hAnsi="Arial Narrow" w:cs="Calibri"/>
                <w:color w:val="000000"/>
              </w:rPr>
            </w:pPr>
            <w:proofErr w:type="spellStart"/>
            <w:r>
              <w:rPr>
                <w:rFonts w:ascii="Arial Narrow" w:hAnsi="Arial Narrow"/>
                <w:color w:val="000000"/>
              </w:rPr>
              <w:t>NFKAren</w:t>
            </w:r>
            <w:proofErr w:type="spellEnd"/>
            <w:r>
              <w:rPr>
                <w:rFonts w:ascii="Arial Narrow" w:hAnsi="Arial Narrow"/>
                <w:color w:val="000000"/>
              </w:rPr>
              <w:t xml:space="preserve"> konpentsazioa</w:t>
            </w:r>
          </w:p>
        </w:tc>
        <w:tc>
          <w:tcPr>
            <w:tcW w:w="475"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2A2EFF" w:rsidP="005A423F">
            <w:pPr>
              <w:spacing w:after="0"/>
              <w:ind w:firstLine="0"/>
              <w:jc w:val="right"/>
              <w:rPr>
                <w:rFonts w:ascii="Arial Narrow" w:hAnsi="Arial Narrow" w:cs="Calibri"/>
                <w:color w:val="000000"/>
              </w:rPr>
            </w:pPr>
            <w:r>
              <w:rPr>
                <w:rFonts w:ascii="Arial Narrow" w:hAnsi="Arial Narrow"/>
                <w:color w:val="000000"/>
              </w:rPr>
              <w:t>225.893</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239.163</w:t>
            </w:r>
          </w:p>
        </w:tc>
        <w:tc>
          <w:tcPr>
            <w:tcW w:w="770"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5A423F" w:rsidP="00C33E41">
            <w:pPr>
              <w:spacing w:after="0"/>
              <w:ind w:firstLine="0"/>
              <w:jc w:val="right"/>
              <w:rPr>
                <w:rFonts w:ascii="Arial Narrow" w:hAnsi="Arial Narrow" w:cs="Calibri"/>
                <w:color w:val="000000"/>
              </w:rPr>
            </w:pPr>
            <w:r>
              <w:rPr>
                <w:rFonts w:ascii="Arial Narrow" w:hAnsi="Arial Narrow"/>
                <w:color w:val="000000"/>
              </w:rPr>
              <w:t>5,9</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146.168</w:t>
            </w:r>
          </w:p>
        </w:tc>
        <w:tc>
          <w:tcPr>
            <w:tcW w:w="770" w:type="pct"/>
            <w:tcBorders>
              <w:top w:val="single" w:sz="2" w:space="0" w:color="auto"/>
              <w:bottom w:val="single" w:sz="2" w:space="0" w:color="auto"/>
            </w:tcBorders>
            <w:shd w:val="clear" w:color="auto" w:fill="auto"/>
            <w:noWrap/>
            <w:vAlign w:val="center"/>
            <w:hideMark/>
          </w:tcPr>
          <w:p w:rsidR="002A2EFF" w:rsidRPr="00C33E41" w:rsidRDefault="005A423F" w:rsidP="00C33E41">
            <w:pPr>
              <w:spacing w:after="0"/>
              <w:ind w:firstLine="0"/>
              <w:jc w:val="right"/>
              <w:rPr>
                <w:rFonts w:ascii="Arial Narrow" w:hAnsi="Arial Narrow" w:cs="Calibri"/>
                <w:color w:val="000000"/>
              </w:rPr>
            </w:pPr>
            <w:r>
              <w:rPr>
                <w:rFonts w:ascii="Arial Narrow" w:hAnsi="Arial Narrow"/>
                <w:color w:val="000000"/>
              </w:rPr>
              <w:t>-35,3</w:t>
            </w:r>
          </w:p>
        </w:tc>
      </w:tr>
      <w:tr w:rsidR="00844FD7" w:rsidRPr="00C33E41" w:rsidTr="008A7475">
        <w:trPr>
          <w:trHeight w:val="198"/>
        </w:trPr>
        <w:tc>
          <w:tcPr>
            <w:tcW w:w="1445" w:type="pct"/>
            <w:tcBorders>
              <w:top w:val="single" w:sz="2" w:space="0" w:color="auto"/>
              <w:bottom w:val="single" w:sz="2" w:space="0" w:color="auto"/>
            </w:tcBorders>
            <w:shd w:val="clear" w:color="auto" w:fill="auto"/>
            <w:noWrap/>
            <w:vAlign w:val="center"/>
            <w:hideMark/>
          </w:tcPr>
          <w:p w:rsidR="001E0949" w:rsidRPr="00C33E41" w:rsidRDefault="001E0949" w:rsidP="00C33E41">
            <w:pPr>
              <w:spacing w:after="0"/>
              <w:ind w:firstLine="0"/>
              <w:jc w:val="left"/>
              <w:rPr>
                <w:rFonts w:ascii="Arial Narrow" w:hAnsi="Arial Narrow" w:cs="Calibri"/>
                <w:color w:val="000000"/>
              </w:rPr>
            </w:pPr>
            <w:r>
              <w:rPr>
                <w:rFonts w:ascii="Arial Narrow" w:hAnsi="Arial Narrow"/>
                <w:color w:val="000000"/>
              </w:rPr>
              <w:t>Konpentsazio-portzentajea deskontuen gain</w:t>
            </w:r>
          </w:p>
        </w:tc>
        <w:tc>
          <w:tcPr>
            <w:tcW w:w="475" w:type="pct"/>
            <w:tcBorders>
              <w:top w:val="single" w:sz="2" w:space="0" w:color="auto"/>
              <w:bottom w:val="single" w:sz="2" w:space="0" w:color="auto"/>
              <w:right w:val="single" w:sz="4" w:space="0" w:color="auto"/>
            </w:tcBorders>
            <w:shd w:val="clear" w:color="auto" w:fill="auto"/>
            <w:noWrap/>
            <w:vAlign w:val="center"/>
            <w:hideMark/>
          </w:tcPr>
          <w:p w:rsidR="001E0949" w:rsidRPr="00C33E41" w:rsidRDefault="001E0949" w:rsidP="00C33E41">
            <w:pPr>
              <w:spacing w:after="0"/>
              <w:ind w:firstLine="0"/>
              <w:jc w:val="right"/>
              <w:rPr>
                <w:rFonts w:ascii="Arial Narrow" w:hAnsi="Arial Narrow" w:cs="Calibri"/>
                <w:color w:val="000000"/>
              </w:rPr>
            </w:pPr>
            <w:r>
              <w:rPr>
                <w:rFonts w:ascii="Arial Narrow" w:hAnsi="Arial Narrow"/>
                <w:color w:val="000000"/>
              </w:rPr>
              <w:t>30</w:t>
            </w:r>
          </w:p>
        </w:tc>
        <w:tc>
          <w:tcPr>
            <w:tcW w:w="770" w:type="pct"/>
            <w:tcBorders>
              <w:top w:val="single" w:sz="2" w:space="0" w:color="auto"/>
              <w:left w:val="single" w:sz="4" w:space="0" w:color="auto"/>
              <w:bottom w:val="single" w:sz="2" w:space="0" w:color="auto"/>
            </w:tcBorders>
            <w:shd w:val="clear" w:color="auto" w:fill="auto"/>
            <w:noWrap/>
            <w:vAlign w:val="center"/>
            <w:hideMark/>
          </w:tcPr>
          <w:p w:rsidR="001E0949" w:rsidRPr="00C33E41" w:rsidRDefault="001E0949" w:rsidP="00C33E41">
            <w:pPr>
              <w:spacing w:after="0"/>
              <w:ind w:firstLine="0"/>
              <w:jc w:val="right"/>
              <w:rPr>
                <w:rFonts w:ascii="Arial Narrow" w:hAnsi="Arial Narrow" w:cs="Calibri"/>
                <w:color w:val="000000"/>
              </w:rPr>
            </w:pPr>
            <w:r>
              <w:rPr>
                <w:rFonts w:ascii="Arial Narrow" w:hAnsi="Arial Narrow"/>
                <w:color w:val="000000"/>
              </w:rPr>
              <w:t>36</w:t>
            </w:r>
          </w:p>
        </w:tc>
        <w:tc>
          <w:tcPr>
            <w:tcW w:w="770" w:type="pct"/>
            <w:tcBorders>
              <w:top w:val="single" w:sz="2" w:space="0" w:color="auto"/>
              <w:bottom w:val="single" w:sz="2" w:space="0" w:color="auto"/>
              <w:right w:val="single" w:sz="4" w:space="0" w:color="auto"/>
            </w:tcBorders>
            <w:shd w:val="clear" w:color="auto" w:fill="auto"/>
            <w:noWrap/>
            <w:vAlign w:val="center"/>
            <w:hideMark/>
          </w:tcPr>
          <w:p w:rsidR="001E0949" w:rsidRPr="00C33E41" w:rsidRDefault="005A423F" w:rsidP="00C33E41">
            <w:pPr>
              <w:spacing w:after="0"/>
              <w:ind w:firstLine="0"/>
              <w:jc w:val="right"/>
              <w:rPr>
                <w:rFonts w:ascii="Arial Narrow" w:hAnsi="Arial Narrow" w:cs="Calibri"/>
                <w:color w:val="000000"/>
              </w:rPr>
            </w:pPr>
            <w:r>
              <w:rPr>
                <w:rFonts w:ascii="Arial Narrow" w:hAnsi="Arial Narrow"/>
                <w:color w:val="000000"/>
              </w:rPr>
              <w:t>19,9</w:t>
            </w:r>
          </w:p>
        </w:tc>
        <w:tc>
          <w:tcPr>
            <w:tcW w:w="770" w:type="pct"/>
            <w:tcBorders>
              <w:top w:val="single" w:sz="2" w:space="0" w:color="auto"/>
              <w:left w:val="single" w:sz="4" w:space="0" w:color="auto"/>
              <w:bottom w:val="single" w:sz="2" w:space="0" w:color="auto"/>
            </w:tcBorders>
            <w:shd w:val="clear" w:color="auto" w:fill="auto"/>
            <w:noWrap/>
            <w:vAlign w:val="center"/>
            <w:hideMark/>
          </w:tcPr>
          <w:p w:rsidR="001E0949" w:rsidRPr="00C33E41" w:rsidRDefault="001E0949" w:rsidP="001E0949">
            <w:pPr>
              <w:spacing w:after="0"/>
              <w:ind w:firstLine="0"/>
              <w:jc w:val="right"/>
              <w:rPr>
                <w:rFonts w:ascii="Arial Narrow" w:hAnsi="Arial Narrow" w:cs="Calibri"/>
                <w:color w:val="000000"/>
              </w:rPr>
            </w:pPr>
            <w:r>
              <w:rPr>
                <w:rFonts w:ascii="Arial Narrow" w:hAnsi="Arial Narrow"/>
                <w:color w:val="000000"/>
              </w:rPr>
              <w:t>22</w:t>
            </w:r>
          </w:p>
        </w:tc>
        <w:tc>
          <w:tcPr>
            <w:tcW w:w="770" w:type="pct"/>
            <w:tcBorders>
              <w:top w:val="single" w:sz="2" w:space="0" w:color="auto"/>
              <w:bottom w:val="single" w:sz="2" w:space="0" w:color="auto"/>
            </w:tcBorders>
            <w:shd w:val="clear" w:color="auto" w:fill="auto"/>
            <w:noWrap/>
            <w:vAlign w:val="center"/>
          </w:tcPr>
          <w:p w:rsidR="001E0949" w:rsidRPr="00C33E41" w:rsidRDefault="001E0949" w:rsidP="00C33E41">
            <w:pPr>
              <w:spacing w:after="0"/>
              <w:ind w:firstLine="0"/>
              <w:jc w:val="right"/>
              <w:rPr>
                <w:rFonts w:ascii="Arial Narrow" w:hAnsi="Arial Narrow"/>
              </w:rPr>
            </w:pPr>
            <w:r>
              <w:rPr>
                <w:rFonts w:ascii="Arial Narrow" w:hAnsi="Arial Narrow"/>
              </w:rPr>
              <w:t>-26,7</w:t>
            </w:r>
          </w:p>
        </w:tc>
      </w:tr>
      <w:tr w:rsidR="008A7475" w:rsidRPr="00C33E41" w:rsidTr="008A7475">
        <w:trPr>
          <w:trHeight w:val="198"/>
        </w:trPr>
        <w:tc>
          <w:tcPr>
            <w:tcW w:w="1445" w:type="pct"/>
            <w:tcBorders>
              <w:top w:val="single" w:sz="2" w:space="0" w:color="auto"/>
              <w:bottom w:val="single" w:sz="2" w:space="0" w:color="auto"/>
            </w:tcBorders>
            <w:shd w:val="clear" w:color="auto" w:fill="auto"/>
            <w:noWrap/>
            <w:vAlign w:val="center"/>
            <w:hideMark/>
          </w:tcPr>
          <w:p w:rsidR="002A2EFF" w:rsidRPr="00C33E41" w:rsidRDefault="002A2EFF" w:rsidP="00C33E41">
            <w:pPr>
              <w:spacing w:after="0"/>
              <w:ind w:firstLine="0"/>
              <w:jc w:val="left"/>
              <w:rPr>
                <w:rFonts w:ascii="Arial Narrow" w:hAnsi="Arial Narrow" w:cs="Calibri"/>
                <w:color w:val="000000"/>
              </w:rPr>
            </w:pPr>
            <w:r>
              <w:rPr>
                <w:rFonts w:ascii="Arial Narrow" w:hAnsi="Arial Narrow"/>
                <w:color w:val="000000"/>
              </w:rPr>
              <w:t>Ustiapen-emaitza</w:t>
            </w:r>
          </w:p>
        </w:tc>
        <w:tc>
          <w:tcPr>
            <w:tcW w:w="475"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481.932</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466.307</w:t>
            </w:r>
          </w:p>
        </w:tc>
        <w:tc>
          <w:tcPr>
            <w:tcW w:w="770" w:type="pct"/>
            <w:tcBorders>
              <w:top w:val="single" w:sz="2" w:space="0" w:color="auto"/>
              <w:bottom w:val="single" w:sz="2"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-3,2</w:t>
            </w:r>
          </w:p>
        </w:tc>
        <w:tc>
          <w:tcPr>
            <w:tcW w:w="770" w:type="pct"/>
            <w:tcBorders>
              <w:top w:val="single" w:sz="2" w:space="0" w:color="auto"/>
              <w:left w:val="single" w:sz="4" w:space="0" w:color="auto"/>
              <w:bottom w:val="single" w:sz="2"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373.221</w:t>
            </w:r>
          </w:p>
        </w:tc>
        <w:tc>
          <w:tcPr>
            <w:tcW w:w="770" w:type="pct"/>
            <w:tcBorders>
              <w:top w:val="single" w:sz="2" w:space="0" w:color="auto"/>
              <w:bottom w:val="single" w:sz="2" w:space="0" w:color="auto"/>
            </w:tcBorders>
            <w:shd w:val="clear" w:color="auto" w:fill="auto"/>
            <w:noWrap/>
            <w:vAlign w:val="center"/>
            <w:hideMark/>
          </w:tcPr>
          <w:p w:rsidR="002A2EFF" w:rsidRPr="00C33E41" w:rsidRDefault="00850953" w:rsidP="00C33E41">
            <w:pPr>
              <w:spacing w:after="0"/>
              <w:ind w:firstLine="0"/>
              <w:jc w:val="right"/>
              <w:rPr>
                <w:rFonts w:ascii="Arial Narrow" w:hAnsi="Arial Narrow" w:cs="Calibri"/>
                <w:color w:val="000000"/>
              </w:rPr>
            </w:pPr>
            <w:r>
              <w:rPr>
                <w:rFonts w:ascii="Arial Narrow" w:hAnsi="Arial Narrow"/>
                <w:color w:val="000000"/>
              </w:rPr>
              <w:t>-22,6</w:t>
            </w:r>
          </w:p>
        </w:tc>
      </w:tr>
      <w:tr w:rsidR="008A7475" w:rsidRPr="00C33E41" w:rsidTr="008A7475">
        <w:trPr>
          <w:trHeight w:val="198"/>
        </w:trPr>
        <w:tc>
          <w:tcPr>
            <w:tcW w:w="1445" w:type="pct"/>
            <w:tcBorders>
              <w:top w:val="single" w:sz="2" w:space="0" w:color="auto"/>
              <w:bottom w:val="single" w:sz="4" w:space="0" w:color="auto"/>
            </w:tcBorders>
            <w:shd w:val="clear" w:color="auto" w:fill="auto"/>
            <w:noWrap/>
            <w:vAlign w:val="center"/>
            <w:hideMark/>
          </w:tcPr>
          <w:p w:rsidR="002A2EFF" w:rsidRPr="00C33E41" w:rsidRDefault="002A2EFF" w:rsidP="00C33E41">
            <w:pPr>
              <w:spacing w:after="0"/>
              <w:ind w:firstLine="0"/>
              <w:jc w:val="left"/>
              <w:rPr>
                <w:rFonts w:ascii="Arial Narrow" w:hAnsi="Arial Narrow" w:cs="Calibri"/>
                <w:color w:val="000000"/>
              </w:rPr>
            </w:pPr>
            <w:r>
              <w:rPr>
                <w:rFonts w:ascii="Arial Narrow" w:hAnsi="Arial Narrow"/>
                <w:color w:val="000000"/>
              </w:rPr>
              <w:lastRenderedPageBreak/>
              <w:t>EBITDA</w:t>
            </w:r>
          </w:p>
        </w:tc>
        <w:tc>
          <w:tcPr>
            <w:tcW w:w="475" w:type="pct"/>
            <w:tcBorders>
              <w:top w:val="single" w:sz="2" w:space="0" w:color="auto"/>
              <w:bottom w:val="single" w:sz="4"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719.847</w:t>
            </w:r>
          </w:p>
        </w:tc>
        <w:tc>
          <w:tcPr>
            <w:tcW w:w="770" w:type="pct"/>
            <w:tcBorders>
              <w:top w:val="single" w:sz="2" w:space="0" w:color="auto"/>
              <w:left w:val="single" w:sz="4" w:space="0" w:color="auto"/>
              <w:bottom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703.848</w:t>
            </w:r>
          </w:p>
        </w:tc>
        <w:tc>
          <w:tcPr>
            <w:tcW w:w="770" w:type="pct"/>
            <w:tcBorders>
              <w:top w:val="single" w:sz="2" w:space="0" w:color="auto"/>
              <w:bottom w:val="single" w:sz="4" w:space="0" w:color="auto"/>
              <w:right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-2,2</w:t>
            </w:r>
          </w:p>
        </w:tc>
        <w:tc>
          <w:tcPr>
            <w:tcW w:w="770" w:type="pct"/>
            <w:tcBorders>
              <w:top w:val="single" w:sz="2" w:space="0" w:color="auto"/>
              <w:left w:val="single" w:sz="4" w:space="0" w:color="auto"/>
              <w:bottom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610.852</w:t>
            </w:r>
          </w:p>
        </w:tc>
        <w:tc>
          <w:tcPr>
            <w:tcW w:w="770" w:type="pct"/>
            <w:tcBorders>
              <w:top w:val="single" w:sz="2" w:space="0" w:color="auto"/>
              <w:bottom w:val="single" w:sz="4" w:space="0" w:color="auto"/>
            </w:tcBorders>
            <w:shd w:val="clear" w:color="auto" w:fill="auto"/>
            <w:noWrap/>
            <w:vAlign w:val="center"/>
            <w:hideMark/>
          </w:tcPr>
          <w:p w:rsidR="002A2EFF" w:rsidRPr="00C33E41" w:rsidRDefault="002A2EFF" w:rsidP="00C33E41">
            <w:pPr>
              <w:spacing w:after="0"/>
              <w:ind w:firstLine="0"/>
              <w:jc w:val="right"/>
              <w:rPr>
                <w:rFonts w:ascii="Arial Narrow" w:hAnsi="Arial Narrow" w:cs="Calibri"/>
                <w:color w:val="000000"/>
              </w:rPr>
            </w:pPr>
            <w:r>
              <w:rPr>
                <w:rFonts w:ascii="Arial Narrow" w:hAnsi="Arial Narrow"/>
                <w:color w:val="000000"/>
              </w:rPr>
              <w:t>-15,1</w:t>
            </w:r>
          </w:p>
        </w:tc>
      </w:tr>
    </w:tbl>
    <w:p w:rsidR="00213878" w:rsidRDefault="009A09EF" w:rsidP="009A09EF">
      <w:pPr>
        <w:pStyle w:val="texto"/>
        <w:spacing w:before="240" w:after="120"/>
      </w:pPr>
      <w:r>
        <w:t>Aurreko taula aztertuta, honako alderdi hauek azpimarratuko ditugu:</w:t>
      </w:r>
    </w:p>
    <w:p w:rsidR="00865CD1" w:rsidRDefault="009A09EF" w:rsidP="00EC5ABF">
      <w:pPr>
        <w:pStyle w:val="texto"/>
        <w:numPr>
          <w:ilvl w:val="0"/>
          <w:numId w:val="10"/>
        </w:numPr>
        <w:tabs>
          <w:tab w:val="clear" w:pos="2835"/>
          <w:tab w:val="clear" w:pos="3969"/>
          <w:tab w:val="clear" w:pos="5103"/>
          <w:tab w:val="clear" w:pos="6237"/>
          <w:tab w:val="clear" w:pos="7371"/>
          <w:tab w:val="left" w:pos="567"/>
        </w:tabs>
        <w:spacing w:after="360"/>
        <w:ind w:left="0" w:firstLine="284"/>
        <w:rPr>
          <w:szCs w:val="26"/>
        </w:rPr>
      </w:pPr>
      <w:r>
        <w:t xml:space="preserve">Diru-bilketa teorikoa, 2020ko </w:t>
      </w:r>
      <w:proofErr w:type="spellStart"/>
      <w:r>
        <w:t>PEFeko</w:t>
      </w:r>
      <w:proofErr w:type="spellEnd"/>
      <w:r>
        <w:t xml:space="preserve"> datuekin eguneratua, 2014an a</w:t>
      </w:r>
      <w:r>
        <w:t>u</w:t>
      </w:r>
      <w:r>
        <w:t xml:space="preserve">rreikusitakoa baino ehuneko 8,4 baxuagoa da; baldin </w:t>
      </w:r>
      <w:proofErr w:type="spellStart"/>
      <w:r>
        <w:t>Ck</w:t>
      </w:r>
      <w:proofErr w:type="spellEnd"/>
      <w:r>
        <w:t xml:space="preserve"> 1,65 balioa hartu izan balu 2020an, diru-bilketa ehuneko 19,1 baxuagoa izanen zen 2014an aurreik</w:t>
      </w:r>
      <w:r>
        <w:t>u</w:t>
      </w:r>
      <w:r>
        <w:t>sitakoa baino. Jarraian, alde horiek grafikoki azaltzen dira:</w:t>
      </w:r>
    </w:p>
    <w:p w:rsidR="00865CD1" w:rsidRDefault="00865CD1" w:rsidP="00865CD1">
      <w:pPr>
        <w:pStyle w:val="texto"/>
        <w:tabs>
          <w:tab w:val="clear" w:pos="2835"/>
          <w:tab w:val="clear" w:pos="3969"/>
          <w:tab w:val="clear" w:pos="5103"/>
          <w:tab w:val="clear" w:pos="6237"/>
          <w:tab w:val="clear" w:pos="7371"/>
          <w:tab w:val="left" w:pos="567"/>
        </w:tabs>
        <w:ind w:left="284" w:firstLine="0"/>
        <w:rPr>
          <w:szCs w:val="26"/>
        </w:rPr>
      </w:pPr>
      <w:r>
        <w:rPr>
          <w:noProof/>
          <w:lang w:val="es-ES" w:eastAsia="es-ES"/>
        </w:rPr>
        <w:drawing>
          <wp:inline distT="0" distB="0" distL="0" distR="0" wp14:anchorId="59907554" wp14:editId="020671DC">
            <wp:extent cx="5610225" cy="347662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09EF" w:rsidRDefault="009A09EF" w:rsidP="009A09EF">
      <w:pPr>
        <w:pStyle w:val="texto"/>
        <w:numPr>
          <w:ilvl w:val="0"/>
          <w:numId w:val="10"/>
        </w:numPr>
        <w:tabs>
          <w:tab w:val="clear" w:pos="2835"/>
          <w:tab w:val="clear" w:pos="3969"/>
          <w:tab w:val="clear" w:pos="5103"/>
          <w:tab w:val="clear" w:pos="6237"/>
          <w:tab w:val="clear" w:pos="7371"/>
          <w:tab w:val="left" w:pos="567"/>
        </w:tabs>
        <w:ind w:left="0" w:firstLine="284"/>
        <w:rPr>
          <w:szCs w:val="26"/>
        </w:rPr>
      </w:pPr>
      <w:proofErr w:type="spellStart"/>
      <w:r>
        <w:t>NFKAren</w:t>
      </w:r>
      <w:proofErr w:type="spellEnd"/>
      <w:r>
        <w:t xml:space="preserve"> epealdiko konpentsazioa, 2020rako eguneraturiko </w:t>
      </w:r>
      <w:proofErr w:type="spellStart"/>
      <w:r>
        <w:t>PEFaren</w:t>
      </w:r>
      <w:proofErr w:type="spellEnd"/>
      <w:r>
        <w:t xml:space="preserve"> ar</w:t>
      </w:r>
      <w:r>
        <w:t>a</w:t>
      </w:r>
      <w:r>
        <w:t xml:space="preserve">bera, 2014ko </w:t>
      </w:r>
      <w:proofErr w:type="spellStart"/>
      <w:r>
        <w:t>PEFean</w:t>
      </w:r>
      <w:proofErr w:type="spellEnd"/>
      <w:r>
        <w:t xml:space="preserve"> aurreikusitako baino ehuneko 5,9 handiagoa da, zenb</w:t>
      </w:r>
      <w:r>
        <w:t>a</w:t>
      </w:r>
      <w:r>
        <w:t xml:space="preserve">teko hori 2014-2029 epealdiaren osotasunerako kalkulatuta baitago. Horrela, 2020an izandako trafiko-beherakada mardularen aurreko eperako, konpentsazio hori ehuneko 15,20 handiagoa da 2014ko </w:t>
      </w:r>
      <w:proofErr w:type="spellStart"/>
      <w:r>
        <w:t>PEFean</w:t>
      </w:r>
      <w:proofErr w:type="spellEnd"/>
      <w:r>
        <w:t xml:space="preserve"> aurreikusitakoa baino, eta 2020-2029 epealdiari egotzitako gorakada ehuneko 1,4koa baizik ez litzateke izanen.</w:t>
      </w:r>
    </w:p>
    <w:p w:rsidR="009A09EF" w:rsidRDefault="009A09EF" w:rsidP="009A09EF">
      <w:pPr>
        <w:pStyle w:val="texto"/>
        <w:tabs>
          <w:tab w:val="clear" w:pos="2835"/>
          <w:tab w:val="clear" w:pos="3969"/>
          <w:tab w:val="clear" w:pos="5103"/>
          <w:tab w:val="clear" w:pos="6237"/>
          <w:tab w:val="clear" w:pos="7371"/>
          <w:tab w:val="left" w:pos="567"/>
        </w:tabs>
        <w:rPr>
          <w:szCs w:val="26"/>
        </w:rPr>
      </w:pPr>
      <w:r>
        <w:t>Baldin eta C koefizienteak 1,65 balioa hartu balu 2020. urtean, aurreikus</w:t>
      </w:r>
      <w:r>
        <w:t>i</w:t>
      </w:r>
      <w:r>
        <w:t xml:space="preserve">tako guztizko konpentsazioa ehuneko 35,3 baxuagoa izanen zen 2014ko </w:t>
      </w:r>
      <w:proofErr w:type="spellStart"/>
      <w:r>
        <w:t>P</w:t>
      </w:r>
      <w:r>
        <w:t>E</w:t>
      </w:r>
      <w:r>
        <w:t>Fean</w:t>
      </w:r>
      <w:proofErr w:type="spellEnd"/>
      <w:r>
        <w:t xml:space="preserve"> aurreikusitakoa baino. </w:t>
      </w:r>
    </w:p>
    <w:p w:rsidR="00865CD1" w:rsidRDefault="00865CD1" w:rsidP="009A09EF">
      <w:pPr>
        <w:pStyle w:val="texto"/>
        <w:tabs>
          <w:tab w:val="clear" w:pos="2835"/>
          <w:tab w:val="clear" w:pos="3969"/>
          <w:tab w:val="clear" w:pos="5103"/>
          <w:tab w:val="clear" w:pos="6237"/>
          <w:tab w:val="clear" w:pos="7371"/>
          <w:tab w:val="left" w:pos="567"/>
        </w:tabs>
        <w:rPr>
          <w:szCs w:val="26"/>
        </w:rPr>
      </w:pPr>
      <w:r>
        <w:t xml:space="preserve">Hurrengo orrialdeko grafikoak erakusten ditu C koefizienteari 1 balioa nahiz 1,65 balioa aplikatzearen aukerak, 2014ko </w:t>
      </w:r>
      <w:proofErr w:type="spellStart"/>
      <w:r>
        <w:t>PEFarekiko</w:t>
      </w:r>
      <w:proofErr w:type="spellEnd"/>
      <w:r>
        <w:t>.</w:t>
      </w:r>
    </w:p>
    <w:p w:rsidR="00865CD1" w:rsidRDefault="005A423F" w:rsidP="009A09EF">
      <w:pPr>
        <w:pStyle w:val="texto"/>
        <w:tabs>
          <w:tab w:val="clear" w:pos="2835"/>
          <w:tab w:val="clear" w:pos="3969"/>
          <w:tab w:val="clear" w:pos="5103"/>
          <w:tab w:val="clear" w:pos="6237"/>
          <w:tab w:val="clear" w:pos="7371"/>
          <w:tab w:val="left" w:pos="567"/>
        </w:tabs>
        <w:rPr>
          <w:szCs w:val="26"/>
        </w:rPr>
      </w:pPr>
      <w:r>
        <w:rPr>
          <w:noProof/>
          <w:lang w:val="es-ES" w:eastAsia="es-ES"/>
        </w:rPr>
        <w:lastRenderedPageBreak/>
        <w:drawing>
          <wp:inline distT="0" distB="0" distL="0" distR="0" wp14:anchorId="6571A241" wp14:editId="3D93552E">
            <wp:extent cx="5314950" cy="374332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09EF" w:rsidRDefault="00865CD1" w:rsidP="006C6CC2">
      <w:pPr>
        <w:pStyle w:val="texto"/>
        <w:tabs>
          <w:tab w:val="clear" w:pos="2835"/>
          <w:tab w:val="clear" w:pos="3969"/>
          <w:tab w:val="clear" w:pos="5103"/>
          <w:tab w:val="clear" w:pos="6237"/>
          <w:tab w:val="clear" w:pos="7371"/>
          <w:tab w:val="left" w:pos="567"/>
        </w:tabs>
        <w:rPr>
          <w:szCs w:val="26"/>
        </w:rPr>
      </w:pPr>
      <w:r>
        <w:t xml:space="preserve"> Bai ustiapen-emaitzak bai </w:t>
      </w:r>
      <w:proofErr w:type="spellStart"/>
      <w:r>
        <w:t>EBITDAk</w:t>
      </w:r>
      <w:proofErr w:type="spellEnd"/>
      <w:r>
        <w:t xml:space="preserve"> antzeko portaera agertzen dute; aurre</w:t>
      </w:r>
      <w:r>
        <w:t>i</w:t>
      </w:r>
      <w:r>
        <w:t xml:space="preserve">kusitako beherakada, 2020ko datuekin eginiko </w:t>
      </w:r>
      <w:proofErr w:type="spellStart"/>
      <w:r>
        <w:t>PEF-eguneraketaren</w:t>
      </w:r>
      <w:proofErr w:type="spellEnd"/>
      <w:r>
        <w:t xml:space="preserve"> arabera, ehuneko 3,2 eta 2,2koak dira, 2014ko </w:t>
      </w:r>
      <w:proofErr w:type="spellStart"/>
      <w:r>
        <w:t>PEFarekiko</w:t>
      </w:r>
      <w:proofErr w:type="spellEnd"/>
      <w:r>
        <w:t>.</w:t>
      </w:r>
    </w:p>
    <w:p w:rsidR="00272A4C" w:rsidRDefault="006E75F6" w:rsidP="006C6CC2">
      <w:pPr>
        <w:pStyle w:val="texto"/>
        <w:tabs>
          <w:tab w:val="clear" w:pos="2835"/>
          <w:tab w:val="clear" w:pos="3969"/>
          <w:tab w:val="clear" w:pos="5103"/>
          <w:tab w:val="clear" w:pos="6237"/>
          <w:tab w:val="clear" w:pos="7371"/>
          <w:tab w:val="left" w:pos="567"/>
        </w:tabs>
        <w:rPr>
          <w:szCs w:val="26"/>
        </w:rPr>
      </w:pPr>
      <w:r>
        <w:t xml:space="preserve">2020an 1,65 balioa aplikatu izan balitz, ustiapen-emaitzaren eta </w:t>
      </w:r>
      <w:proofErr w:type="spellStart"/>
      <w:r>
        <w:t>EBITDAren</w:t>
      </w:r>
      <w:proofErr w:type="spellEnd"/>
      <w:r>
        <w:t xml:space="preserve"> 2014ko </w:t>
      </w:r>
      <w:proofErr w:type="spellStart"/>
      <w:r>
        <w:t>PEFarekiko</w:t>
      </w:r>
      <w:proofErr w:type="spellEnd"/>
      <w:r>
        <w:t xml:space="preserve"> beherakada aurreikusia ehuneko 22,6koa eta 15,1ekoa iz</w:t>
      </w:r>
      <w:r>
        <w:t>a</w:t>
      </w:r>
      <w:r>
        <w:t xml:space="preserve">nen zen, hurrenez </w:t>
      </w:r>
      <w:proofErr w:type="spellStart"/>
      <w:r>
        <w:t>hurren</w:t>
      </w:r>
      <w:proofErr w:type="spellEnd"/>
      <w:r>
        <w:t>.</w:t>
      </w:r>
    </w:p>
    <w:p w:rsidR="00865CD1" w:rsidRDefault="00865CD1" w:rsidP="006E75F6">
      <w:pPr>
        <w:pStyle w:val="texto"/>
        <w:tabs>
          <w:tab w:val="clear" w:pos="2835"/>
          <w:tab w:val="clear" w:pos="3969"/>
          <w:tab w:val="clear" w:pos="5103"/>
          <w:tab w:val="clear" w:pos="6237"/>
          <w:tab w:val="clear" w:pos="7371"/>
          <w:tab w:val="left" w:pos="567"/>
        </w:tabs>
        <w:rPr>
          <w:szCs w:val="26"/>
        </w:rPr>
      </w:pPr>
      <w:r>
        <w:t>Grafikoki, honela irudika daiteke bi adierazle horien bilakaera:</w:t>
      </w:r>
    </w:p>
    <w:p w:rsidR="00865CD1" w:rsidRDefault="00865CD1" w:rsidP="006E75F6">
      <w:pPr>
        <w:pStyle w:val="texto"/>
        <w:tabs>
          <w:tab w:val="clear" w:pos="2835"/>
          <w:tab w:val="clear" w:pos="3969"/>
          <w:tab w:val="clear" w:pos="5103"/>
          <w:tab w:val="clear" w:pos="6237"/>
          <w:tab w:val="clear" w:pos="7371"/>
          <w:tab w:val="left" w:pos="567"/>
        </w:tabs>
        <w:rPr>
          <w:szCs w:val="26"/>
        </w:rPr>
      </w:pPr>
      <w:r>
        <w:rPr>
          <w:noProof/>
          <w:lang w:val="es-ES" w:eastAsia="es-ES"/>
        </w:rPr>
        <w:drawing>
          <wp:inline distT="0" distB="0" distL="0" distR="0" wp14:anchorId="7CCA391E" wp14:editId="3771BCC4">
            <wp:extent cx="5143500" cy="2819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5ABF" w:rsidRDefault="00865CD1" w:rsidP="00EC5ABF">
      <w:pPr>
        <w:pStyle w:val="texto"/>
        <w:tabs>
          <w:tab w:val="clear" w:pos="2835"/>
          <w:tab w:val="clear" w:pos="3969"/>
          <w:tab w:val="clear" w:pos="5103"/>
          <w:tab w:val="clear" w:pos="6237"/>
          <w:tab w:val="clear" w:pos="7371"/>
          <w:tab w:val="left" w:pos="567"/>
        </w:tabs>
        <w:ind w:left="284" w:firstLine="0"/>
        <w:rPr>
          <w:szCs w:val="26"/>
        </w:rPr>
      </w:pPr>
      <w:r>
        <w:rPr>
          <w:noProof/>
          <w:lang w:val="es-ES" w:eastAsia="es-ES"/>
        </w:rPr>
        <w:lastRenderedPageBreak/>
        <w:drawing>
          <wp:inline distT="0" distB="0" distL="0" distR="0" wp14:anchorId="3A11B21F" wp14:editId="7C16A456">
            <wp:extent cx="5314950" cy="371475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Start w:id="33" w:name="_Toc67394584"/>
    </w:p>
    <w:p w:rsidR="00980F76" w:rsidRDefault="006C6CC2" w:rsidP="00EC5ABF">
      <w:pPr>
        <w:pStyle w:val="texto"/>
        <w:spacing w:after="120"/>
      </w:pPr>
      <w:r>
        <w:t xml:space="preserve">Laburbilduz, C koefizienteari 1 edo 1,65 balioa aplikatuz lorturiko diru-bilketa teorikoak nabarmenki eragiten die bai </w:t>
      </w:r>
      <w:proofErr w:type="spellStart"/>
      <w:r>
        <w:t>NFKAk</w:t>
      </w:r>
      <w:proofErr w:type="spellEnd"/>
      <w:r>
        <w:t xml:space="preserve"> </w:t>
      </w:r>
      <w:proofErr w:type="spellStart"/>
      <w:r>
        <w:t>Audenasari</w:t>
      </w:r>
      <w:proofErr w:type="spellEnd"/>
      <w:r>
        <w:t xml:space="preserve"> eginen dion konpentsazioari, bai emakidadunaren adierazle </w:t>
      </w:r>
      <w:proofErr w:type="spellStart"/>
      <w:r>
        <w:t>ekonomiko-finantzario</w:t>
      </w:r>
      <w:proofErr w:type="spellEnd"/>
      <w:r>
        <w:t xml:space="preserve"> nagusiei. </w:t>
      </w:r>
    </w:p>
    <w:p w:rsidR="00EC5ABF" w:rsidRDefault="00EC5ABF" w:rsidP="00EC5ABF">
      <w:pPr>
        <w:pStyle w:val="texto"/>
        <w:spacing w:after="120"/>
      </w:pPr>
      <w:r>
        <w:t xml:space="preserve">Aurkezturiko datuak lortu dira </w:t>
      </w:r>
      <w:proofErr w:type="spellStart"/>
      <w:r>
        <w:t>PEFaren</w:t>
      </w:r>
      <w:proofErr w:type="spellEnd"/>
      <w:r>
        <w:t xml:space="preserve"> aurreikuspenak beteko direlako s</w:t>
      </w:r>
      <w:r>
        <w:t>u</w:t>
      </w:r>
      <w:r>
        <w:t xml:space="preserve">posiziopean. Kalkulu horiekiko </w:t>
      </w:r>
      <w:proofErr w:type="spellStart"/>
      <w:r>
        <w:t>desbideraketarik</w:t>
      </w:r>
      <w:proofErr w:type="spellEnd"/>
      <w:r>
        <w:t xml:space="preserve"> gertatuz gero, bai konpents</w:t>
      </w:r>
      <w:r>
        <w:t>a</w:t>
      </w:r>
      <w:r>
        <w:t xml:space="preserve">zioaren izandako aldea bai adierazle </w:t>
      </w:r>
      <w:proofErr w:type="spellStart"/>
      <w:r>
        <w:t>ekonomiko-finantzarioen</w:t>
      </w:r>
      <w:proofErr w:type="spellEnd"/>
      <w:r>
        <w:t xml:space="preserve"> gaineko eragina ildo berekoak lirateke; hortaz, gure konklusio globalak ez lirateke funtsean uk</w:t>
      </w:r>
      <w:r>
        <w:t>i</w:t>
      </w:r>
      <w:r>
        <w:t>turik gertatuko.</w:t>
      </w:r>
    </w:p>
    <w:p w:rsidR="00EC5ABF" w:rsidRDefault="00EC5ABF" w:rsidP="00EC5ABF">
      <w:pPr>
        <w:pStyle w:val="texto"/>
        <w:tabs>
          <w:tab w:val="clear" w:pos="2835"/>
          <w:tab w:val="clear" w:pos="3969"/>
          <w:tab w:val="clear" w:pos="5103"/>
          <w:tab w:val="clear" w:pos="6237"/>
          <w:tab w:val="clear" w:pos="7371"/>
          <w:tab w:val="left" w:pos="567"/>
        </w:tabs>
        <w:ind w:firstLine="426"/>
        <w:rPr>
          <w:szCs w:val="26"/>
        </w:rPr>
      </w:pPr>
    </w:p>
    <w:p w:rsidR="00EC5ABF" w:rsidRDefault="00EC5ABF" w:rsidP="00EC5ABF">
      <w:pPr>
        <w:spacing w:after="0"/>
        <w:ind w:firstLine="0"/>
        <w:jc w:val="left"/>
        <w:rPr>
          <w:spacing w:val="6"/>
          <w:sz w:val="26"/>
          <w:szCs w:val="26"/>
        </w:rPr>
      </w:pPr>
      <w:r>
        <w:br w:type="page"/>
      </w:r>
    </w:p>
    <w:p w:rsidR="006B548F" w:rsidRPr="008F4DF7" w:rsidRDefault="006B548F" w:rsidP="006B548F">
      <w:pPr>
        <w:pStyle w:val="atitulo2"/>
        <w:spacing w:before="240" w:after="120"/>
        <w:rPr>
          <w:bCs w:val="0"/>
          <w:iCs w:val="0"/>
          <w:color w:val="auto"/>
        </w:rPr>
      </w:pPr>
      <w:bookmarkStart w:id="34" w:name="_Toc78530040"/>
      <w:r>
        <w:rPr>
          <w:bCs w:val="0"/>
          <w:iCs w:val="0"/>
          <w:color w:val="auto"/>
        </w:rPr>
        <w:lastRenderedPageBreak/>
        <w:t>IV.4. Amaierako konklusioa eta gomendioak</w:t>
      </w:r>
      <w:bookmarkEnd w:id="33"/>
      <w:bookmarkEnd w:id="34"/>
    </w:p>
    <w:p w:rsidR="00A35291" w:rsidRDefault="00A35291" w:rsidP="00A35291">
      <w:pPr>
        <w:pStyle w:val="texto"/>
        <w:tabs>
          <w:tab w:val="clear" w:pos="2835"/>
          <w:tab w:val="clear" w:pos="3969"/>
          <w:tab w:val="clear" w:pos="5103"/>
          <w:tab w:val="clear" w:pos="6237"/>
          <w:tab w:val="clear" w:pos="7371"/>
          <w:tab w:val="left" w:pos="567"/>
        </w:tabs>
        <w:rPr>
          <w:szCs w:val="26"/>
        </w:rPr>
      </w:pPr>
      <w:r>
        <w:t xml:space="preserve">AP-15 autobidea Nafarroako Foru Diputazioaren emakida bitartez eraiki zen, </w:t>
      </w:r>
      <w:proofErr w:type="spellStart"/>
      <w:r>
        <w:t>Audenasa</w:t>
      </w:r>
      <w:proofErr w:type="spellEnd"/>
      <w:r>
        <w:t xml:space="preserve"> izanda emakidadun enpresa. 1999ko maiatzeko hitzarmenean de</w:t>
      </w:r>
      <w:r>
        <w:t>s</w:t>
      </w:r>
      <w:r>
        <w:t xml:space="preserve">kontu-politika bat ezarri zen, zeinak aurreikusten baitzuen </w:t>
      </w:r>
      <w:proofErr w:type="spellStart"/>
      <w:r>
        <w:t>NFKAk</w:t>
      </w:r>
      <w:proofErr w:type="spellEnd"/>
      <w:r>
        <w:t xml:space="preserve"> konpents</w:t>
      </w:r>
      <w:r>
        <w:t>a</w:t>
      </w:r>
      <w:r>
        <w:t xml:space="preserve">zio ekonomikoa ematea </w:t>
      </w:r>
      <w:proofErr w:type="spellStart"/>
      <w:r>
        <w:t>Audenasari</w:t>
      </w:r>
      <w:proofErr w:type="spellEnd"/>
      <w:r>
        <w:t>, horretarako formula bat erabiliz, xede n</w:t>
      </w:r>
      <w:r>
        <w:t>a</w:t>
      </w:r>
      <w:r>
        <w:t>gusitzat harturik autobidearen ohiko erabiltzaileei kostu-merkatzea ahalbid</w:t>
      </w:r>
      <w:r>
        <w:t>e</w:t>
      </w:r>
      <w:r>
        <w:t xml:space="preserve">tzea, errepide jakin batzuk zirkulazioz arintzea eta ibilgailuen </w:t>
      </w:r>
      <w:proofErr w:type="spellStart"/>
      <w:r>
        <w:t>autobideratzea</w:t>
      </w:r>
      <w:proofErr w:type="spellEnd"/>
      <w:r>
        <w:t xml:space="preserve"> sustatzea.</w:t>
      </w:r>
    </w:p>
    <w:p w:rsidR="00A05228" w:rsidRDefault="00A05228" w:rsidP="005F62B6">
      <w:pPr>
        <w:pStyle w:val="texto"/>
        <w:tabs>
          <w:tab w:val="clear" w:pos="2835"/>
          <w:tab w:val="clear" w:pos="3969"/>
          <w:tab w:val="clear" w:pos="5103"/>
          <w:tab w:val="clear" w:pos="6237"/>
          <w:tab w:val="clear" w:pos="7371"/>
        </w:tabs>
        <w:rPr>
          <w:szCs w:val="26"/>
        </w:rPr>
      </w:pPr>
      <w:r>
        <w:t>Formula hori emakidadunari konpentsazioa emateko tankeratu zen, ikuspegia izanik deskontu-politikak zirkulazioa areagotuko zuela, bi eguneratze-faktore ezarririk. Formula hori bere horretantxe aplikatu izan da are trafiko-beherakada egon zen urteetan ere, beherakada horiek ez baitziren behar bezain pisutsutzat jo.</w:t>
      </w:r>
    </w:p>
    <w:p w:rsidR="006B548F" w:rsidRDefault="006B548F" w:rsidP="00A05228">
      <w:pPr>
        <w:pStyle w:val="texto"/>
        <w:tabs>
          <w:tab w:val="clear" w:pos="2835"/>
          <w:tab w:val="clear" w:pos="3969"/>
          <w:tab w:val="clear" w:pos="5103"/>
          <w:tab w:val="clear" w:pos="6237"/>
          <w:tab w:val="clear" w:pos="7371"/>
        </w:tabs>
        <w:rPr>
          <w:szCs w:val="26"/>
        </w:rPr>
      </w:pPr>
      <w:r>
        <w:t xml:space="preserve">2020an, COVID-19aren ondoriozko krisi sanitarioak trafikoaren beherakada deigarria erakarri zuen, urtearen osotasunean ehuneko 22koa izatera iritsi zena. Testuinguru hori kontuan harturik, </w:t>
      </w:r>
      <w:proofErr w:type="spellStart"/>
      <w:r>
        <w:t>Audenasak</w:t>
      </w:r>
      <w:proofErr w:type="spellEnd"/>
      <w:r>
        <w:t xml:space="preserve"> aurkeztu zuen fakturan C koef</w:t>
      </w:r>
      <w:r>
        <w:t>i</w:t>
      </w:r>
      <w:r>
        <w:t xml:space="preserve">zienteari aplikatu zion balioa hitzarmenean ezarritakoaz bestelakoa izan zen, sozietatearen Administrazio Kontseiluak erabakitakoaren arabera. </w:t>
      </w:r>
    </w:p>
    <w:p w:rsidR="00F15344" w:rsidRDefault="00F15344" w:rsidP="00BB5387">
      <w:pPr>
        <w:pStyle w:val="texto"/>
        <w:tabs>
          <w:tab w:val="clear" w:pos="2835"/>
          <w:tab w:val="clear" w:pos="3969"/>
          <w:tab w:val="clear" w:pos="5103"/>
          <w:tab w:val="clear" w:pos="6237"/>
          <w:tab w:val="clear" w:pos="7371"/>
        </w:tabs>
        <w:rPr>
          <w:szCs w:val="26"/>
        </w:rPr>
      </w:pPr>
      <w:r>
        <w:t xml:space="preserve">Ganbera honen iritzia da gora jotzeko helegitea aurkeztu ondoren jorraturiko prozedura, zeinak kontratu-interpretazio bat egitea ekarri baitzuen eta </w:t>
      </w:r>
      <w:proofErr w:type="spellStart"/>
      <w:r>
        <w:t>Auden</w:t>
      </w:r>
      <w:r>
        <w:t>a</w:t>
      </w:r>
      <w:r>
        <w:t>sari</w:t>
      </w:r>
      <w:proofErr w:type="spellEnd"/>
      <w:r>
        <w:t xml:space="preserve"> 2020ko azaroko 6,28 milioiko faktura ordaintzea onetsi baitzuen, bat dat</w:t>
      </w:r>
      <w:r>
        <w:t>o</w:t>
      </w:r>
      <w:r>
        <w:t>rrela aplikatzekoa den araudiarekin, nahiz eta jokabide egokia izan interpret</w:t>
      </w:r>
      <w:r>
        <w:t>a</w:t>
      </w:r>
      <w:r>
        <w:t>zio hori faktura 2020ko abenduan aurkeztu zen unean egin izana.</w:t>
      </w:r>
    </w:p>
    <w:p w:rsidR="00294F01" w:rsidRDefault="00294F01" w:rsidP="00FD44CE">
      <w:pPr>
        <w:autoSpaceDE w:val="0"/>
        <w:autoSpaceDN w:val="0"/>
        <w:adjustRightInd w:val="0"/>
        <w:spacing w:after="120"/>
        <w:ind w:firstLine="284"/>
        <w:rPr>
          <w:spacing w:val="6"/>
          <w:sz w:val="26"/>
          <w:szCs w:val="26"/>
        </w:rPr>
      </w:pPr>
      <w:r>
        <w:rPr>
          <w:sz w:val="26"/>
          <w:szCs w:val="26"/>
        </w:rPr>
        <w:t xml:space="preserve">Kontratuaz eginiko interpretazioak dakar 2020rako 38,04 milioiko diru-bilketa teorikoa lortzen dela, eta ez 31,02 milioikoa, C koefizienteari 1,65 balioa aplikatzen segitzetik eratorriko zena. Hori horrela, nabarmenki baldintzaturik suertatzen da </w:t>
      </w:r>
      <w:proofErr w:type="spellStart"/>
      <w:r>
        <w:rPr>
          <w:sz w:val="26"/>
          <w:szCs w:val="26"/>
        </w:rPr>
        <w:t>NFKAk</w:t>
      </w:r>
      <w:proofErr w:type="spellEnd"/>
      <w:r>
        <w:rPr>
          <w:sz w:val="26"/>
          <w:szCs w:val="26"/>
        </w:rPr>
        <w:t xml:space="preserve"> </w:t>
      </w:r>
      <w:proofErr w:type="spellStart"/>
      <w:r>
        <w:rPr>
          <w:sz w:val="26"/>
          <w:szCs w:val="26"/>
        </w:rPr>
        <w:t>Audenasari</w:t>
      </w:r>
      <w:proofErr w:type="spellEnd"/>
      <w:r>
        <w:rPr>
          <w:sz w:val="26"/>
          <w:szCs w:val="26"/>
        </w:rPr>
        <w:t xml:space="preserve"> emakidaren bukaerara arte falta diren urteetan eginen dion konpentsazioa; eta, era berean, emakidadunaren adierazle </w:t>
      </w:r>
      <w:proofErr w:type="spellStart"/>
      <w:r>
        <w:rPr>
          <w:sz w:val="26"/>
          <w:szCs w:val="26"/>
        </w:rPr>
        <w:t>ekonomiko-finantzarioak</w:t>
      </w:r>
      <w:proofErr w:type="spellEnd"/>
      <w:r>
        <w:rPr>
          <w:sz w:val="26"/>
          <w:szCs w:val="26"/>
        </w:rPr>
        <w:t xml:space="preserve"> ukiturik gertatzen dira.</w:t>
      </w:r>
    </w:p>
    <w:p w:rsidR="00980F76" w:rsidRDefault="00294F01" w:rsidP="00294F01">
      <w:pPr>
        <w:autoSpaceDE w:val="0"/>
        <w:autoSpaceDN w:val="0"/>
        <w:adjustRightInd w:val="0"/>
        <w:spacing w:after="120"/>
        <w:ind w:firstLine="284"/>
        <w:rPr>
          <w:spacing w:val="6"/>
          <w:sz w:val="26"/>
          <w:szCs w:val="26"/>
        </w:rPr>
      </w:pPr>
      <w:r>
        <w:rPr>
          <w:sz w:val="26"/>
          <w:szCs w:val="26"/>
        </w:rPr>
        <w:t xml:space="preserve">2020ra eguneraturiko </w:t>
      </w:r>
      <w:proofErr w:type="spellStart"/>
      <w:r>
        <w:rPr>
          <w:sz w:val="26"/>
          <w:szCs w:val="26"/>
        </w:rPr>
        <w:t>PEFaren</w:t>
      </w:r>
      <w:proofErr w:type="spellEnd"/>
      <w:r>
        <w:rPr>
          <w:sz w:val="26"/>
          <w:szCs w:val="26"/>
        </w:rPr>
        <w:t xml:space="preserve"> aurreikuspenak betetzearen kasu hipotetikoan, </w:t>
      </w:r>
      <w:proofErr w:type="spellStart"/>
      <w:r>
        <w:rPr>
          <w:sz w:val="26"/>
          <w:szCs w:val="26"/>
        </w:rPr>
        <w:t>NFKAk</w:t>
      </w:r>
      <w:proofErr w:type="spellEnd"/>
      <w:r>
        <w:rPr>
          <w:sz w:val="26"/>
          <w:szCs w:val="26"/>
        </w:rPr>
        <w:t xml:space="preserve"> </w:t>
      </w:r>
      <w:proofErr w:type="spellStart"/>
      <w:r>
        <w:rPr>
          <w:sz w:val="26"/>
          <w:szCs w:val="26"/>
        </w:rPr>
        <w:t>Audenasari</w:t>
      </w:r>
      <w:proofErr w:type="spellEnd"/>
      <w:r>
        <w:rPr>
          <w:sz w:val="26"/>
          <w:szCs w:val="26"/>
        </w:rPr>
        <w:t xml:space="preserve"> 2020-2029 epealdirako eman beharreko konpentsazio kalkul</w:t>
      </w:r>
      <w:r>
        <w:rPr>
          <w:sz w:val="26"/>
          <w:szCs w:val="26"/>
        </w:rPr>
        <w:t>a</w:t>
      </w:r>
      <w:r>
        <w:rPr>
          <w:sz w:val="26"/>
          <w:szCs w:val="26"/>
        </w:rPr>
        <w:t>tua 92,90 milioi gehiagokoa izanen litzateke gora jotzeko helegitea baiestearen o</w:t>
      </w:r>
      <w:r>
        <w:rPr>
          <w:sz w:val="26"/>
          <w:szCs w:val="26"/>
        </w:rPr>
        <w:t>n</w:t>
      </w:r>
      <w:r>
        <w:rPr>
          <w:sz w:val="26"/>
          <w:szCs w:val="26"/>
        </w:rPr>
        <w:t xml:space="preserve">dorioz, zeinak eragiten baitzuen C koefizienteari 1 balioa aplikatzea, 1,65 balioa aplikatzearen eskutik suertatuko litzatekeena baino. </w:t>
      </w:r>
    </w:p>
    <w:p w:rsidR="00C919EA" w:rsidRDefault="00D42068" w:rsidP="00294F01">
      <w:pPr>
        <w:autoSpaceDE w:val="0"/>
        <w:autoSpaceDN w:val="0"/>
        <w:adjustRightInd w:val="0"/>
        <w:spacing w:after="120"/>
        <w:ind w:firstLine="284"/>
        <w:rPr>
          <w:spacing w:val="6"/>
          <w:sz w:val="26"/>
          <w:szCs w:val="26"/>
        </w:rPr>
      </w:pPr>
      <w:r>
        <w:rPr>
          <w:sz w:val="26"/>
          <w:szCs w:val="26"/>
        </w:rPr>
        <w:t xml:space="preserve">Bestalde, </w:t>
      </w:r>
      <w:proofErr w:type="spellStart"/>
      <w:r>
        <w:rPr>
          <w:sz w:val="26"/>
          <w:szCs w:val="26"/>
        </w:rPr>
        <w:t>Audenasaren</w:t>
      </w:r>
      <w:proofErr w:type="spellEnd"/>
      <w:r>
        <w:rPr>
          <w:sz w:val="26"/>
          <w:szCs w:val="26"/>
        </w:rPr>
        <w:t xml:space="preserve"> adierazle </w:t>
      </w:r>
      <w:proofErr w:type="spellStart"/>
      <w:r>
        <w:rPr>
          <w:sz w:val="26"/>
          <w:szCs w:val="26"/>
        </w:rPr>
        <w:t>ekonomiko-finantzarioek</w:t>
      </w:r>
      <w:proofErr w:type="spellEnd"/>
      <w:r>
        <w:rPr>
          <w:sz w:val="26"/>
          <w:szCs w:val="26"/>
        </w:rPr>
        <w:t xml:space="preserve"> positibo izaten seg</w:t>
      </w:r>
      <w:r>
        <w:rPr>
          <w:sz w:val="26"/>
          <w:szCs w:val="26"/>
        </w:rPr>
        <w:t>i</w:t>
      </w:r>
      <w:r>
        <w:rPr>
          <w:sz w:val="26"/>
          <w:szCs w:val="26"/>
        </w:rPr>
        <w:t xml:space="preserve">tuko lukete betiere, baina haren oreka </w:t>
      </w:r>
      <w:proofErr w:type="spellStart"/>
      <w:r>
        <w:rPr>
          <w:sz w:val="26"/>
          <w:szCs w:val="26"/>
        </w:rPr>
        <w:t>ekonomiko-finantzarioaren</w:t>
      </w:r>
      <w:proofErr w:type="spellEnd"/>
      <w:r>
        <w:rPr>
          <w:sz w:val="26"/>
          <w:szCs w:val="26"/>
        </w:rPr>
        <w:t xml:space="preserve"> gaineko eragin negatiboa handiagoa izanen litzateke C koefizienteari 1,65 balioa aplikatuz gero, 1 balioa aplikatzearen aukeraren aldean. Horrela, adibidez, ustiapen-emaitza 481,92 milioitik 373,22 milioira jaitsiko litzateke C=1,65 izanez gero (ehuneko 23ko beh</w:t>
      </w:r>
      <w:r>
        <w:rPr>
          <w:sz w:val="26"/>
          <w:szCs w:val="26"/>
        </w:rPr>
        <w:t>e</w:t>
      </w:r>
      <w:r>
        <w:rPr>
          <w:sz w:val="26"/>
          <w:szCs w:val="26"/>
        </w:rPr>
        <w:t>rakada), konparaturik C=1 izanda gertatuko litzatekeen ehuneko 3ko beherakadar</w:t>
      </w:r>
      <w:r>
        <w:rPr>
          <w:sz w:val="26"/>
          <w:szCs w:val="26"/>
        </w:rPr>
        <w:t>e</w:t>
      </w:r>
      <w:r>
        <w:rPr>
          <w:sz w:val="26"/>
          <w:szCs w:val="26"/>
        </w:rPr>
        <w:lastRenderedPageBreak/>
        <w:t xml:space="preserve">kin, non ustiapen-emaitza 466,31 milioikoa izanen bailitzateke, aurreikusitako 481,92koarekin alderatuta. Zertzelada horiek ekar lezakete </w:t>
      </w:r>
      <w:proofErr w:type="spellStart"/>
      <w:r>
        <w:rPr>
          <w:sz w:val="26"/>
          <w:szCs w:val="26"/>
        </w:rPr>
        <w:t>NFKAk</w:t>
      </w:r>
      <w:proofErr w:type="spellEnd"/>
      <w:r>
        <w:rPr>
          <w:sz w:val="26"/>
          <w:szCs w:val="26"/>
        </w:rPr>
        <w:t xml:space="preserve"> </w:t>
      </w:r>
      <w:proofErr w:type="spellStart"/>
      <w:r>
        <w:rPr>
          <w:sz w:val="26"/>
          <w:szCs w:val="26"/>
        </w:rPr>
        <w:t>eta/edo</w:t>
      </w:r>
      <w:proofErr w:type="spellEnd"/>
      <w:r>
        <w:rPr>
          <w:sz w:val="26"/>
          <w:szCs w:val="26"/>
        </w:rPr>
        <w:t xml:space="preserve"> </w:t>
      </w:r>
      <w:proofErr w:type="spellStart"/>
      <w:r>
        <w:rPr>
          <w:sz w:val="26"/>
          <w:szCs w:val="26"/>
        </w:rPr>
        <w:t>Aud</w:t>
      </w:r>
      <w:r>
        <w:rPr>
          <w:sz w:val="26"/>
          <w:szCs w:val="26"/>
        </w:rPr>
        <w:t>e</w:t>
      </w:r>
      <w:r>
        <w:rPr>
          <w:sz w:val="26"/>
          <w:szCs w:val="26"/>
        </w:rPr>
        <w:t>nasak</w:t>
      </w:r>
      <w:proofErr w:type="spellEnd"/>
      <w:r>
        <w:rPr>
          <w:sz w:val="26"/>
          <w:szCs w:val="26"/>
        </w:rPr>
        <w:t xml:space="preserve"> zenbait neurri hartzea.</w:t>
      </w:r>
    </w:p>
    <w:p w:rsidR="006B548F" w:rsidRPr="00BB5387" w:rsidRDefault="006B548F" w:rsidP="006B548F">
      <w:pPr>
        <w:pStyle w:val="texto"/>
        <w:rPr>
          <w:szCs w:val="26"/>
        </w:rPr>
      </w:pPr>
      <w:r>
        <w:t>Egin dugun lanean iritsi ditugun konklusioak kontuan hartuta, hona gure gomendioak:</w:t>
      </w:r>
    </w:p>
    <w:p w:rsidR="00895612" w:rsidRDefault="00A05228" w:rsidP="00895612">
      <w:pPr>
        <w:pStyle w:val="texto"/>
        <w:numPr>
          <w:ilvl w:val="0"/>
          <w:numId w:val="10"/>
        </w:numPr>
        <w:tabs>
          <w:tab w:val="clear" w:pos="2835"/>
          <w:tab w:val="clear" w:pos="3969"/>
          <w:tab w:val="clear" w:pos="5103"/>
          <w:tab w:val="clear" w:pos="6237"/>
          <w:tab w:val="clear" w:pos="7371"/>
          <w:tab w:val="left" w:pos="567"/>
        </w:tabs>
        <w:ind w:left="0" w:firstLine="284"/>
        <w:rPr>
          <w:i/>
          <w:szCs w:val="26"/>
        </w:rPr>
      </w:pPr>
      <w:r>
        <w:rPr>
          <w:i/>
          <w:szCs w:val="26"/>
        </w:rPr>
        <w:t>Alda bedi hitzarmena, ez dadin berori interpretatzen ibili beharrik egon ezohiko zirkunstantziak gertatzen diren kasuetan, formula bitarteko aproposa izan dadin egokiro betea izateko.</w:t>
      </w:r>
    </w:p>
    <w:p w:rsidR="00BB5387" w:rsidRPr="000C238B" w:rsidRDefault="000C238B" w:rsidP="00895612">
      <w:pPr>
        <w:pStyle w:val="texto"/>
        <w:numPr>
          <w:ilvl w:val="0"/>
          <w:numId w:val="10"/>
        </w:numPr>
        <w:tabs>
          <w:tab w:val="clear" w:pos="2835"/>
          <w:tab w:val="clear" w:pos="3969"/>
          <w:tab w:val="clear" w:pos="5103"/>
          <w:tab w:val="clear" w:pos="6237"/>
          <w:tab w:val="clear" w:pos="7371"/>
          <w:tab w:val="left" w:pos="567"/>
        </w:tabs>
        <w:ind w:left="0" w:firstLine="284"/>
        <w:rPr>
          <w:i/>
          <w:szCs w:val="26"/>
        </w:rPr>
      </w:pPr>
      <w:r>
        <w:rPr>
          <w:i/>
          <w:szCs w:val="26"/>
        </w:rPr>
        <w:t>Eragin ekonomikoari buruzko analisi xehakatua egin bedi erabakirik hartu aurretik.</w:t>
      </w:r>
    </w:p>
    <w:p w:rsidR="006B548F" w:rsidRPr="000C238B" w:rsidRDefault="00A05228" w:rsidP="006532FD">
      <w:pPr>
        <w:pStyle w:val="texto"/>
        <w:numPr>
          <w:ilvl w:val="0"/>
          <w:numId w:val="10"/>
        </w:numPr>
        <w:tabs>
          <w:tab w:val="clear" w:pos="2835"/>
          <w:tab w:val="clear" w:pos="3969"/>
          <w:tab w:val="clear" w:pos="5103"/>
          <w:tab w:val="clear" w:pos="6237"/>
          <w:tab w:val="clear" w:pos="7371"/>
          <w:tab w:val="left" w:pos="567"/>
        </w:tabs>
        <w:ind w:left="0" w:firstLine="284"/>
        <w:rPr>
          <w:i/>
          <w:szCs w:val="26"/>
        </w:rPr>
      </w:pPr>
      <w:r>
        <w:rPr>
          <w:i/>
          <w:szCs w:val="26"/>
        </w:rPr>
        <w:t>Ordain bitez 2020ko azaroari dagokion faktura eta hurrengoak.</w:t>
      </w:r>
    </w:p>
    <w:p w:rsidR="00F33058" w:rsidRDefault="00F33058" w:rsidP="00075FAB">
      <w:pPr>
        <w:pStyle w:val="texto"/>
      </w:pPr>
    </w:p>
    <w:p w:rsidR="00075FAB" w:rsidRDefault="00075FAB" w:rsidP="00075FAB">
      <w:pPr>
        <w:pStyle w:val="texto"/>
      </w:pPr>
      <w:r>
        <w:t>Txosten hau, araudi indardunak ezarritako izapideak bete ondoren, auditore Karen Moreno Orduña andreak proposatuta eman da, bera izanik horretarako lanaren arduraduna.</w:t>
      </w:r>
    </w:p>
    <w:p w:rsidR="00075FAB" w:rsidRDefault="00075FAB" w:rsidP="00075FAB">
      <w:pPr>
        <w:pStyle w:val="texto"/>
      </w:pPr>
    </w:p>
    <w:p w:rsidR="00075FAB" w:rsidRPr="003702EC" w:rsidRDefault="00075FAB" w:rsidP="00075FAB">
      <w:pPr>
        <w:tabs>
          <w:tab w:val="center" w:pos="540"/>
          <w:tab w:val="center" w:pos="3969"/>
          <w:tab w:val="center" w:pos="5103"/>
          <w:tab w:val="center" w:pos="6237"/>
          <w:tab w:val="center" w:pos="7371"/>
        </w:tabs>
        <w:spacing w:before="200" w:after="200"/>
        <w:ind w:firstLine="0"/>
        <w:jc w:val="center"/>
        <w:rPr>
          <w:spacing w:val="6"/>
          <w:sz w:val="26"/>
          <w:szCs w:val="24"/>
        </w:rPr>
      </w:pPr>
      <w:r>
        <w:rPr>
          <w:sz w:val="26"/>
          <w:szCs w:val="24"/>
        </w:rPr>
        <w:t>Iruñean, 2021eko ekainaren 21ean</w:t>
      </w:r>
    </w:p>
    <w:p w:rsidR="00075FAB" w:rsidRPr="003702EC" w:rsidRDefault="00075FAB" w:rsidP="00075FAB">
      <w:pPr>
        <w:pStyle w:val="texto"/>
        <w:tabs>
          <w:tab w:val="clear" w:pos="2835"/>
          <w:tab w:val="clear" w:pos="3969"/>
          <w:tab w:val="clear" w:pos="5103"/>
          <w:tab w:val="clear" w:pos="6237"/>
          <w:tab w:val="clear" w:pos="7371"/>
        </w:tabs>
        <w:spacing w:after="80"/>
        <w:ind w:firstLine="0"/>
        <w:jc w:val="center"/>
        <w:rPr>
          <w:rFonts w:cs="Arial"/>
          <w:i/>
        </w:rP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E16110" w:rsidRPr="00E16110" w:rsidRDefault="00E16110" w:rsidP="00075FAB">
      <w:pPr>
        <w:pStyle w:val="texto"/>
        <w:jc w:val="center"/>
        <w:rPr>
          <w:color w:val="FF0000"/>
          <w:sz w:val="25"/>
          <w:szCs w:val="26"/>
        </w:rPr>
      </w:pPr>
    </w:p>
    <w:sectPr w:rsidR="00E16110" w:rsidRPr="00E16110" w:rsidSect="00F33058">
      <w:footerReference w:type="default" r:id="rId20"/>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FE" w:rsidRDefault="001A5EFE">
      <w:r>
        <w:separator/>
      </w:r>
    </w:p>
    <w:p w:rsidR="001A5EFE" w:rsidRDefault="001A5EFE"/>
    <w:p w:rsidR="001A5EFE" w:rsidRDefault="001A5EFE"/>
    <w:p w:rsidR="001A5EFE" w:rsidRDefault="001A5EFE"/>
  </w:endnote>
  <w:endnote w:type="continuationSeparator" w:id="0">
    <w:p w:rsidR="001A5EFE" w:rsidRDefault="001A5EFE">
      <w:r>
        <w:continuationSeparator/>
      </w:r>
    </w:p>
    <w:p w:rsidR="001A5EFE" w:rsidRDefault="001A5EFE"/>
    <w:p w:rsidR="001A5EFE" w:rsidRDefault="001A5EFE"/>
    <w:p w:rsidR="001A5EFE" w:rsidRDefault="001A5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Default="001A5EF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B56671">
      <w:rPr>
        <w:rStyle w:val="Nmerodepgina"/>
      </w:rPr>
      <w:fldChar w:fldCharType="separate"/>
    </w:r>
    <w:r w:rsidR="00B56671">
      <w:rPr>
        <w:rStyle w:val="Nmerodepgina"/>
        <w:noProof/>
      </w:rPr>
      <w:t>25</w:t>
    </w:r>
    <w:r>
      <w:rPr>
        <w:rStyle w:val="Nmerodepgina"/>
      </w:rPr>
      <w:fldChar w:fldCharType="end"/>
    </w:r>
  </w:p>
  <w:p w:rsidR="001A5EFE" w:rsidRDefault="001A5EFE"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Pr="00F03814" w:rsidRDefault="001A5EF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16" name="Imagen 1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Default="001A5EFE"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Pr="00F03814" w:rsidRDefault="001A5EF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075FF40" wp14:editId="19CE0196">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42058">
      <w:rPr>
        <w:rStyle w:val="Nmerodepgina"/>
        <w:noProof/>
        <w:szCs w:val="24"/>
      </w:rPr>
      <w:t>21</w:t>
    </w:r>
    <w:r w:rsidRPr="001D4F09">
      <w:rPr>
        <w:rStyle w:val="Nmerodepgina"/>
        <w:szCs w:val="24"/>
      </w:rPr>
      <w:fldChar w:fldCharType="end"/>
    </w:r>
    <w:r>
      <w:rPr>
        <w:rStyle w:val="Nmerodepgina"/>
        <w:szCs w:val="24"/>
      </w:rPr>
      <w:t xml:space="preserve"> -</w:t>
    </w:r>
  </w:p>
  <w:p w:rsidR="001A5EFE" w:rsidRDefault="001A5E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FE" w:rsidRDefault="001A5EFE" w:rsidP="0049412A">
      <w:pPr>
        <w:ind w:firstLine="0"/>
      </w:pPr>
      <w:r>
        <w:separator/>
      </w:r>
    </w:p>
  </w:footnote>
  <w:footnote w:type="continuationSeparator" w:id="0">
    <w:p w:rsidR="001A5EFE" w:rsidRDefault="001A5EFE">
      <w:r>
        <w:continuationSeparator/>
      </w:r>
    </w:p>
    <w:p w:rsidR="001A5EFE" w:rsidRDefault="001A5EFE"/>
    <w:p w:rsidR="001A5EFE" w:rsidRDefault="001A5EFE"/>
    <w:p w:rsidR="001A5EFE" w:rsidRDefault="001A5EFE"/>
  </w:footnote>
  <w:footnote w:id="1">
    <w:p w:rsidR="001A5EFE" w:rsidRPr="00F11723" w:rsidRDefault="001A5EFE" w:rsidP="00F11723">
      <w:pPr>
        <w:pStyle w:val="Textonotapie"/>
        <w:ind w:firstLine="0"/>
        <w:rPr>
          <w:sz w:val="18"/>
          <w:szCs w:val="18"/>
        </w:rPr>
      </w:pPr>
      <w:r>
        <w:rPr>
          <w:rStyle w:val="Refdenotaalpie"/>
          <w:sz w:val="18"/>
          <w:szCs w:val="18"/>
        </w:rPr>
        <w:footnoteRef/>
      </w:r>
      <w:r>
        <w:rPr>
          <w:sz w:val="18"/>
          <w:szCs w:val="18"/>
        </w:rPr>
        <w:t xml:space="preserve"> </w:t>
      </w:r>
      <w:r>
        <w:rPr>
          <w:bCs/>
          <w:color w:val="202124"/>
          <w:sz w:val="18"/>
          <w:szCs w:val="18"/>
          <w:shd w:val="clear" w:color="auto" w:fill="FFFFFF"/>
        </w:rPr>
        <w:t>EBITDA</w:t>
      </w:r>
      <w:r>
        <w:rPr>
          <w:color w:val="202124"/>
          <w:sz w:val="18"/>
          <w:szCs w:val="18"/>
          <w:shd w:val="clear" w:color="auto" w:fill="FFFFFF"/>
        </w:rPr>
        <w:t xml:space="preserve"> delakoak (</w:t>
      </w:r>
      <w:proofErr w:type="spellStart"/>
      <w:r>
        <w:rPr>
          <w:color w:val="202124"/>
          <w:sz w:val="18"/>
          <w:szCs w:val="18"/>
          <w:shd w:val="clear" w:color="auto" w:fill="FFFFFF"/>
        </w:rPr>
        <w:t>Earnings</w:t>
      </w:r>
      <w:proofErr w:type="spellEnd"/>
      <w:r>
        <w:rPr>
          <w:color w:val="202124"/>
          <w:sz w:val="18"/>
          <w:szCs w:val="18"/>
          <w:shd w:val="clear" w:color="auto" w:fill="FFFFFF"/>
        </w:rPr>
        <w:t xml:space="preserve"> </w:t>
      </w:r>
      <w:proofErr w:type="spellStart"/>
      <w:r>
        <w:rPr>
          <w:color w:val="202124"/>
          <w:sz w:val="18"/>
          <w:szCs w:val="18"/>
          <w:shd w:val="clear" w:color="auto" w:fill="FFFFFF"/>
        </w:rPr>
        <w:t>Before</w:t>
      </w:r>
      <w:proofErr w:type="spellEnd"/>
      <w:r>
        <w:rPr>
          <w:color w:val="202124"/>
          <w:sz w:val="18"/>
          <w:szCs w:val="18"/>
          <w:shd w:val="clear" w:color="auto" w:fill="FFFFFF"/>
        </w:rPr>
        <w:t xml:space="preserve"> </w:t>
      </w:r>
      <w:proofErr w:type="spellStart"/>
      <w:r>
        <w:rPr>
          <w:color w:val="202124"/>
          <w:sz w:val="18"/>
          <w:szCs w:val="18"/>
          <w:shd w:val="clear" w:color="auto" w:fill="FFFFFF"/>
        </w:rPr>
        <w:t>Interests</w:t>
      </w:r>
      <w:proofErr w:type="spellEnd"/>
      <w:r>
        <w:rPr>
          <w:color w:val="202124"/>
          <w:sz w:val="18"/>
          <w:szCs w:val="18"/>
          <w:shd w:val="clear" w:color="auto" w:fill="FFFFFF"/>
        </w:rPr>
        <w:t xml:space="preserve">, </w:t>
      </w:r>
      <w:proofErr w:type="spellStart"/>
      <w:r>
        <w:rPr>
          <w:color w:val="202124"/>
          <w:sz w:val="18"/>
          <w:szCs w:val="18"/>
          <w:shd w:val="clear" w:color="auto" w:fill="FFFFFF"/>
        </w:rPr>
        <w:t>Taxes</w:t>
      </w:r>
      <w:proofErr w:type="spellEnd"/>
      <w:r>
        <w:rPr>
          <w:color w:val="202124"/>
          <w:sz w:val="18"/>
          <w:szCs w:val="18"/>
          <w:shd w:val="clear" w:color="auto" w:fill="FFFFFF"/>
        </w:rPr>
        <w:t xml:space="preserve">, </w:t>
      </w:r>
      <w:proofErr w:type="spellStart"/>
      <w:r>
        <w:rPr>
          <w:color w:val="202124"/>
          <w:sz w:val="18"/>
          <w:szCs w:val="18"/>
          <w:shd w:val="clear" w:color="auto" w:fill="FFFFFF"/>
        </w:rPr>
        <w:t>Depreciations</w:t>
      </w:r>
      <w:proofErr w:type="spellEnd"/>
      <w:r>
        <w:rPr>
          <w:color w:val="202124"/>
          <w:sz w:val="18"/>
          <w:szCs w:val="18"/>
          <w:shd w:val="clear" w:color="auto" w:fill="FFFFFF"/>
        </w:rPr>
        <w:t xml:space="preserve"> and </w:t>
      </w:r>
      <w:proofErr w:type="spellStart"/>
      <w:r>
        <w:rPr>
          <w:color w:val="202124"/>
          <w:sz w:val="18"/>
          <w:szCs w:val="18"/>
          <w:shd w:val="clear" w:color="auto" w:fill="FFFFFF"/>
        </w:rPr>
        <w:t>Amortizations</w:t>
      </w:r>
      <w:proofErr w:type="spellEnd"/>
      <w:r>
        <w:rPr>
          <w:color w:val="202124"/>
          <w:sz w:val="18"/>
          <w:szCs w:val="18"/>
          <w:shd w:val="clear" w:color="auto" w:fill="FFFFFF"/>
        </w:rPr>
        <w:t>) erreferentzia egiten die interes, zerga, balio-galera eta amortizazioen aurretiko irabaziei, eta ustiapen-onura gordintzat jotzen da.</w:t>
      </w:r>
    </w:p>
  </w:footnote>
  <w:footnote w:id="2">
    <w:p w:rsidR="001A5EFE" w:rsidRPr="006B242C" w:rsidRDefault="001A5EFE" w:rsidP="006B242C">
      <w:pPr>
        <w:pStyle w:val="Textonotapie"/>
        <w:ind w:firstLine="0"/>
      </w:pPr>
      <w:r>
        <w:rPr>
          <w:rStyle w:val="Refdenotaalpie"/>
        </w:rPr>
        <w:footnoteRef/>
      </w:r>
      <w:r>
        <w:t xml:space="preserve"> </w:t>
      </w:r>
      <w:proofErr w:type="spellStart"/>
      <w:r>
        <w:t>NFKAren</w:t>
      </w:r>
      <w:proofErr w:type="spellEnd"/>
      <w:r>
        <w:t xml:space="preserve"> diru-fluxuak honela kalkulatzen dira: BEZ, PFEZ eta sozietateen gaineko zergagatiko diru-bilketa + kapital-murrizketa + urteko dibidenduak – deskontuengatiko konpentsazioa.</w:t>
      </w:r>
    </w:p>
  </w:footnote>
  <w:footnote w:id="3">
    <w:p w:rsidR="001A5EFE" w:rsidRPr="001D24F3" w:rsidRDefault="001A5EFE" w:rsidP="001D24F3">
      <w:pPr>
        <w:pStyle w:val="Textonotapie"/>
        <w:ind w:firstLine="0"/>
      </w:pPr>
      <w:r>
        <w:rPr>
          <w:rStyle w:val="Refdenotaalpie"/>
        </w:rPr>
        <w:footnoteRef/>
      </w:r>
      <w:proofErr w:type="spellStart"/>
      <w:r>
        <w:t>PEFa</w:t>
      </w:r>
      <w:proofErr w:type="spellEnd"/>
      <w:r>
        <w:t xml:space="preserve"> eguneratzen da datuak euro konstanteetan lortu gabe (berrezarpen-inbertsioen kasuan izan ezik), adi</w:t>
      </w:r>
      <w:r>
        <w:t>e</w:t>
      </w:r>
      <w:r>
        <w:t xml:space="preserve">razle </w:t>
      </w:r>
      <w:proofErr w:type="spellStart"/>
      <w:r>
        <w:t>ekonomiko-finantzario</w:t>
      </w:r>
      <w:proofErr w:type="spellEnd"/>
      <w:r>
        <w:t xml:space="preserve"> ezberdinak balioztatzeko behar adinakotzat irizten zaiolako </w:t>
      </w:r>
      <w:proofErr w:type="spellStart"/>
      <w:r>
        <w:t>KPIaren</w:t>
      </w:r>
      <w:proofErr w:type="spellEnd"/>
      <w:r>
        <w:t xml:space="preserve"> aintzate</w:t>
      </w:r>
      <w:r>
        <w:t>s</w:t>
      </w:r>
      <w:r>
        <w:t>penari.</w:t>
      </w:r>
    </w:p>
  </w:footnote>
  <w:footnote w:id="4">
    <w:p w:rsidR="001A5EFE" w:rsidRDefault="001A5EFE" w:rsidP="0032144D">
      <w:pPr>
        <w:pStyle w:val="Textonotapie"/>
        <w:ind w:firstLine="0"/>
      </w:pPr>
      <w:r>
        <w:rPr>
          <w:rStyle w:val="Refdenotaalpie"/>
        </w:rPr>
        <w:footnoteRef/>
      </w:r>
      <w:r>
        <w:t xml:space="preserve">2021eko apirilaren 20an, Parlamentuak irizpen bat eskatu zion Nafarroako Kontseiluari, </w:t>
      </w:r>
      <w:proofErr w:type="spellStart"/>
      <w:r>
        <w:t>Audenasak</w:t>
      </w:r>
      <w:proofErr w:type="spellEnd"/>
      <w:r>
        <w:t xml:space="preserve"> 41E/2020 Foru Aginduaren aurka jarritako gora jotzeko errekurtsoa zela-eta 2021eko otsailaren 24an Gobe</w:t>
      </w:r>
      <w:r>
        <w:t>r</w:t>
      </w:r>
      <w:r>
        <w:t>nuak hartutako erabakiaren legezkotasunari buruzkoa eta, zuzenbidearen kontrakoa izanez gero, egonen lir</w:t>
      </w:r>
      <w:r>
        <w:t>a</w:t>
      </w:r>
      <w:r>
        <w:t>tekeen ondorioei eta egin beharreko izapideei buruzkoa.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Default="001A5EFE" w:rsidP="007C36BE">
    <w:pPr>
      <w:pStyle w:val="Encabezado"/>
      <w:pBdr>
        <w:bottom w:val="single" w:sz="4" w:space="1" w:color="auto"/>
      </w:pBdr>
      <w:spacing w:after="40"/>
      <w:ind w:firstLine="0"/>
      <w:jc w:val="left"/>
    </w:pPr>
    <w:r>
      <w:rPr>
        <w:b/>
        <w:noProof/>
        <w:lang w:val="es-ES" w:eastAsia="es-ES"/>
      </w:rPr>
      <w:drawing>
        <wp:inline distT="0" distB="0" distL="0" distR="0">
          <wp:extent cx="771525" cy="762000"/>
          <wp:effectExtent l="0" t="0" r="9525" b="0"/>
          <wp:docPr id="15" name="Imagen 1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1A5EFE" w:rsidRPr="0059650E" w:rsidRDefault="001A5EFE" w:rsidP="002C3685">
    <w:pPr>
      <w:pStyle w:val="Encabezado"/>
      <w:pBdr>
        <w:bottom w:val="single" w:sz="4" w:space="1" w:color="auto"/>
      </w:pBdr>
      <w:ind w:firstLine="0"/>
    </w:pPr>
    <w:r>
      <w:t xml:space="preserve">Fiskalizazio-txostena, bidesari-deskontuak </w:t>
    </w:r>
    <w:proofErr w:type="spellStart"/>
    <w:r>
      <w:t>direla-eta</w:t>
    </w:r>
    <w:proofErr w:type="spellEnd"/>
    <w:r>
      <w:t xml:space="preserve"> Audenasari eginiko konpentsazioari buruzkoa,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FE" w:rsidRDefault="001A5EFE" w:rsidP="006A2D41">
    <w:pPr>
      <w:pStyle w:val="Encabezado"/>
      <w:ind w:firstLine="0"/>
      <w:jc w:val="left"/>
    </w:pPr>
    <w:r>
      <w:rPr>
        <w:noProof/>
        <w:lang w:val="es-ES" w:eastAsia="es-ES"/>
      </w:rPr>
      <w:drawing>
        <wp:inline distT="0" distB="0" distL="0" distR="0">
          <wp:extent cx="771525" cy="762000"/>
          <wp:effectExtent l="0" t="0" r="9525" b="0"/>
          <wp:docPr id="17" name="Imagen 1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nsid w:val="038A6561"/>
    <w:multiLevelType w:val="hybridMultilevel"/>
    <w:tmpl w:val="5DA62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74228E"/>
    <w:multiLevelType w:val="hybridMultilevel"/>
    <w:tmpl w:val="AC5A68DA"/>
    <w:lvl w:ilvl="0" w:tplc="0C0A0001">
      <w:start w:val="1"/>
      <w:numFmt w:val="bullet"/>
      <w:lvlText w:val=""/>
      <w:lvlJc w:val="left"/>
      <w:pPr>
        <w:ind w:left="1004" w:hanging="360"/>
      </w:pPr>
      <w:rPr>
        <w:rFonts w:ascii="Symbol" w:hAnsi="Symbol" w:hint="default"/>
      </w:rPr>
    </w:lvl>
    <w:lvl w:ilvl="1" w:tplc="0C0A0001">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99117F5"/>
    <w:multiLevelType w:val="hybridMultilevel"/>
    <w:tmpl w:val="01E4C0D0"/>
    <w:lvl w:ilvl="0" w:tplc="0C0A0001">
      <w:start w:val="1"/>
      <w:numFmt w:val="bullet"/>
      <w:lvlText w:val=""/>
      <w:lvlJc w:val="left"/>
      <w:pPr>
        <w:ind w:left="1004"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1C341D8A"/>
    <w:multiLevelType w:val="hybridMultilevel"/>
    <w:tmpl w:val="C7BCF734"/>
    <w:lvl w:ilvl="0" w:tplc="0C0A0017">
      <w:start w:val="1"/>
      <w:numFmt w:val="lowerLetter"/>
      <w:lvlText w:val="%1)"/>
      <w:lvlJc w:val="left"/>
      <w:pPr>
        <w:ind w:left="1004" w:hanging="360"/>
      </w:pPr>
      <w:rPr>
        <w:rFonts w:hint="default"/>
      </w:rPr>
    </w:lvl>
    <w:lvl w:ilvl="1" w:tplc="0C0A0017">
      <w:start w:val="1"/>
      <w:numFmt w:val="lowerLetter"/>
      <w:lvlText w:val="%2)"/>
      <w:lvlJc w:val="left"/>
      <w:pPr>
        <w:ind w:left="1724" w:hanging="360"/>
      </w:pPr>
      <w:rPr>
        <w:rFonts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1E403E93"/>
    <w:multiLevelType w:val="hybridMultilevel"/>
    <w:tmpl w:val="996AE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F6353A"/>
    <w:multiLevelType w:val="hybridMultilevel"/>
    <w:tmpl w:val="E89682B4"/>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68B6F22"/>
    <w:multiLevelType w:val="hybridMultilevel"/>
    <w:tmpl w:val="83AE38DA"/>
    <w:lvl w:ilvl="0" w:tplc="89B45918">
      <w:start w:val="1"/>
      <w:numFmt w:val="bullet"/>
      <w:lvlText w:val=""/>
      <w:lvlJc w:val="left"/>
      <w:pPr>
        <w:ind w:left="1004" w:hanging="360"/>
      </w:pPr>
      <w:rPr>
        <w:rFonts w:ascii="Symbol" w:hAnsi="Symbol" w:hint="default"/>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nsid w:val="3357516C"/>
    <w:multiLevelType w:val="hybridMultilevel"/>
    <w:tmpl w:val="41BA0B38"/>
    <w:lvl w:ilvl="0" w:tplc="424A8CB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645C11"/>
    <w:multiLevelType w:val="hybridMultilevel"/>
    <w:tmpl w:val="98F46C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43E56E2C"/>
    <w:multiLevelType w:val="hybridMultilevel"/>
    <w:tmpl w:val="B882E752"/>
    <w:lvl w:ilvl="0" w:tplc="0C0A0017">
      <w:start w:val="1"/>
      <w:numFmt w:val="lowerLetter"/>
      <w:lvlText w:val="%1)"/>
      <w:lvlJc w:val="left"/>
      <w:pPr>
        <w:ind w:left="1004" w:hanging="360"/>
      </w:pPr>
      <w:rPr>
        <w:rFonts w:hint="default"/>
      </w:rPr>
    </w:lvl>
    <w:lvl w:ilvl="1" w:tplc="0C0A0001">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nsid w:val="44B75C03"/>
    <w:multiLevelType w:val="hybridMultilevel"/>
    <w:tmpl w:val="63BA2F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47BB12E1"/>
    <w:multiLevelType w:val="hybridMultilevel"/>
    <w:tmpl w:val="7ECA962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8AB0003"/>
    <w:multiLevelType w:val="hybridMultilevel"/>
    <w:tmpl w:val="7ECA962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EAB4891"/>
    <w:multiLevelType w:val="hybridMultilevel"/>
    <w:tmpl w:val="280CE2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19C66C4"/>
    <w:multiLevelType w:val="hybridMultilevel"/>
    <w:tmpl w:val="72E2D60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0">
    <w:nsid w:val="6ADE110F"/>
    <w:multiLevelType w:val="hybridMultilevel"/>
    <w:tmpl w:val="3E0A98CA"/>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6E6E3B02"/>
    <w:multiLevelType w:val="hybridMultilevel"/>
    <w:tmpl w:val="A09AD3BE"/>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3">
    <w:nsid w:val="6FFF4D88"/>
    <w:multiLevelType w:val="hybridMultilevel"/>
    <w:tmpl w:val="55FE667A"/>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5">
    <w:nsid w:val="7F3E3184"/>
    <w:multiLevelType w:val="hybridMultilevel"/>
    <w:tmpl w:val="280CE2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9"/>
  </w:num>
  <w:num w:numId="3">
    <w:abstractNumId w:val="4"/>
  </w:num>
  <w:num w:numId="4">
    <w:abstractNumId w:val="14"/>
  </w:num>
  <w:num w:numId="5">
    <w:abstractNumId w:val="21"/>
  </w:num>
  <w:num w:numId="6">
    <w:abstractNumId w:val="4"/>
  </w:num>
  <w:num w:numId="7">
    <w:abstractNumId w:val="4"/>
  </w:num>
  <w:num w:numId="8">
    <w:abstractNumId w:val="4"/>
  </w:num>
  <w:num w:numId="9">
    <w:abstractNumId w:val="1"/>
  </w:num>
  <w:num w:numId="10">
    <w:abstractNumId w:val="5"/>
  </w:num>
  <w:num w:numId="11">
    <w:abstractNumId w:val="3"/>
  </w:num>
  <w:num w:numId="12">
    <w:abstractNumId w:val="6"/>
  </w:num>
  <w:num w:numId="13">
    <w:abstractNumId w:val="10"/>
  </w:num>
  <w:num w:numId="14">
    <w:abstractNumId w:val="9"/>
  </w:num>
  <w:num w:numId="15">
    <w:abstractNumId w:val="22"/>
  </w:num>
  <w:num w:numId="16">
    <w:abstractNumId w:val="17"/>
  </w:num>
  <w:num w:numId="17">
    <w:abstractNumId w:val="16"/>
  </w:num>
  <w:num w:numId="18">
    <w:abstractNumId w:val="20"/>
  </w:num>
  <w:num w:numId="19">
    <w:abstractNumId w:val="12"/>
  </w:num>
  <w:num w:numId="20">
    <w:abstractNumId w:val="18"/>
  </w:num>
  <w:num w:numId="21">
    <w:abstractNumId w:val="2"/>
  </w:num>
  <w:num w:numId="22">
    <w:abstractNumId w:val="7"/>
  </w:num>
  <w:num w:numId="23">
    <w:abstractNumId w:val="25"/>
  </w:num>
  <w:num w:numId="24">
    <w:abstractNumId w:val="15"/>
  </w:num>
  <w:num w:numId="25">
    <w:abstractNumId w:val="11"/>
  </w:num>
  <w:num w:numId="26">
    <w:abstractNumId w:val="8"/>
  </w:num>
  <w:num w:numId="27">
    <w:abstractNumId w:val="23"/>
  </w:num>
  <w:num w:numId="28">
    <w:abstractNumId w:val="13"/>
  </w:num>
  <w:num w:numId="29">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2E"/>
    <w:rsid w:val="00000991"/>
    <w:rsid w:val="00000CD6"/>
    <w:rsid w:val="000019D8"/>
    <w:rsid w:val="0000205E"/>
    <w:rsid w:val="00006736"/>
    <w:rsid w:val="00006A97"/>
    <w:rsid w:val="00007028"/>
    <w:rsid w:val="0001123B"/>
    <w:rsid w:val="00012A7F"/>
    <w:rsid w:val="00017A3A"/>
    <w:rsid w:val="00022658"/>
    <w:rsid w:val="000270D7"/>
    <w:rsid w:val="0003572F"/>
    <w:rsid w:val="00035B43"/>
    <w:rsid w:val="00036E42"/>
    <w:rsid w:val="00040D64"/>
    <w:rsid w:val="0004134F"/>
    <w:rsid w:val="0004373B"/>
    <w:rsid w:val="000448FA"/>
    <w:rsid w:val="00053A42"/>
    <w:rsid w:val="0005517D"/>
    <w:rsid w:val="0006133D"/>
    <w:rsid w:val="00063585"/>
    <w:rsid w:val="000669AC"/>
    <w:rsid w:val="00071CD0"/>
    <w:rsid w:val="00073517"/>
    <w:rsid w:val="0007368E"/>
    <w:rsid w:val="000746EA"/>
    <w:rsid w:val="00075692"/>
    <w:rsid w:val="00075FAB"/>
    <w:rsid w:val="000849DA"/>
    <w:rsid w:val="00087B8D"/>
    <w:rsid w:val="00092BAF"/>
    <w:rsid w:val="00093D67"/>
    <w:rsid w:val="00093E60"/>
    <w:rsid w:val="000949A3"/>
    <w:rsid w:val="000A18B7"/>
    <w:rsid w:val="000A2C1E"/>
    <w:rsid w:val="000A4697"/>
    <w:rsid w:val="000A54AC"/>
    <w:rsid w:val="000B2728"/>
    <w:rsid w:val="000B3943"/>
    <w:rsid w:val="000B4477"/>
    <w:rsid w:val="000C0704"/>
    <w:rsid w:val="000C238B"/>
    <w:rsid w:val="000C2B07"/>
    <w:rsid w:val="000C33B0"/>
    <w:rsid w:val="000C39CC"/>
    <w:rsid w:val="000C7566"/>
    <w:rsid w:val="000D188E"/>
    <w:rsid w:val="000D5335"/>
    <w:rsid w:val="000E7B86"/>
    <w:rsid w:val="000F2B66"/>
    <w:rsid w:val="000F3D83"/>
    <w:rsid w:val="00100F12"/>
    <w:rsid w:val="00103589"/>
    <w:rsid w:val="001045C9"/>
    <w:rsid w:val="00107CC1"/>
    <w:rsid w:val="0011162B"/>
    <w:rsid w:val="00111A92"/>
    <w:rsid w:val="00112459"/>
    <w:rsid w:val="00114310"/>
    <w:rsid w:val="001145C3"/>
    <w:rsid w:val="00115431"/>
    <w:rsid w:val="001161D2"/>
    <w:rsid w:val="00127A8E"/>
    <w:rsid w:val="0013027E"/>
    <w:rsid w:val="00131DF1"/>
    <w:rsid w:val="00132C38"/>
    <w:rsid w:val="00133235"/>
    <w:rsid w:val="00133984"/>
    <w:rsid w:val="001365C4"/>
    <w:rsid w:val="00140FC4"/>
    <w:rsid w:val="0014147D"/>
    <w:rsid w:val="00141D29"/>
    <w:rsid w:val="0014506A"/>
    <w:rsid w:val="0014728F"/>
    <w:rsid w:val="00147490"/>
    <w:rsid w:val="001521A2"/>
    <w:rsid w:val="00152358"/>
    <w:rsid w:val="00155BFF"/>
    <w:rsid w:val="00160F66"/>
    <w:rsid w:val="001633AF"/>
    <w:rsid w:val="00164FEC"/>
    <w:rsid w:val="00166A6C"/>
    <w:rsid w:val="001728D0"/>
    <w:rsid w:val="00173EDD"/>
    <w:rsid w:val="0017402B"/>
    <w:rsid w:val="00181D37"/>
    <w:rsid w:val="001835B7"/>
    <w:rsid w:val="0018426B"/>
    <w:rsid w:val="00185A37"/>
    <w:rsid w:val="00194309"/>
    <w:rsid w:val="0019660E"/>
    <w:rsid w:val="001A4620"/>
    <w:rsid w:val="001A5EFE"/>
    <w:rsid w:val="001B054E"/>
    <w:rsid w:val="001B39E2"/>
    <w:rsid w:val="001C2B26"/>
    <w:rsid w:val="001C3A32"/>
    <w:rsid w:val="001D24F3"/>
    <w:rsid w:val="001D4F09"/>
    <w:rsid w:val="001D6078"/>
    <w:rsid w:val="001E0949"/>
    <w:rsid w:val="001E2157"/>
    <w:rsid w:val="001E398A"/>
    <w:rsid w:val="001F12FF"/>
    <w:rsid w:val="001F1482"/>
    <w:rsid w:val="001F20D7"/>
    <w:rsid w:val="001F3FAF"/>
    <w:rsid w:val="001F7744"/>
    <w:rsid w:val="00200914"/>
    <w:rsid w:val="002014EB"/>
    <w:rsid w:val="00202542"/>
    <w:rsid w:val="00202B1A"/>
    <w:rsid w:val="00202BCF"/>
    <w:rsid w:val="002032B0"/>
    <w:rsid w:val="00204979"/>
    <w:rsid w:val="0020668F"/>
    <w:rsid w:val="002079C1"/>
    <w:rsid w:val="00211D69"/>
    <w:rsid w:val="00213878"/>
    <w:rsid w:val="002179DB"/>
    <w:rsid w:val="00217C19"/>
    <w:rsid w:val="00227E48"/>
    <w:rsid w:val="002301DE"/>
    <w:rsid w:val="00230577"/>
    <w:rsid w:val="0023159D"/>
    <w:rsid w:val="0023209D"/>
    <w:rsid w:val="002333F8"/>
    <w:rsid w:val="00233D79"/>
    <w:rsid w:val="00237657"/>
    <w:rsid w:val="002408EB"/>
    <w:rsid w:val="00242BA7"/>
    <w:rsid w:val="002437B5"/>
    <w:rsid w:val="00244EF1"/>
    <w:rsid w:val="00244EFC"/>
    <w:rsid w:val="00246F21"/>
    <w:rsid w:val="0025028B"/>
    <w:rsid w:val="00253E78"/>
    <w:rsid w:val="00255780"/>
    <w:rsid w:val="00255A30"/>
    <w:rsid w:val="00262C3C"/>
    <w:rsid w:val="00264C88"/>
    <w:rsid w:val="0026532C"/>
    <w:rsid w:val="0026575D"/>
    <w:rsid w:val="002705B0"/>
    <w:rsid w:val="002717A6"/>
    <w:rsid w:val="00272015"/>
    <w:rsid w:val="00272A4C"/>
    <w:rsid w:val="00273C10"/>
    <w:rsid w:val="00274B4C"/>
    <w:rsid w:val="00275577"/>
    <w:rsid w:val="00276264"/>
    <w:rsid w:val="00281AA9"/>
    <w:rsid w:val="00281DCA"/>
    <w:rsid w:val="00293183"/>
    <w:rsid w:val="00294F01"/>
    <w:rsid w:val="00297B04"/>
    <w:rsid w:val="002A056C"/>
    <w:rsid w:val="002A0C45"/>
    <w:rsid w:val="002A2EFF"/>
    <w:rsid w:val="002A66A5"/>
    <w:rsid w:val="002A6EBB"/>
    <w:rsid w:val="002B117C"/>
    <w:rsid w:val="002B21E9"/>
    <w:rsid w:val="002B2B87"/>
    <w:rsid w:val="002B2F5D"/>
    <w:rsid w:val="002B3D14"/>
    <w:rsid w:val="002B4E0F"/>
    <w:rsid w:val="002B5754"/>
    <w:rsid w:val="002C3685"/>
    <w:rsid w:val="002C7026"/>
    <w:rsid w:val="002C7635"/>
    <w:rsid w:val="002C7E08"/>
    <w:rsid w:val="002D089F"/>
    <w:rsid w:val="002D5635"/>
    <w:rsid w:val="002D65E8"/>
    <w:rsid w:val="002D68BD"/>
    <w:rsid w:val="002D7D32"/>
    <w:rsid w:val="002E02E5"/>
    <w:rsid w:val="002E0478"/>
    <w:rsid w:val="002E0791"/>
    <w:rsid w:val="002E1B92"/>
    <w:rsid w:val="002E6C2D"/>
    <w:rsid w:val="002E7B81"/>
    <w:rsid w:val="002F09FB"/>
    <w:rsid w:val="002F0EDE"/>
    <w:rsid w:val="002F0FE3"/>
    <w:rsid w:val="002F1AF0"/>
    <w:rsid w:val="002F1F60"/>
    <w:rsid w:val="002F2530"/>
    <w:rsid w:val="002F272A"/>
    <w:rsid w:val="002F2BC3"/>
    <w:rsid w:val="002F3225"/>
    <w:rsid w:val="002F53B4"/>
    <w:rsid w:val="002F5AF1"/>
    <w:rsid w:val="002F76D6"/>
    <w:rsid w:val="00303506"/>
    <w:rsid w:val="00307057"/>
    <w:rsid w:val="00312819"/>
    <w:rsid w:val="00312E9C"/>
    <w:rsid w:val="00313875"/>
    <w:rsid w:val="003203BF"/>
    <w:rsid w:val="00321369"/>
    <w:rsid w:val="0032144D"/>
    <w:rsid w:val="00330787"/>
    <w:rsid w:val="00337493"/>
    <w:rsid w:val="0034285F"/>
    <w:rsid w:val="003436DA"/>
    <w:rsid w:val="003464A4"/>
    <w:rsid w:val="00351684"/>
    <w:rsid w:val="00353EFB"/>
    <w:rsid w:val="00354458"/>
    <w:rsid w:val="00363653"/>
    <w:rsid w:val="0036509D"/>
    <w:rsid w:val="003719F7"/>
    <w:rsid w:val="0037228C"/>
    <w:rsid w:val="003738FD"/>
    <w:rsid w:val="00377ECD"/>
    <w:rsid w:val="003810BE"/>
    <w:rsid w:val="003810F9"/>
    <w:rsid w:val="00386F6C"/>
    <w:rsid w:val="00387709"/>
    <w:rsid w:val="00387794"/>
    <w:rsid w:val="00396702"/>
    <w:rsid w:val="00397162"/>
    <w:rsid w:val="003A16AF"/>
    <w:rsid w:val="003A335E"/>
    <w:rsid w:val="003A3C8E"/>
    <w:rsid w:val="003A3DD2"/>
    <w:rsid w:val="003A4853"/>
    <w:rsid w:val="003A53DB"/>
    <w:rsid w:val="003A667D"/>
    <w:rsid w:val="003B3573"/>
    <w:rsid w:val="003B5813"/>
    <w:rsid w:val="003C03EA"/>
    <w:rsid w:val="003C196B"/>
    <w:rsid w:val="003C4FEE"/>
    <w:rsid w:val="003C6E1D"/>
    <w:rsid w:val="003D058C"/>
    <w:rsid w:val="003D76B1"/>
    <w:rsid w:val="003E17A6"/>
    <w:rsid w:val="003E4AA5"/>
    <w:rsid w:val="003F14A4"/>
    <w:rsid w:val="003F1CEC"/>
    <w:rsid w:val="003F299B"/>
    <w:rsid w:val="003F43BF"/>
    <w:rsid w:val="003F6BE4"/>
    <w:rsid w:val="00403CF8"/>
    <w:rsid w:val="0040531F"/>
    <w:rsid w:val="00406CC7"/>
    <w:rsid w:val="00407459"/>
    <w:rsid w:val="00413E96"/>
    <w:rsid w:val="00414D01"/>
    <w:rsid w:val="004170FE"/>
    <w:rsid w:val="004209E6"/>
    <w:rsid w:val="0042324B"/>
    <w:rsid w:val="004234E8"/>
    <w:rsid w:val="00426805"/>
    <w:rsid w:val="00430150"/>
    <w:rsid w:val="004302F9"/>
    <w:rsid w:val="0043229B"/>
    <w:rsid w:val="00434D41"/>
    <w:rsid w:val="00435287"/>
    <w:rsid w:val="00440A22"/>
    <w:rsid w:val="0045550E"/>
    <w:rsid w:val="00456456"/>
    <w:rsid w:val="00457EFA"/>
    <w:rsid w:val="00462367"/>
    <w:rsid w:val="00463954"/>
    <w:rsid w:val="0046490C"/>
    <w:rsid w:val="00470287"/>
    <w:rsid w:val="00470733"/>
    <w:rsid w:val="004712F3"/>
    <w:rsid w:val="004768F5"/>
    <w:rsid w:val="00477C53"/>
    <w:rsid w:val="00477D89"/>
    <w:rsid w:val="00485380"/>
    <w:rsid w:val="00485E70"/>
    <w:rsid w:val="004903B5"/>
    <w:rsid w:val="004919FC"/>
    <w:rsid w:val="00493D87"/>
    <w:rsid w:val="0049412A"/>
    <w:rsid w:val="004950D4"/>
    <w:rsid w:val="00495153"/>
    <w:rsid w:val="004A0506"/>
    <w:rsid w:val="004A2342"/>
    <w:rsid w:val="004A2F62"/>
    <w:rsid w:val="004A3E3C"/>
    <w:rsid w:val="004A49A4"/>
    <w:rsid w:val="004A5B6B"/>
    <w:rsid w:val="004A60A2"/>
    <w:rsid w:val="004B1DB8"/>
    <w:rsid w:val="004B2F01"/>
    <w:rsid w:val="004B4182"/>
    <w:rsid w:val="004B4538"/>
    <w:rsid w:val="004B6FB6"/>
    <w:rsid w:val="004C3423"/>
    <w:rsid w:val="004C571D"/>
    <w:rsid w:val="004C7591"/>
    <w:rsid w:val="004D35A2"/>
    <w:rsid w:val="004D3643"/>
    <w:rsid w:val="004D5A35"/>
    <w:rsid w:val="004D5FD1"/>
    <w:rsid w:val="004E1D46"/>
    <w:rsid w:val="004F2BA0"/>
    <w:rsid w:val="004F7C93"/>
    <w:rsid w:val="005000C8"/>
    <w:rsid w:val="00506105"/>
    <w:rsid w:val="00513162"/>
    <w:rsid w:val="00521C3D"/>
    <w:rsid w:val="00525809"/>
    <w:rsid w:val="00535130"/>
    <w:rsid w:val="00537302"/>
    <w:rsid w:val="00541F31"/>
    <w:rsid w:val="00555509"/>
    <w:rsid w:val="005573EA"/>
    <w:rsid w:val="00560890"/>
    <w:rsid w:val="00561C5B"/>
    <w:rsid w:val="005629C8"/>
    <w:rsid w:val="00564F2D"/>
    <w:rsid w:val="00566CDA"/>
    <w:rsid w:val="0056727E"/>
    <w:rsid w:val="00567BA6"/>
    <w:rsid w:val="00570033"/>
    <w:rsid w:val="00570147"/>
    <w:rsid w:val="00572AE1"/>
    <w:rsid w:val="0057307E"/>
    <w:rsid w:val="00573A4C"/>
    <w:rsid w:val="00574B79"/>
    <w:rsid w:val="00574D12"/>
    <w:rsid w:val="005800B4"/>
    <w:rsid w:val="0058070B"/>
    <w:rsid w:val="00580BF6"/>
    <w:rsid w:val="0058192D"/>
    <w:rsid w:val="0058296F"/>
    <w:rsid w:val="00595E80"/>
    <w:rsid w:val="0059650E"/>
    <w:rsid w:val="00596953"/>
    <w:rsid w:val="005A423F"/>
    <w:rsid w:val="005A6030"/>
    <w:rsid w:val="005B04C5"/>
    <w:rsid w:val="005B57AD"/>
    <w:rsid w:val="005B722E"/>
    <w:rsid w:val="005C02FE"/>
    <w:rsid w:val="005C15E5"/>
    <w:rsid w:val="005C34E0"/>
    <w:rsid w:val="005C50AC"/>
    <w:rsid w:val="005C6406"/>
    <w:rsid w:val="005D69D1"/>
    <w:rsid w:val="005E210D"/>
    <w:rsid w:val="005E280A"/>
    <w:rsid w:val="005E289E"/>
    <w:rsid w:val="005F2425"/>
    <w:rsid w:val="005F5B32"/>
    <w:rsid w:val="005F5EC7"/>
    <w:rsid w:val="005F62B6"/>
    <w:rsid w:val="005F7207"/>
    <w:rsid w:val="005F7FCF"/>
    <w:rsid w:val="00600E5F"/>
    <w:rsid w:val="00600EF7"/>
    <w:rsid w:val="00606AB3"/>
    <w:rsid w:val="00607691"/>
    <w:rsid w:val="0061062C"/>
    <w:rsid w:val="00613183"/>
    <w:rsid w:val="006133F0"/>
    <w:rsid w:val="00616888"/>
    <w:rsid w:val="006176BE"/>
    <w:rsid w:val="006212CB"/>
    <w:rsid w:val="006279F9"/>
    <w:rsid w:val="006369EE"/>
    <w:rsid w:val="00636BE5"/>
    <w:rsid w:val="0064332E"/>
    <w:rsid w:val="00644BE1"/>
    <w:rsid w:val="00646970"/>
    <w:rsid w:val="0064700E"/>
    <w:rsid w:val="00650183"/>
    <w:rsid w:val="00650677"/>
    <w:rsid w:val="006532FD"/>
    <w:rsid w:val="006736A9"/>
    <w:rsid w:val="00673BC7"/>
    <w:rsid w:val="00674975"/>
    <w:rsid w:val="00675D39"/>
    <w:rsid w:val="00676CA2"/>
    <w:rsid w:val="0068057B"/>
    <w:rsid w:val="0068560B"/>
    <w:rsid w:val="0069290A"/>
    <w:rsid w:val="006A1277"/>
    <w:rsid w:val="006A2602"/>
    <w:rsid w:val="006A2D41"/>
    <w:rsid w:val="006A42C7"/>
    <w:rsid w:val="006A67E1"/>
    <w:rsid w:val="006B05DF"/>
    <w:rsid w:val="006B242C"/>
    <w:rsid w:val="006B2990"/>
    <w:rsid w:val="006B420D"/>
    <w:rsid w:val="006B548F"/>
    <w:rsid w:val="006C36FB"/>
    <w:rsid w:val="006C4DAC"/>
    <w:rsid w:val="006C6CC2"/>
    <w:rsid w:val="006C7D62"/>
    <w:rsid w:val="006D0B23"/>
    <w:rsid w:val="006D2ED6"/>
    <w:rsid w:val="006D36EF"/>
    <w:rsid w:val="006D5685"/>
    <w:rsid w:val="006E1987"/>
    <w:rsid w:val="006E1C88"/>
    <w:rsid w:val="006E23B2"/>
    <w:rsid w:val="006E43C0"/>
    <w:rsid w:val="006E5207"/>
    <w:rsid w:val="006E625A"/>
    <w:rsid w:val="006E75F6"/>
    <w:rsid w:val="006F5C70"/>
    <w:rsid w:val="006F6A20"/>
    <w:rsid w:val="007047B2"/>
    <w:rsid w:val="00704DE7"/>
    <w:rsid w:val="00706868"/>
    <w:rsid w:val="00706BDD"/>
    <w:rsid w:val="00706DEA"/>
    <w:rsid w:val="007078B8"/>
    <w:rsid w:val="00715E32"/>
    <w:rsid w:val="007162D1"/>
    <w:rsid w:val="00716463"/>
    <w:rsid w:val="0071706E"/>
    <w:rsid w:val="0072452C"/>
    <w:rsid w:val="00727292"/>
    <w:rsid w:val="007303F6"/>
    <w:rsid w:val="007422CE"/>
    <w:rsid w:val="00742F6A"/>
    <w:rsid w:val="007446E8"/>
    <w:rsid w:val="00751553"/>
    <w:rsid w:val="0075165E"/>
    <w:rsid w:val="0075167B"/>
    <w:rsid w:val="00754E10"/>
    <w:rsid w:val="00762A29"/>
    <w:rsid w:val="0076327D"/>
    <w:rsid w:val="00763F7D"/>
    <w:rsid w:val="00767745"/>
    <w:rsid w:val="007707FC"/>
    <w:rsid w:val="00770BE3"/>
    <w:rsid w:val="0077177A"/>
    <w:rsid w:val="007728A8"/>
    <w:rsid w:val="00777CD4"/>
    <w:rsid w:val="00785A76"/>
    <w:rsid w:val="00787852"/>
    <w:rsid w:val="007915BC"/>
    <w:rsid w:val="007967FA"/>
    <w:rsid w:val="00797E7A"/>
    <w:rsid w:val="007A0EA6"/>
    <w:rsid w:val="007A2D9E"/>
    <w:rsid w:val="007A72D9"/>
    <w:rsid w:val="007B0381"/>
    <w:rsid w:val="007B0F3D"/>
    <w:rsid w:val="007B148D"/>
    <w:rsid w:val="007B1529"/>
    <w:rsid w:val="007B18C8"/>
    <w:rsid w:val="007B28DE"/>
    <w:rsid w:val="007B47F2"/>
    <w:rsid w:val="007B7A5F"/>
    <w:rsid w:val="007C36BE"/>
    <w:rsid w:val="007C7F75"/>
    <w:rsid w:val="007D2B4A"/>
    <w:rsid w:val="007D4CA5"/>
    <w:rsid w:val="007D4FA0"/>
    <w:rsid w:val="007D53ED"/>
    <w:rsid w:val="007D590D"/>
    <w:rsid w:val="007D6001"/>
    <w:rsid w:val="007D7F94"/>
    <w:rsid w:val="007E1B76"/>
    <w:rsid w:val="007E219A"/>
    <w:rsid w:val="007E37BF"/>
    <w:rsid w:val="007E5DF5"/>
    <w:rsid w:val="007E6593"/>
    <w:rsid w:val="007F1101"/>
    <w:rsid w:val="007F2CB1"/>
    <w:rsid w:val="007F3066"/>
    <w:rsid w:val="007F3A52"/>
    <w:rsid w:val="007F769F"/>
    <w:rsid w:val="00803D20"/>
    <w:rsid w:val="008112A0"/>
    <w:rsid w:val="00811A5F"/>
    <w:rsid w:val="00811E5E"/>
    <w:rsid w:val="0081696D"/>
    <w:rsid w:val="00816E01"/>
    <w:rsid w:val="008173D0"/>
    <w:rsid w:val="008217D1"/>
    <w:rsid w:val="00823235"/>
    <w:rsid w:val="008249F1"/>
    <w:rsid w:val="00824AF2"/>
    <w:rsid w:val="00826686"/>
    <w:rsid w:val="00834780"/>
    <w:rsid w:val="00834B66"/>
    <w:rsid w:val="00835563"/>
    <w:rsid w:val="00836511"/>
    <w:rsid w:val="00836B02"/>
    <w:rsid w:val="00836EC6"/>
    <w:rsid w:val="0083741E"/>
    <w:rsid w:val="00837985"/>
    <w:rsid w:val="00840B3E"/>
    <w:rsid w:val="00840E3D"/>
    <w:rsid w:val="00841D8C"/>
    <w:rsid w:val="00842220"/>
    <w:rsid w:val="00843B5F"/>
    <w:rsid w:val="00844111"/>
    <w:rsid w:val="00844F74"/>
    <w:rsid w:val="00844FD7"/>
    <w:rsid w:val="00846382"/>
    <w:rsid w:val="00850953"/>
    <w:rsid w:val="00850F57"/>
    <w:rsid w:val="008536C2"/>
    <w:rsid w:val="008600C7"/>
    <w:rsid w:val="008617D0"/>
    <w:rsid w:val="00861A60"/>
    <w:rsid w:val="00862357"/>
    <w:rsid w:val="00862D02"/>
    <w:rsid w:val="008637B9"/>
    <w:rsid w:val="00864194"/>
    <w:rsid w:val="00865CD1"/>
    <w:rsid w:val="00870399"/>
    <w:rsid w:val="008711EC"/>
    <w:rsid w:val="008718FE"/>
    <w:rsid w:val="00872946"/>
    <w:rsid w:val="008744FD"/>
    <w:rsid w:val="00883928"/>
    <w:rsid w:val="00883DA6"/>
    <w:rsid w:val="00883DDE"/>
    <w:rsid w:val="00891D73"/>
    <w:rsid w:val="00892A44"/>
    <w:rsid w:val="00895612"/>
    <w:rsid w:val="00896C0A"/>
    <w:rsid w:val="008A1FCD"/>
    <w:rsid w:val="008A2DE8"/>
    <w:rsid w:val="008A312D"/>
    <w:rsid w:val="008A3E09"/>
    <w:rsid w:val="008A3E57"/>
    <w:rsid w:val="008A7475"/>
    <w:rsid w:val="008A77A7"/>
    <w:rsid w:val="008B090B"/>
    <w:rsid w:val="008B22B5"/>
    <w:rsid w:val="008B3F34"/>
    <w:rsid w:val="008C034C"/>
    <w:rsid w:val="008C18CB"/>
    <w:rsid w:val="008C3F2F"/>
    <w:rsid w:val="008C410D"/>
    <w:rsid w:val="008C468B"/>
    <w:rsid w:val="008C5228"/>
    <w:rsid w:val="008C56B9"/>
    <w:rsid w:val="008D05E0"/>
    <w:rsid w:val="008D2600"/>
    <w:rsid w:val="008D5D7C"/>
    <w:rsid w:val="008E021F"/>
    <w:rsid w:val="008E0AC0"/>
    <w:rsid w:val="008E11B5"/>
    <w:rsid w:val="008E221A"/>
    <w:rsid w:val="008E3FFE"/>
    <w:rsid w:val="008E60BE"/>
    <w:rsid w:val="008E6B74"/>
    <w:rsid w:val="008F0E0C"/>
    <w:rsid w:val="008F0FAF"/>
    <w:rsid w:val="008F46CD"/>
    <w:rsid w:val="008F4DF7"/>
    <w:rsid w:val="008F6480"/>
    <w:rsid w:val="008F74CC"/>
    <w:rsid w:val="008F7740"/>
    <w:rsid w:val="00900CA2"/>
    <w:rsid w:val="00903653"/>
    <w:rsid w:val="00910A52"/>
    <w:rsid w:val="00911479"/>
    <w:rsid w:val="0091484D"/>
    <w:rsid w:val="00923129"/>
    <w:rsid w:val="00925E71"/>
    <w:rsid w:val="00927176"/>
    <w:rsid w:val="0093329F"/>
    <w:rsid w:val="00937043"/>
    <w:rsid w:val="009445D3"/>
    <w:rsid w:val="00944870"/>
    <w:rsid w:val="00955A8A"/>
    <w:rsid w:val="009573C3"/>
    <w:rsid w:val="00961A3E"/>
    <w:rsid w:val="0096400D"/>
    <w:rsid w:val="00966600"/>
    <w:rsid w:val="009671D9"/>
    <w:rsid w:val="00971352"/>
    <w:rsid w:val="00975E5B"/>
    <w:rsid w:val="00977C8F"/>
    <w:rsid w:val="00977F94"/>
    <w:rsid w:val="00980F76"/>
    <w:rsid w:val="009863E9"/>
    <w:rsid w:val="00987CDC"/>
    <w:rsid w:val="00992E20"/>
    <w:rsid w:val="009936FC"/>
    <w:rsid w:val="00993925"/>
    <w:rsid w:val="00993977"/>
    <w:rsid w:val="009966E1"/>
    <w:rsid w:val="009A05D1"/>
    <w:rsid w:val="009A09EF"/>
    <w:rsid w:val="009A28AC"/>
    <w:rsid w:val="009A3A5B"/>
    <w:rsid w:val="009A3D69"/>
    <w:rsid w:val="009A3F2A"/>
    <w:rsid w:val="009A48B4"/>
    <w:rsid w:val="009A5CC8"/>
    <w:rsid w:val="009B2AAC"/>
    <w:rsid w:val="009B3521"/>
    <w:rsid w:val="009B541C"/>
    <w:rsid w:val="009B70E7"/>
    <w:rsid w:val="009C08AC"/>
    <w:rsid w:val="009C327F"/>
    <w:rsid w:val="009C4460"/>
    <w:rsid w:val="009D7192"/>
    <w:rsid w:val="009E0E38"/>
    <w:rsid w:val="009E1A35"/>
    <w:rsid w:val="009E5B9D"/>
    <w:rsid w:val="009F09AA"/>
    <w:rsid w:val="009F2C16"/>
    <w:rsid w:val="009F2C1B"/>
    <w:rsid w:val="009F335C"/>
    <w:rsid w:val="00A002B5"/>
    <w:rsid w:val="00A0260C"/>
    <w:rsid w:val="00A0278A"/>
    <w:rsid w:val="00A041B5"/>
    <w:rsid w:val="00A04F8C"/>
    <w:rsid w:val="00A05158"/>
    <w:rsid w:val="00A05228"/>
    <w:rsid w:val="00A13BF5"/>
    <w:rsid w:val="00A14837"/>
    <w:rsid w:val="00A225E3"/>
    <w:rsid w:val="00A23A26"/>
    <w:rsid w:val="00A24A8F"/>
    <w:rsid w:val="00A25708"/>
    <w:rsid w:val="00A25BF0"/>
    <w:rsid w:val="00A26BBD"/>
    <w:rsid w:val="00A3026E"/>
    <w:rsid w:val="00A35291"/>
    <w:rsid w:val="00A41F3D"/>
    <w:rsid w:val="00A452E0"/>
    <w:rsid w:val="00A4576A"/>
    <w:rsid w:val="00A45AD0"/>
    <w:rsid w:val="00A45EE9"/>
    <w:rsid w:val="00A471C0"/>
    <w:rsid w:val="00A4793C"/>
    <w:rsid w:val="00A53C14"/>
    <w:rsid w:val="00A5418E"/>
    <w:rsid w:val="00A61410"/>
    <w:rsid w:val="00A6198A"/>
    <w:rsid w:val="00A63A10"/>
    <w:rsid w:val="00A65108"/>
    <w:rsid w:val="00A66D60"/>
    <w:rsid w:val="00A7067F"/>
    <w:rsid w:val="00A707A7"/>
    <w:rsid w:val="00A718FD"/>
    <w:rsid w:val="00A72341"/>
    <w:rsid w:val="00A76D1C"/>
    <w:rsid w:val="00A776ED"/>
    <w:rsid w:val="00A80E50"/>
    <w:rsid w:val="00A8137F"/>
    <w:rsid w:val="00A83663"/>
    <w:rsid w:val="00A83B0F"/>
    <w:rsid w:val="00A84216"/>
    <w:rsid w:val="00A90BFA"/>
    <w:rsid w:val="00A92BF3"/>
    <w:rsid w:val="00A943C8"/>
    <w:rsid w:val="00A950A4"/>
    <w:rsid w:val="00A9520D"/>
    <w:rsid w:val="00A96A34"/>
    <w:rsid w:val="00A9747D"/>
    <w:rsid w:val="00AA00A6"/>
    <w:rsid w:val="00AA6BA8"/>
    <w:rsid w:val="00AA7F5A"/>
    <w:rsid w:val="00AB2340"/>
    <w:rsid w:val="00AB5FE4"/>
    <w:rsid w:val="00AB63FD"/>
    <w:rsid w:val="00AB659D"/>
    <w:rsid w:val="00AC02D7"/>
    <w:rsid w:val="00AC229F"/>
    <w:rsid w:val="00AD7671"/>
    <w:rsid w:val="00AE53E8"/>
    <w:rsid w:val="00AE6FE4"/>
    <w:rsid w:val="00AF2059"/>
    <w:rsid w:val="00AF3D84"/>
    <w:rsid w:val="00AF4161"/>
    <w:rsid w:val="00AF4506"/>
    <w:rsid w:val="00AF580B"/>
    <w:rsid w:val="00B007C8"/>
    <w:rsid w:val="00B14410"/>
    <w:rsid w:val="00B15E61"/>
    <w:rsid w:val="00B16412"/>
    <w:rsid w:val="00B22711"/>
    <w:rsid w:val="00B23002"/>
    <w:rsid w:val="00B24F35"/>
    <w:rsid w:val="00B24FC8"/>
    <w:rsid w:val="00B3284A"/>
    <w:rsid w:val="00B32C88"/>
    <w:rsid w:val="00B34747"/>
    <w:rsid w:val="00B42E49"/>
    <w:rsid w:val="00B468FF"/>
    <w:rsid w:val="00B50903"/>
    <w:rsid w:val="00B56671"/>
    <w:rsid w:val="00B624BD"/>
    <w:rsid w:val="00B62539"/>
    <w:rsid w:val="00B62FFE"/>
    <w:rsid w:val="00B65013"/>
    <w:rsid w:val="00B661F1"/>
    <w:rsid w:val="00B7123A"/>
    <w:rsid w:val="00B7435C"/>
    <w:rsid w:val="00B75895"/>
    <w:rsid w:val="00B76F38"/>
    <w:rsid w:val="00B8085D"/>
    <w:rsid w:val="00B81EFF"/>
    <w:rsid w:val="00B82316"/>
    <w:rsid w:val="00B836BB"/>
    <w:rsid w:val="00B84122"/>
    <w:rsid w:val="00B862B0"/>
    <w:rsid w:val="00B9066C"/>
    <w:rsid w:val="00B9352F"/>
    <w:rsid w:val="00BA2B7C"/>
    <w:rsid w:val="00BA3EBC"/>
    <w:rsid w:val="00BB142A"/>
    <w:rsid w:val="00BB34B9"/>
    <w:rsid w:val="00BB35C2"/>
    <w:rsid w:val="00BB3B9E"/>
    <w:rsid w:val="00BB5387"/>
    <w:rsid w:val="00BB553B"/>
    <w:rsid w:val="00BC035C"/>
    <w:rsid w:val="00BC28D7"/>
    <w:rsid w:val="00BC376C"/>
    <w:rsid w:val="00BC6321"/>
    <w:rsid w:val="00BC7817"/>
    <w:rsid w:val="00BC7F5A"/>
    <w:rsid w:val="00BD3819"/>
    <w:rsid w:val="00BD642D"/>
    <w:rsid w:val="00BD6988"/>
    <w:rsid w:val="00BD7E5B"/>
    <w:rsid w:val="00BE1904"/>
    <w:rsid w:val="00BE1A77"/>
    <w:rsid w:val="00BE2B23"/>
    <w:rsid w:val="00BE4742"/>
    <w:rsid w:val="00BE7383"/>
    <w:rsid w:val="00BE754D"/>
    <w:rsid w:val="00BF1A52"/>
    <w:rsid w:val="00BF1DB9"/>
    <w:rsid w:val="00BF6D10"/>
    <w:rsid w:val="00BF6E79"/>
    <w:rsid w:val="00C03F6C"/>
    <w:rsid w:val="00C12108"/>
    <w:rsid w:val="00C121D9"/>
    <w:rsid w:val="00C12784"/>
    <w:rsid w:val="00C13453"/>
    <w:rsid w:val="00C15DB2"/>
    <w:rsid w:val="00C20C16"/>
    <w:rsid w:val="00C220F9"/>
    <w:rsid w:val="00C2541C"/>
    <w:rsid w:val="00C26862"/>
    <w:rsid w:val="00C30458"/>
    <w:rsid w:val="00C31DA6"/>
    <w:rsid w:val="00C33260"/>
    <w:rsid w:val="00C33E41"/>
    <w:rsid w:val="00C34F4A"/>
    <w:rsid w:val="00C35D5E"/>
    <w:rsid w:val="00C42058"/>
    <w:rsid w:val="00C4598F"/>
    <w:rsid w:val="00C50360"/>
    <w:rsid w:val="00C504A2"/>
    <w:rsid w:val="00C50D6D"/>
    <w:rsid w:val="00C52381"/>
    <w:rsid w:val="00C54E12"/>
    <w:rsid w:val="00C55468"/>
    <w:rsid w:val="00C578DD"/>
    <w:rsid w:val="00C60C21"/>
    <w:rsid w:val="00C622C3"/>
    <w:rsid w:val="00C625B3"/>
    <w:rsid w:val="00C6392B"/>
    <w:rsid w:val="00C63BD5"/>
    <w:rsid w:val="00C7344E"/>
    <w:rsid w:val="00C74906"/>
    <w:rsid w:val="00C81B40"/>
    <w:rsid w:val="00C81FEA"/>
    <w:rsid w:val="00C83969"/>
    <w:rsid w:val="00C86C95"/>
    <w:rsid w:val="00C910F3"/>
    <w:rsid w:val="00C919EA"/>
    <w:rsid w:val="00CA05EB"/>
    <w:rsid w:val="00CA3515"/>
    <w:rsid w:val="00CA3A05"/>
    <w:rsid w:val="00CA74FA"/>
    <w:rsid w:val="00CB14E9"/>
    <w:rsid w:val="00CB47C6"/>
    <w:rsid w:val="00CB6D90"/>
    <w:rsid w:val="00CB72C3"/>
    <w:rsid w:val="00CC45E4"/>
    <w:rsid w:val="00CC6587"/>
    <w:rsid w:val="00CD019F"/>
    <w:rsid w:val="00CD27C5"/>
    <w:rsid w:val="00CD2F66"/>
    <w:rsid w:val="00CE20A2"/>
    <w:rsid w:val="00CE31BC"/>
    <w:rsid w:val="00CE3CE0"/>
    <w:rsid w:val="00CE4169"/>
    <w:rsid w:val="00CE7894"/>
    <w:rsid w:val="00CF06A1"/>
    <w:rsid w:val="00CF1467"/>
    <w:rsid w:val="00CF48D6"/>
    <w:rsid w:val="00CF57D6"/>
    <w:rsid w:val="00CF6C1B"/>
    <w:rsid w:val="00D019D5"/>
    <w:rsid w:val="00D02050"/>
    <w:rsid w:val="00D040FE"/>
    <w:rsid w:val="00D168FD"/>
    <w:rsid w:val="00D16F64"/>
    <w:rsid w:val="00D2065A"/>
    <w:rsid w:val="00D2133D"/>
    <w:rsid w:val="00D22CC5"/>
    <w:rsid w:val="00D2472C"/>
    <w:rsid w:val="00D279BA"/>
    <w:rsid w:val="00D404B5"/>
    <w:rsid w:val="00D42068"/>
    <w:rsid w:val="00D436A3"/>
    <w:rsid w:val="00D4406D"/>
    <w:rsid w:val="00D447CB"/>
    <w:rsid w:val="00D47D16"/>
    <w:rsid w:val="00D505F4"/>
    <w:rsid w:val="00D51CE1"/>
    <w:rsid w:val="00D562F2"/>
    <w:rsid w:val="00D61B93"/>
    <w:rsid w:val="00D67E4A"/>
    <w:rsid w:val="00D7181A"/>
    <w:rsid w:val="00D763FD"/>
    <w:rsid w:val="00D90AD1"/>
    <w:rsid w:val="00D941F7"/>
    <w:rsid w:val="00D94968"/>
    <w:rsid w:val="00D94FF9"/>
    <w:rsid w:val="00DA4DDF"/>
    <w:rsid w:val="00DA5F47"/>
    <w:rsid w:val="00DB0804"/>
    <w:rsid w:val="00DB19D1"/>
    <w:rsid w:val="00DB2D91"/>
    <w:rsid w:val="00DB2FC4"/>
    <w:rsid w:val="00DC382A"/>
    <w:rsid w:val="00DC7281"/>
    <w:rsid w:val="00DE1923"/>
    <w:rsid w:val="00DE2B33"/>
    <w:rsid w:val="00DE638B"/>
    <w:rsid w:val="00DE72EE"/>
    <w:rsid w:val="00DE762E"/>
    <w:rsid w:val="00DF0F66"/>
    <w:rsid w:val="00DF3538"/>
    <w:rsid w:val="00DF37E5"/>
    <w:rsid w:val="00E034FE"/>
    <w:rsid w:val="00E041E5"/>
    <w:rsid w:val="00E04888"/>
    <w:rsid w:val="00E0763B"/>
    <w:rsid w:val="00E10302"/>
    <w:rsid w:val="00E14980"/>
    <w:rsid w:val="00E16110"/>
    <w:rsid w:val="00E17EC5"/>
    <w:rsid w:val="00E26BFD"/>
    <w:rsid w:val="00E27E90"/>
    <w:rsid w:val="00E33D02"/>
    <w:rsid w:val="00E34F2C"/>
    <w:rsid w:val="00E35D79"/>
    <w:rsid w:val="00E36872"/>
    <w:rsid w:val="00E417F4"/>
    <w:rsid w:val="00E4641E"/>
    <w:rsid w:val="00E519AE"/>
    <w:rsid w:val="00E53027"/>
    <w:rsid w:val="00E5443F"/>
    <w:rsid w:val="00E57AF7"/>
    <w:rsid w:val="00E6241B"/>
    <w:rsid w:val="00E63DF5"/>
    <w:rsid w:val="00E64FCC"/>
    <w:rsid w:val="00E703B6"/>
    <w:rsid w:val="00E72200"/>
    <w:rsid w:val="00E72B1B"/>
    <w:rsid w:val="00E75D47"/>
    <w:rsid w:val="00E766F5"/>
    <w:rsid w:val="00E77054"/>
    <w:rsid w:val="00E77652"/>
    <w:rsid w:val="00E82948"/>
    <w:rsid w:val="00E90218"/>
    <w:rsid w:val="00E913BB"/>
    <w:rsid w:val="00E95F2E"/>
    <w:rsid w:val="00EA1508"/>
    <w:rsid w:val="00EA1541"/>
    <w:rsid w:val="00EA32E4"/>
    <w:rsid w:val="00EA45FC"/>
    <w:rsid w:val="00EA7E36"/>
    <w:rsid w:val="00EB0898"/>
    <w:rsid w:val="00EB106B"/>
    <w:rsid w:val="00EB627B"/>
    <w:rsid w:val="00EB6D94"/>
    <w:rsid w:val="00EC1DE2"/>
    <w:rsid w:val="00EC4183"/>
    <w:rsid w:val="00EC5ABF"/>
    <w:rsid w:val="00EC5B57"/>
    <w:rsid w:val="00EC6468"/>
    <w:rsid w:val="00EC6708"/>
    <w:rsid w:val="00ED207C"/>
    <w:rsid w:val="00ED325A"/>
    <w:rsid w:val="00ED3F41"/>
    <w:rsid w:val="00ED5615"/>
    <w:rsid w:val="00ED692E"/>
    <w:rsid w:val="00ED69AF"/>
    <w:rsid w:val="00EE1847"/>
    <w:rsid w:val="00EE240E"/>
    <w:rsid w:val="00EE688E"/>
    <w:rsid w:val="00EE6A6D"/>
    <w:rsid w:val="00EF03E2"/>
    <w:rsid w:val="00EF0BDF"/>
    <w:rsid w:val="00EF7F8B"/>
    <w:rsid w:val="00F01F26"/>
    <w:rsid w:val="00F03814"/>
    <w:rsid w:val="00F07A09"/>
    <w:rsid w:val="00F11723"/>
    <w:rsid w:val="00F1390C"/>
    <w:rsid w:val="00F14D76"/>
    <w:rsid w:val="00F14D98"/>
    <w:rsid w:val="00F15075"/>
    <w:rsid w:val="00F15344"/>
    <w:rsid w:val="00F158AE"/>
    <w:rsid w:val="00F20C5E"/>
    <w:rsid w:val="00F33058"/>
    <w:rsid w:val="00F36A1D"/>
    <w:rsid w:val="00F36C25"/>
    <w:rsid w:val="00F44278"/>
    <w:rsid w:val="00F51B65"/>
    <w:rsid w:val="00F52AAB"/>
    <w:rsid w:val="00F52EB6"/>
    <w:rsid w:val="00F55260"/>
    <w:rsid w:val="00F6316B"/>
    <w:rsid w:val="00F65AE0"/>
    <w:rsid w:val="00F71DE7"/>
    <w:rsid w:val="00F74E38"/>
    <w:rsid w:val="00F76D6F"/>
    <w:rsid w:val="00F778B0"/>
    <w:rsid w:val="00F83BC2"/>
    <w:rsid w:val="00F92EC1"/>
    <w:rsid w:val="00F94C47"/>
    <w:rsid w:val="00F95EFE"/>
    <w:rsid w:val="00FA0421"/>
    <w:rsid w:val="00FA2B9E"/>
    <w:rsid w:val="00FA2F65"/>
    <w:rsid w:val="00FA3389"/>
    <w:rsid w:val="00FA3476"/>
    <w:rsid w:val="00FA495F"/>
    <w:rsid w:val="00FA51D2"/>
    <w:rsid w:val="00FB0C10"/>
    <w:rsid w:val="00FB3C36"/>
    <w:rsid w:val="00FB4280"/>
    <w:rsid w:val="00FB7CCE"/>
    <w:rsid w:val="00FC01C8"/>
    <w:rsid w:val="00FC04D1"/>
    <w:rsid w:val="00FC0AED"/>
    <w:rsid w:val="00FC5027"/>
    <w:rsid w:val="00FC50C7"/>
    <w:rsid w:val="00FC511D"/>
    <w:rsid w:val="00FC68BC"/>
    <w:rsid w:val="00FD11D4"/>
    <w:rsid w:val="00FD225D"/>
    <w:rsid w:val="00FD2384"/>
    <w:rsid w:val="00FD3DBA"/>
    <w:rsid w:val="00FD44CE"/>
    <w:rsid w:val="00FD5C9F"/>
    <w:rsid w:val="00FE2FB9"/>
    <w:rsid w:val="00FE452E"/>
    <w:rsid w:val="00FF3E46"/>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6C4DAC"/>
    <w:rPr>
      <w:rFonts w:ascii="Arial" w:hAnsi="Arial"/>
      <w:b/>
      <w:color w:val="000000"/>
      <w:kern w:val="28"/>
      <w:sz w:val="25"/>
      <w:szCs w:val="26"/>
      <w:lang w:val="eu-ES" w:eastAsia="en-US"/>
    </w:rPr>
  </w:style>
  <w:style w:type="character" w:customStyle="1" w:styleId="atitulo2Car">
    <w:name w:val="atitulo2 Car"/>
    <w:link w:val="atitulo2"/>
    <w:locked/>
    <w:rsid w:val="006C4DAC"/>
    <w:rPr>
      <w:rFonts w:ascii="Arial" w:hAnsi="Arial"/>
      <w:bCs/>
      <w:iCs/>
      <w:color w:val="000000"/>
      <w:spacing w:val="10"/>
      <w:kern w:val="28"/>
      <w:sz w:val="25"/>
      <w:szCs w:val="26"/>
      <w:lang w:val="eu-ES" w:eastAsia="en-US"/>
    </w:rPr>
  </w:style>
  <w:style w:type="paragraph" w:styleId="Textonotapie">
    <w:name w:val="footnote text"/>
    <w:basedOn w:val="Normal"/>
    <w:link w:val="TextonotapieCar"/>
    <w:unhideWhenUsed/>
    <w:rsid w:val="0049412A"/>
    <w:pPr>
      <w:spacing w:after="0"/>
    </w:pPr>
  </w:style>
  <w:style w:type="character" w:customStyle="1" w:styleId="TextonotapieCar">
    <w:name w:val="Texto nota pie Car"/>
    <w:basedOn w:val="Fuentedeprrafopredeter"/>
    <w:link w:val="Textonotapie"/>
    <w:rsid w:val="0049412A"/>
    <w:rPr>
      <w:lang w:val="eu-ES" w:eastAsia="en-US"/>
    </w:rPr>
  </w:style>
  <w:style w:type="character" w:styleId="Refdenotaalpie">
    <w:name w:val="footnote reference"/>
    <w:basedOn w:val="Fuentedeprrafopredeter"/>
    <w:unhideWhenUsed/>
    <w:rsid w:val="0049412A"/>
    <w:rPr>
      <w:vertAlign w:val="superscript"/>
    </w:rPr>
  </w:style>
  <w:style w:type="paragraph" w:styleId="NormalWeb">
    <w:name w:val="Normal (Web)"/>
    <w:basedOn w:val="Normal"/>
    <w:uiPriority w:val="99"/>
    <w:unhideWhenUsed/>
    <w:rsid w:val="00676CA2"/>
    <w:pPr>
      <w:spacing w:before="100" w:beforeAutospacing="1" w:after="100" w:afterAutospacing="1"/>
      <w:ind w:firstLine="0"/>
      <w:jc w:val="left"/>
    </w:pPr>
    <w:rPr>
      <w:rFonts w:eastAsiaTheme="minorEastAsia"/>
      <w:sz w:val="24"/>
      <w:szCs w:val="24"/>
      <w:lang w:eastAsia="es-ES"/>
    </w:rPr>
  </w:style>
  <w:style w:type="paragraph" w:styleId="Prrafodelista">
    <w:name w:val="List Paragraph"/>
    <w:basedOn w:val="Normal"/>
    <w:uiPriority w:val="34"/>
    <w:qFormat/>
    <w:rsid w:val="00676CA2"/>
    <w:pPr>
      <w:ind w:left="720"/>
      <w:contextualSpacing/>
    </w:pPr>
  </w:style>
  <w:style w:type="character" w:customStyle="1" w:styleId="PiedepginaCar">
    <w:name w:val="Pie de página Car"/>
    <w:basedOn w:val="Fuentedeprrafopredeter"/>
    <w:link w:val="Piedepgina"/>
    <w:uiPriority w:val="99"/>
    <w:rsid w:val="00676CA2"/>
    <w:rPr>
      <w:spacing w:val="6"/>
      <w:lang w:val="eu-ES" w:eastAsia="en-US"/>
    </w:rPr>
  </w:style>
  <w:style w:type="numbering" w:customStyle="1" w:styleId="Sinlista1">
    <w:name w:val="Sin lista1"/>
    <w:next w:val="Sinlista"/>
    <w:uiPriority w:val="99"/>
    <w:semiHidden/>
    <w:unhideWhenUsed/>
    <w:rsid w:val="00676CA2"/>
  </w:style>
  <w:style w:type="character" w:customStyle="1" w:styleId="TextodegloboCar">
    <w:name w:val="Texto de globo Car"/>
    <w:basedOn w:val="Fuentedeprrafopredeter"/>
    <w:link w:val="Textodeglobo"/>
    <w:uiPriority w:val="99"/>
    <w:semiHidden/>
    <w:rsid w:val="00676CA2"/>
    <w:rPr>
      <w:rFonts w:ascii="Tahoma" w:hAnsi="Tahoma" w:cs="Tahoma"/>
      <w:sz w:val="16"/>
      <w:szCs w:val="16"/>
      <w:lang w:val="eu-ES" w:eastAsia="en-US"/>
    </w:rPr>
  </w:style>
  <w:style w:type="character" w:customStyle="1" w:styleId="atitulo3Car">
    <w:name w:val="atitulo3 Car"/>
    <w:link w:val="atitulo3"/>
    <w:rsid w:val="00676CA2"/>
    <w:rPr>
      <w:rFonts w:ascii="Arial" w:hAnsi="Arial"/>
      <w:i/>
      <w:iCs/>
      <w:color w:val="000000"/>
      <w:spacing w:val="10"/>
      <w:kern w:val="28"/>
      <w:sz w:val="25"/>
      <w:szCs w:val="26"/>
      <w:lang w:val="eu-ES" w:eastAsia="en-US"/>
    </w:rPr>
  </w:style>
  <w:style w:type="paragraph" w:customStyle="1" w:styleId="xl1">
    <w:name w:val="xl1"/>
    <w:basedOn w:val="Normal"/>
    <w:rsid w:val="00676CA2"/>
    <w:pPr>
      <w:spacing w:before="100" w:beforeAutospacing="1" w:after="100" w:afterAutospacing="1"/>
      <w:ind w:firstLine="0"/>
      <w:jc w:val="left"/>
    </w:pPr>
    <w:rPr>
      <w:sz w:val="24"/>
      <w:szCs w:val="24"/>
      <w:lang w:eastAsia="es-ES"/>
    </w:rPr>
  </w:style>
  <w:style w:type="paragraph" w:customStyle="1" w:styleId="xl2">
    <w:name w:val="xl2"/>
    <w:basedOn w:val="Normal"/>
    <w:rsid w:val="00676CA2"/>
    <w:pPr>
      <w:spacing w:before="100" w:beforeAutospacing="1" w:after="100" w:afterAutospacing="1"/>
      <w:ind w:firstLine="0"/>
      <w:jc w:val="left"/>
    </w:pPr>
    <w:rPr>
      <w:sz w:val="24"/>
      <w:szCs w:val="24"/>
      <w:lang w:eastAsia="es-ES"/>
    </w:rPr>
  </w:style>
  <w:style w:type="paragraph" w:styleId="Revisin">
    <w:name w:val="Revision"/>
    <w:hidden/>
    <w:uiPriority w:val="99"/>
    <w:semiHidden/>
    <w:rsid w:val="00676CA2"/>
    <w:rPr>
      <w:lang w:eastAsia="en-US"/>
    </w:rPr>
  </w:style>
  <w:style w:type="character" w:styleId="Textoennegrita">
    <w:name w:val="Strong"/>
    <w:basedOn w:val="Fuentedeprrafopredeter"/>
    <w:uiPriority w:val="22"/>
    <w:qFormat/>
    <w:rsid w:val="00676CA2"/>
    <w:rPr>
      <w:b/>
      <w:bCs/>
    </w:rPr>
  </w:style>
  <w:style w:type="paragraph" w:customStyle="1" w:styleId="Default">
    <w:name w:val="Default"/>
    <w:rsid w:val="00676CA2"/>
    <w:pPr>
      <w:autoSpaceDE w:val="0"/>
      <w:autoSpaceDN w:val="0"/>
      <w:adjustRightInd w:val="0"/>
    </w:pPr>
    <w:rPr>
      <w:rFonts w:ascii="Arial" w:hAnsi="Arial" w:cs="Arial"/>
      <w:color w:val="000000"/>
      <w:sz w:val="24"/>
      <w:szCs w:val="24"/>
    </w:rPr>
  </w:style>
  <w:style w:type="paragraph" w:styleId="TtulodeTDC">
    <w:name w:val="TOC Heading"/>
    <w:basedOn w:val="Ttulo1"/>
    <w:next w:val="Normal"/>
    <w:uiPriority w:val="39"/>
    <w:unhideWhenUsed/>
    <w:qFormat/>
    <w:rsid w:val="00D4406D"/>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6C4DAC"/>
    <w:rPr>
      <w:rFonts w:ascii="Arial" w:hAnsi="Arial"/>
      <w:b/>
      <w:color w:val="000000"/>
      <w:kern w:val="28"/>
      <w:sz w:val="25"/>
      <w:szCs w:val="26"/>
      <w:lang w:val="eu-ES" w:eastAsia="en-US"/>
    </w:rPr>
  </w:style>
  <w:style w:type="character" w:customStyle="1" w:styleId="atitulo2Car">
    <w:name w:val="atitulo2 Car"/>
    <w:link w:val="atitulo2"/>
    <w:locked/>
    <w:rsid w:val="006C4DAC"/>
    <w:rPr>
      <w:rFonts w:ascii="Arial" w:hAnsi="Arial"/>
      <w:bCs/>
      <w:iCs/>
      <w:color w:val="000000"/>
      <w:spacing w:val="10"/>
      <w:kern w:val="28"/>
      <w:sz w:val="25"/>
      <w:szCs w:val="26"/>
      <w:lang w:val="eu-ES" w:eastAsia="en-US"/>
    </w:rPr>
  </w:style>
  <w:style w:type="paragraph" w:styleId="Textonotapie">
    <w:name w:val="footnote text"/>
    <w:basedOn w:val="Normal"/>
    <w:link w:val="TextonotapieCar"/>
    <w:unhideWhenUsed/>
    <w:rsid w:val="0049412A"/>
    <w:pPr>
      <w:spacing w:after="0"/>
    </w:pPr>
  </w:style>
  <w:style w:type="character" w:customStyle="1" w:styleId="TextonotapieCar">
    <w:name w:val="Texto nota pie Car"/>
    <w:basedOn w:val="Fuentedeprrafopredeter"/>
    <w:link w:val="Textonotapie"/>
    <w:rsid w:val="0049412A"/>
    <w:rPr>
      <w:lang w:val="eu-ES" w:eastAsia="en-US"/>
    </w:rPr>
  </w:style>
  <w:style w:type="character" w:styleId="Refdenotaalpie">
    <w:name w:val="footnote reference"/>
    <w:basedOn w:val="Fuentedeprrafopredeter"/>
    <w:unhideWhenUsed/>
    <w:rsid w:val="0049412A"/>
    <w:rPr>
      <w:vertAlign w:val="superscript"/>
    </w:rPr>
  </w:style>
  <w:style w:type="paragraph" w:styleId="NormalWeb">
    <w:name w:val="Normal (Web)"/>
    <w:basedOn w:val="Normal"/>
    <w:uiPriority w:val="99"/>
    <w:unhideWhenUsed/>
    <w:rsid w:val="00676CA2"/>
    <w:pPr>
      <w:spacing w:before="100" w:beforeAutospacing="1" w:after="100" w:afterAutospacing="1"/>
      <w:ind w:firstLine="0"/>
      <w:jc w:val="left"/>
    </w:pPr>
    <w:rPr>
      <w:rFonts w:eastAsiaTheme="minorEastAsia"/>
      <w:sz w:val="24"/>
      <w:szCs w:val="24"/>
      <w:lang w:eastAsia="es-ES"/>
    </w:rPr>
  </w:style>
  <w:style w:type="paragraph" w:styleId="Prrafodelista">
    <w:name w:val="List Paragraph"/>
    <w:basedOn w:val="Normal"/>
    <w:uiPriority w:val="34"/>
    <w:qFormat/>
    <w:rsid w:val="00676CA2"/>
    <w:pPr>
      <w:ind w:left="720"/>
      <w:contextualSpacing/>
    </w:pPr>
  </w:style>
  <w:style w:type="character" w:customStyle="1" w:styleId="PiedepginaCar">
    <w:name w:val="Pie de página Car"/>
    <w:basedOn w:val="Fuentedeprrafopredeter"/>
    <w:link w:val="Piedepgina"/>
    <w:uiPriority w:val="99"/>
    <w:rsid w:val="00676CA2"/>
    <w:rPr>
      <w:spacing w:val="6"/>
      <w:lang w:val="eu-ES" w:eastAsia="en-US"/>
    </w:rPr>
  </w:style>
  <w:style w:type="numbering" w:customStyle="1" w:styleId="Sinlista1">
    <w:name w:val="Sin lista1"/>
    <w:next w:val="Sinlista"/>
    <w:uiPriority w:val="99"/>
    <w:semiHidden/>
    <w:unhideWhenUsed/>
    <w:rsid w:val="00676CA2"/>
  </w:style>
  <w:style w:type="character" w:customStyle="1" w:styleId="TextodegloboCar">
    <w:name w:val="Texto de globo Car"/>
    <w:basedOn w:val="Fuentedeprrafopredeter"/>
    <w:link w:val="Textodeglobo"/>
    <w:uiPriority w:val="99"/>
    <w:semiHidden/>
    <w:rsid w:val="00676CA2"/>
    <w:rPr>
      <w:rFonts w:ascii="Tahoma" w:hAnsi="Tahoma" w:cs="Tahoma"/>
      <w:sz w:val="16"/>
      <w:szCs w:val="16"/>
      <w:lang w:val="eu-ES" w:eastAsia="en-US"/>
    </w:rPr>
  </w:style>
  <w:style w:type="character" w:customStyle="1" w:styleId="atitulo3Car">
    <w:name w:val="atitulo3 Car"/>
    <w:link w:val="atitulo3"/>
    <w:rsid w:val="00676CA2"/>
    <w:rPr>
      <w:rFonts w:ascii="Arial" w:hAnsi="Arial"/>
      <w:i/>
      <w:iCs/>
      <w:color w:val="000000"/>
      <w:spacing w:val="10"/>
      <w:kern w:val="28"/>
      <w:sz w:val="25"/>
      <w:szCs w:val="26"/>
      <w:lang w:val="eu-ES" w:eastAsia="en-US"/>
    </w:rPr>
  </w:style>
  <w:style w:type="paragraph" w:customStyle="1" w:styleId="xl1">
    <w:name w:val="xl1"/>
    <w:basedOn w:val="Normal"/>
    <w:rsid w:val="00676CA2"/>
    <w:pPr>
      <w:spacing w:before="100" w:beforeAutospacing="1" w:after="100" w:afterAutospacing="1"/>
      <w:ind w:firstLine="0"/>
      <w:jc w:val="left"/>
    </w:pPr>
    <w:rPr>
      <w:sz w:val="24"/>
      <w:szCs w:val="24"/>
      <w:lang w:eastAsia="es-ES"/>
    </w:rPr>
  </w:style>
  <w:style w:type="paragraph" w:customStyle="1" w:styleId="xl2">
    <w:name w:val="xl2"/>
    <w:basedOn w:val="Normal"/>
    <w:rsid w:val="00676CA2"/>
    <w:pPr>
      <w:spacing w:before="100" w:beforeAutospacing="1" w:after="100" w:afterAutospacing="1"/>
      <w:ind w:firstLine="0"/>
      <w:jc w:val="left"/>
    </w:pPr>
    <w:rPr>
      <w:sz w:val="24"/>
      <w:szCs w:val="24"/>
      <w:lang w:eastAsia="es-ES"/>
    </w:rPr>
  </w:style>
  <w:style w:type="paragraph" w:styleId="Revisin">
    <w:name w:val="Revision"/>
    <w:hidden/>
    <w:uiPriority w:val="99"/>
    <w:semiHidden/>
    <w:rsid w:val="00676CA2"/>
    <w:rPr>
      <w:lang w:eastAsia="en-US"/>
    </w:rPr>
  </w:style>
  <w:style w:type="character" w:styleId="Textoennegrita">
    <w:name w:val="Strong"/>
    <w:basedOn w:val="Fuentedeprrafopredeter"/>
    <w:uiPriority w:val="22"/>
    <w:qFormat/>
    <w:rsid w:val="00676CA2"/>
    <w:rPr>
      <w:b/>
      <w:bCs/>
    </w:rPr>
  </w:style>
  <w:style w:type="paragraph" w:customStyle="1" w:styleId="Default">
    <w:name w:val="Default"/>
    <w:rsid w:val="00676CA2"/>
    <w:pPr>
      <w:autoSpaceDE w:val="0"/>
      <w:autoSpaceDN w:val="0"/>
      <w:adjustRightInd w:val="0"/>
    </w:pPr>
    <w:rPr>
      <w:rFonts w:ascii="Arial" w:hAnsi="Arial" w:cs="Arial"/>
      <w:color w:val="000000"/>
      <w:sz w:val="24"/>
      <w:szCs w:val="24"/>
    </w:rPr>
  </w:style>
  <w:style w:type="paragraph" w:styleId="TtulodeTDC">
    <w:name w:val="TOC Heading"/>
    <w:basedOn w:val="Ttulo1"/>
    <w:next w:val="Normal"/>
    <w:uiPriority w:val="39"/>
    <w:unhideWhenUsed/>
    <w:qFormat/>
    <w:rsid w:val="00D4406D"/>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7724">
      <w:bodyDiv w:val="1"/>
      <w:marLeft w:val="0"/>
      <w:marRight w:val="0"/>
      <w:marTop w:val="0"/>
      <w:marBottom w:val="0"/>
      <w:divBdr>
        <w:top w:val="none" w:sz="0" w:space="0" w:color="auto"/>
        <w:left w:val="none" w:sz="0" w:space="0" w:color="auto"/>
        <w:bottom w:val="none" w:sz="0" w:space="0" w:color="auto"/>
        <w:right w:val="none" w:sz="0" w:space="0" w:color="auto"/>
      </w:divBdr>
    </w:div>
    <w:div w:id="163520011">
      <w:bodyDiv w:val="1"/>
      <w:marLeft w:val="0"/>
      <w:marRight w:val="0"/>
      <w:marTop w:val="0"/>
      <w:marBottom w:val="0"/>
      <w:divBdr>
        <w:top w:val="none" w:sz="0" w:space="0" w:color="auto"/>
        <w:left w:val="none" w:sz="0" w:space="0" w:color="auto"/>
        <w:bottom w:val="none" w:sz="0" w:space="0" w:color="auto"/>
        <w:right w:val="none" w:sz="0" w:space="0" w:color="auto"/>
      </w:divBdr>
    </w:div>
    <w:div w:id="439182895">
      <w:bodyDiv w:val="1"/>
      <w:marLeft w:val="0"/>
      <w:marRight w:val="0"/>
      <w:marTop w:val="0"/>
      <w:marBottom w:val="0"/>
      <w:divBdr>
        <w:top w:val="none" w:sz="0" w:space="0" w:color="auto"/>
        <w:left w:val="none" w:sz="0" w:space="0" w:color="auto"/>
        <w:bottom w:val="none" w:sz="0" w:space="0" w:color="auto"/>
        <w:right w:val="none" w:sz="0" w:space="0" w:color="auto"/>
      </w:divBdr>
    </w:div>
    <w:div w:id="494564898">
      <w:bodyDiv w:val="1"/>
      <w:marLeft w:val="0"/>
      <w:marRight w:val="0"/>
      <w:marTop w:val="0"/>
      <w:marBottom w:val="0"/>
      <w:divBdr>
        <w:top w:val="none" w:sz="0" w:space="0" w:color="auto"/>
        <w:left w:val="none" w:sz="0" w:space="0" w:color="auto"/>
        <w:bottom w:val="none" w:sz="0" w:space="0" w:color="auto"/>
        <w:right w:val="none" w:sz="0" w:space="0" w:color="auto"/>
      </w:divBdr>
    </w:div>
    <w:div w:id="883909183">
      <w:bodyDiv w:val="1"/>
      <w:marLeft w:val="0"/>
      <w:marRight w:val="0"/>
      <w:marTop w:val="0"/>
      <w:marBottom w:val="0"/>
      <w:divBdr>
        <w:top w:val="none" w:sz="0" w:space="0" w:color="auto"/>
        <w:left w:val="none" w:sz="0" w:space="0" w:color="auto"/>
        <w:bottom w:val="none" w:sz="0" w:space="0" w:color="auto"/>
        <w:right w:val="none" w:sz="0" w:space="0" w:color="auto"/>
      </w:divBdr>
    </w:div>
    <w:div w:id="14824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C:\Users\D633935\appdata\local\temp\tm_temp\TM_3\A.3.6%20-%20PAGOS%20AUDENASA%202020%20-%2006-05-2021.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C:\Users\D633935\appdata\local\temp\tm_temp\TM_2\A.3.6%20-%20PAGOS%20AUDENASA%202020%20-%2006-05-2021.xlsx" TargetMode="External"/><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C:\Users\D633935\appdata\local\temp\tm_temp\TM_3\A.3.6%20-%20PAGOS%20AUDENASA%202020%20-%2006-05-2021.xlsx" TargetMode="External"/><Relationship Id="rId1" Type="http://schemas.openxmlformats.org/officeDocument/2006/relationships/themeOverride" Target="../theme/themeOverride3.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oleObject" Target="file:///C:\Users\D633935\appdata\local\temp\tm_temp\TM_3\A.3.6%20-%20PAGOS%20AUDENASA%202020%20-%2006-05-2021.xlsx" TargetMode="External"/><Relationship Id="rId1" Type="http://schemas.openxmlformats.org/officeDocument/2006/relationships/themeOverride" Target="../theme/themeOverride4.xml"/><Relationship Id="rId4"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Diru-bilketa teorikoa</a:t>
            </a:r>
          </a:p>
        </c:rich>
      </c:tx>
      <c:overlay val="0"/>
      <c:spPr>
        <a:noFill/>
        <a:ln>
          <a:noFill/>
        </a:ln>
        <a:effectLst/>
      </c:spPr>
    </c:title>
    <c:autoTitleDeleted val="0"/>
    <c:plotArea>
      <c:layout/>
      <c:lineChart>
        <c:grouping val="standard"/>
        <c:varyColors val="0"/>
        <c:ser>
          <c:idx val="0"/>
          <c:order val="0"/>
          <c:tx>
            <c:strRef>
              <c:f>'RT y EBITDA 14 y 20'!$B$2</c:f>
              <c:strCache>
                <c:ptCount val="1"/>
                <c:pt idx="0">
                  <c:v>Recaudación teórica PEF 2014</c:v>
                </c:pt>
              </c:strCache>
            </c:strRef>
          </c:tx>
          <c:spPr>
            <a:ln w="28575" cap="rnd">
              <a:solidFill>
                <a:srgbClr val="00B05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20'!$B$3:$B$18</c:f>
              <c:numCache>
                <c:formatCode>#,##0</c:formatCode>
                <c:ptCount val="16"/>
                <c:pt idx="0">
                  <c:v>36129</c:v>
                </c:pt>
                <c:pt idx="1">
                  <c:v>36318</c:v>
                </c:pt>
                <c:pt idx="2">
                  <c:v>38051</c:v>
                </c:pt>
                <c:pt idx="3">
                  <c:v>40089</c:v>
                </c:pt>
                <c:pt idx="4">
                  <c:v>42044</c:v>
                </c:pt>
                <c:pt idx="5">
                  <c:v>44257</c:v>
                </c:pt>
                <c:pt idx="6">
                  <c:v>46586</c:v>
                </c:pt>
                <c:pt idx="7">
                  <c:v>49172</c:v>
                </c:pt>
                <c:pt idx="8">
                  <c:v>51618</c:v>
                </c:pt>
                <c:pt idx="9">
                  <c:v>54335</c:v>
                </c:pt>
                <c:pt idx="10">
                  <c:v>57194</c:v>
                </c:pt>
                <c:pt idx="11">
                  <c:v>60369</c:v>
                </c:pt>
                <c:pt idx="12">
                  <c:v>63372</c:v>
                </c:pt>
                <c:pt idx="13">
                  <c:v>66708</c:v>
                </c:pt>
                <c:pt idx="14">
                  <c:v>70218</c:v>
                </c:pt>
                <c:pt idx="15">
                  <c:v>74116</c:v>
                </c:pt>
              </c:numCache>
            </c:numRef>
          </c:val>
          <c:smooth val="0"/>
          <c:extLst xmlns:c16r2="http://schemas.microsoft.com/office/drawing/2015/06/chart">
            <c:ext xmlns:c16="http://schemas.microsoft.com/office/drawing/2014/chart" uri="{C3380CC4-5D6E-409C-BE32-E72D297353CC}">
              <c16:uniqueId val="{00000000-F599-40D0-9373-41B5C2D7FBF6}"/>
            </c:ext>
          </c:extLst>
        </c:ser>
        <c:ser>
          <c:idx val="1"/>
          <c:order val="1"/>
          <c:tx>
            <c:strRef>
              <c:f>'RT y EBITDA 14 y 20'!$I$2</c:f>
              <c:strCache>
                <c:ptCount val="1"/>
                <c:pt idx="0">
                  <c:v>Recaudación teórica PEF actualizado 2020 (C=1)</c:v>
                </c:pt>
              </c:strCache>
            </c:strRef>
          </c:tx>
          <c:spPr>
            <a:ln w="28575" cap="rnd">
              <a:solidFill>
                <a:srgbClr val="0070C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20'!$I$3:$I$18</c:f>
              <c:numCache>
                <c:formatCode>#,##0</c:formatCode>
                <c:ptCount val="16"/>
                <c:pt idx="0">
                  <c:v>36129</c:v>
                </c:pt>
                <c:pt idx="1">
                  <c:v>37400</c:v>
                </c:pt>
                <c:pt idx="2">
                  <c:v>39436</c:v>
                </c:pt>
                <c:pt idx="3">
                  <c:v>41692</c:v>
                </c:pt>
                <c:pt idx="4">
                  <c:v>43927</c:v>
                </c:pt>
                <c:pt idx="5">
                  <c:v>45889</c:v>
                </c:pt>
                <c:pt idx="6">
                  <c:v>48664</c:v>
                </c:pt>
                <c:pt idx="7">
                  <c:v>38044</c:v>
                </c:pt>
                <c:pt idx="8">
                  <c:v>43554</c:v>
                </c:pt>
                <c:pt idx="9">
                  <c:v>46914</c:v>
                </c:pt>
                <c:pt idx="10">
                  <c:v>49777</c:v>
                </c:pt>
                <c:pt idx="11">
                  <c:v>52540</c:v>
                </c:pt>
                <c:pt idx="12">
                  <c:v>55154</c:v>
                </c:pt>
                <c:pt idx="13">
                  <c:v>58057</c:v>
                </c:pt>
                <c:pt idx="14">
                  <c:v>61112</c:v>
                </c:pt>
                <c:pt idx="15">
                  <c:v>64504</c:v>
                </c:pt>
              </c:numCache>
            </c:numRef>
          </c:val>
          <c:smooth val="0"/>
          <c:extLst xmlns:c16r2="http://schemas.microsoft.com/office/drawing/2015/06/chart">
            <c:ext xmlns:c16="http://schemas.microsoft.com/office/drawing/2014/chart" uri="{C3380CC4-5D6E-409C-BE32-E72D297353CC}">
              <c16:uniqueId val="{00000001-F599-40D0-9373-41B5C2D7FBF6}"/>
            </c:ext>
          </c:extLst>
        </c:ser>
        <c:ser>
          <c:idx val="2"/>
          <c:order val="2"/>
          <c:tx>
            <c:strRef>
              <c:f>'RT y EBITDA 14 y 20'!$L$2</c:f>
              <c:strCache>
                <c:ptCount val="1"/>
                <c:pt idx="0">
                  <c:v>Recaudación teórica PEF actualizado 2020 (C=1,65)</c:v>
                </c:pt>
              </c:strCache>
            </c:strRef>
          </c:tx>
          <c:spPr>
            <a:ln w="28575" cap="rnd">
              <a:solidFill>
                <a:srgbClr val="FF000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20'!$L$3:$L$18</c:f>
              <c:numCache>
                <c:formatCode>#,##0</c:formatCode>
                <c:ptCount val="16"/>
                <c:pt idx="0">
                  <c:v>36129</c:v>
                </c:pt>
                <c:pt idx="1">
                  <c:v>37400</c:v>
                </c:pt>
                <c:pt idx="2">
                  <c:v>39436</c:v>
                </c:pt>
                <c:pt idx="3">
                  <c:v>41692</c:v>
                </c:pt>
                <c:pt idx="4">
                  <c:v>43927</c:v>
                </c:pt>
                <c:pt idx="5">
                  <c:v>45889</c:v>
                </c:pt>
                <c:pt idx="6">
                  <c:v>48664</c:v>
                </c:pt>
                <c:pt idx="7">
                  <c:v>31024.729170000002</c:v>
                </c:pt>
                <c:pt idx="8">
                  <c:v>35517.798729999995</c:v>
                </c:pt>
                <c:pt idx="9">
                  <c:v>38257.631070000003</c:v>
                </c:pt>
                <c:pt idx="10">
                  <c:v>40592.637759999998</c:v>
                </c:pt>
                <c:pt idx="11">
                  <c:v>42845.972000000002</c:v>
                </c:pt>
                <c:pt idx="12">
                  <c:v>44977.60067</c:v>
                </c:pt>
                <c:pt idx="13">
                  <c:v>47344.636859999999</c:v>
                </c:pt>
                <c:pt idx="14">
                  <c:v>49836.243060000001</c:v>
                </c:pt>
                <c:pt idx="15">
                  <c:v>52602.698240000005</c:v>
                </c:pt>
              </c:numCache>
            </c:numRef>
          </c:val>
          <c:smooth val="0"/>
          <c:extLst xmlns:c16r2="http://schemas.microsoft.com/office/drawing/2015/06/chart">
            <c:ext xmlns:c16="http://schemas.microsoft.com/office/drawing/2014/chart" uri="{C3380CC4-5D6E-409C-BE32-E72D297353CC}">
              <c16:uniqueId val="{00000002-F599-40D0-9373-41B5C2D7FBF6}"/>
            </c:ext>
          </c:extLst>
        </c:ser>
        <c:dLbls>
          <c:showLegendKey val="0"/>
          <c:showVal val="0"/>
          <c:showCatName val="0"/>
          <c:showSerName val="0"/>
          <c:showPercent val="0"/>
          <c:showBubbleSize val="0"/>
        </c:dLbls>
        <c:marker val="1"/>
        <c:smooth val="0"/>
        <c:axId val="141413760"/>
        <c:axId val="120573952"/>
      </c:lineChart>
      <c:catAx>
        <c:axId val="14141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0573952"/>
        <c:crosses val="autoZero"/>
        <c:auto val="1"/>
        <c:lblAlgn val="ctr"/>
        <c:lblOffset val="100"/>
        <c:noMultiLvlLbl val="0"/>
      </c:catAx>
      <c:valAx>
        <c:axId val="12057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141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Konpentsazioa </a:t>
            </a:r>
          </a:p>
        </c:rich>
      </c:tx>
      <c:overlay val="0"/>
      <c:spPr>
        <a:solidFill>
          <a:sysClr val="window" lastClr="FFFFFF"/>
        </a:solidFill>
        <a:ln>
          <a:noFill/>
        </a:ln>
        <a:effectLst/>
      </c:spPr>
    </c:title>
    <c:autoTitleDeleted val="0"/>
    <c:plotArea>
      <c:layout/>
      <c:lineChart>
        <c:grouping val="standard"/>
        <c:varyColors val="0"/>
        <c:ser>
          <c:idx val="2"/>
          <c:order val="0"/>
          <c:tx>
            <c:strRef>
              <c:f>'Gráficos corregido'!$M$5</c:f>
              <c:strCache>
                <c:ptCount val="1"/>
                <c:pt idx="0">
                  <c:v>AÑOS</c:v>
                </c:pt>
              </c:strCache>
            </c:strRef>
          </c:tx>
          <c:spPr>
            <a:ln w="28575" cap="rnd">
              <a:solidFill>
                <a:schemeClr val="accent3"/>
              </a:solidFill>
              <a:round/>
            </a:ln>
            <a:effectLst/>
          </c:spPr>
          <c:marker>
            <c:symbol val="none"/>
          </c:marker>
          <c:cat>
            <c:numRef>
              <c:f>'Gráficos corregido'!$M$6:$M$22</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'Gráficos corregido'!$M$6:$M$21</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val>
          <c:smooth val="0"/>
          <c:extLst xmlns:c16r2="http://schemas.microsoft.com/office/drawing/2015/06/chart">
            <c:ext xmlns:c16="http://schemas.microsoft.com/office/drawing/2014/chart" uri="{C3380CC4-5D6E-409C-BE32-E72D297353CC}">
              <c16:uniqueId val="{00000000-BA5A-4D14-8471-2A7888F19814}"/>
            </c:ext>
          </c:extLst>
        </c:ser>
        <c:ser>
          <c:idx val="1"/>
          <c:order val="1"/>
          <c:tx>
            <c:strRef>
              <c:f>'Gráficos corregido'!$P$5</c:f>
              <c:strCache>
                <c:ptCount val="1"/>
                <c:pt idx="0">
                  <c:v>Compensación PEF 2014</c:v>
                </c:pt>
              </c:strCache>
            </c:strRef>
          </c:tx>
          <c:spPr>
            <a:ln w="28575" cap="rnd">
              <a:solidFill>
                <a:srgbClr val="00B050"/>
              </a:solidFill>
              <a:round/>
            </a:ln>
            <a:effectLst/>
          </c:spPr>
          <c:marker>
            <c:symbol val="none"/>
          </c:marker>
          <c:cat>
            <c:numRef>
              <c:f>'Gráficos corregido'!$M$6:$M$22</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'Gráficos corregido'!$P$6:$P$21</c:f>
              <c:numCache>
                <c:formatCode>#,##0</c:formatCode>
                <c:ptCount val="16"/>
                <c:pt idx="0">
                  <c:v>9465000</c:v>
                </c:pt>
                <c:pt idx="1">
                  <c:v>9368000</c:v>
                </c:pt>
                <c:pt idx="2">
                  <c:v>9858000</c:v>
                </c:pt>
                <c:pt idx="3">
                  <c:v>10468000</c:v>
                </c:pt>
                <c:pt idx="4">
                  <c:v>10893000</c:v>
                </c:pt>
                <c:pt idx="5">
                  <c:v>11467000</c:v>
                </c:pt>
                <c:pt idx="6">
                  <c:v>12070000</c:v>
                </c:pt>
                <c:pt idx="7">
                  <c:v>12840000</c:v>
                </c:pt>
                <c:pt idx="8">
                  <c:v>13373000</c:v>
                </c:pt>
                <c:pt idx="9">
                  <c:v>14078000</c:v>
                </c:pt>
                <c:pt idx="10">
                  <c:v>14818000</c:v>
                </c:pt>
                <c:pt idx="11">
                  <c:v>15763000</c:v>
                </c:pt>
                <c:pt idx="12">
                  <c:v>16419000</c:v>
                </c:pt>
                <c:pt idx="13">
                  <c:v>17283000</c:v>
                </c:pt>
                <c:pt idx="14">
                  <c:v>18192000</c:v>
                </c:pt>
                <c:pt idx="15">
                  <c:v>19353000</c:v>
                </c:pt>
              </c:numCache>
            </c:numRef>
          </c:val>
          <c:smooth val="0"/>
          <c:extLst xmlns:c16r2="http://schemas.microsoft.com/office/drawing/2015/06/chart">
            <c:ext xmlns:c16="http://schemas.microsoft.com/office/drawing/2014/chart" uri="{C3380CC4-5D6E-409C-BE32-E72D297353CC}">
              <c16:uniqueId val="{00000001-BA5A-4D14-8471-2A7888F19814}"/>
            </c:ext>
          </c:extLst>
        </c:ser>
        <c:ser>
          <c:idx val="3"/>
          <c:order val="2"/>
          <c:tx>
            <c:strRef>
              <c:f>'Gráficos corregido'!$R$5</c:f>
              <c:strCache>
                <c:ptCount val="1"/>
                <c:pt idx="0">
                  <c:v>Compensación PEF actualizado 2020 (C=1)</c:v>
                </c:pt>
              </c:strCache>
            </c:strRef>
          </c:tx>
          <c:spPr>
            <a:ln w="28575" cap="rnd">
              <a:solidFill>
                <a:srgbClr val="0070C0"/>
              </a:solidFill>
              <a:round/>
            </a:ln>
            <a:effectLst/>
          </c:spPr>
          <c:marker>
            <c:symbol val="none"/>
          </c:marker>
          <c:cat>
            <c:numRef>
              <c:f>'Gráficos corregido'!$M$6:$M$22</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'Gráficos corregido'!$R$6:$R$21</c:f>
              <c:numCache>
                <c:formatCode>#,##0</c:formatCode>
                <c:ptCount val="16"/>
                <c:pt idx="0">
                  <c:v>9465000</c:v>
                </c:pt>
                <c:pt idx="1">
                  <c:v>10224000</c:v>
                </c:pt>
                <c:pt idx="2">
                  <c:v>10711000</c:v>
                </c:pt>
                <c:pt idx="3">
                  <c:v>11799000</c:v>
                </c:pt>
                <c:pt idx="4">
                  <c:v>12732000</c:v>
                </c:pt>
                <c:pt idx="5">
                  <c:v>14060000</c:v>
                </c:pt>
                <c:pt idx="6">
                  <c:v>15787000</c:v>
                </c:pt>
                <c:pt idx="7">
                  <c:v>14532000</c:v>
                </c:pt>
                <c:pt idx="8">
                  <c:v>13056000</c:v>
                </c:pt>
                <c:pt idx="9">
                  <c:v>14064000</c:v>
                </c:pt>
                <c:pt idx="10">
                  <c:v>14922000</c:v>
                </c:pt>
                <c:pt idx="11">
                  <c:v>15851000</c:v>
                </c:pt>
                <c:pt idx="12">
                  <c:v>16534000</c:v>
                </c:pt>
                <c:pt idx="13">
                  <c:v>17404000</c:v>
                </c:pt>
                <c:pt idx="14">
                  <c:v>18320000</c:v>
                </c:pt>
                <c:pt idx="15">
                  <c:v>19460000</c:v>
                </c:pt>
              </c:numCache>
            </c:numRef>
          </c:val>
          <c:smooth val="0"/>
          <c:extLst xmlns:c16r2="http://schemas.microsoft.com/office/drawing/2015/06/chart">
            <c:ext xmlns:c16="http://schemas.microsoft.com/office/drawing/2014/chart" uri="{C3380CC4-5D6E-409C-BE32-E72D297353CC}">
              <c16:uniqueId val="{00000002-BA5A-4D14-8471-2A7888F19814}"/>
            </c:ext>
          </c:extLst>
        </c:ser>
        <c:ser>
          <c:idx val="4"/>
          <c:order val="3"/>
          <c:tx>
            <c:strRef>
              <c:f>'Gráficos corregido'!$S$5</c:f>
              <c:strCache>
                <c:ptCount val="1"/>
                <c:pt idx="0">
                  <c:v>Compensación PEF actualizado 2020 (C=1,65)</c:v>
                </c:pt>
              </c:strCache>
            </c:strRef>
          </c:tx>
          <c:spPr>
            <a:ln w="28575" cap="rnd">
              <a:solidFill>
                <a:srgbClr val="FF0000"/>
              </a:solidFill>
              <a:round/>
            </a:ln>
            <a:effectLst/>
          </c:spPr>
          <c:marker>
            <c:symbol val="none"/>
          </c:marker>
          <c:cat>
            <c:numRef>
              <c:f>'Gráficos corregido'!$M$6:$M$22</c:f>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f>'Gráficos corregido'!$S$6:$S$21</c:f>
              <c:numCache>
                <c:formatCode>#,##0</c:formatCode>
                <c:ptCount val="16"/>
                <c:pt idx="0">
                  <c:v>9464762.2199999988</c:v>
                </c:pt>
                <c:pt idx="1">
                  <c:v>10224162.509999998</c:v>
                </c:pt>
                <c:pt idx="2">
                  <c:v>10710609.660000004</c:v>
                </c:pt>
                <c:pt idx="3">
                  <c:v>11798569.030000005</c:v>
                </c:pt>
                <c:pt idx="4">
                  <c:v>12731768.770000007</c:v>
                </c:pt>
                <c:pt idx="5">
                  <c:v>14059601.390000001</c:v>
                </c:pt>
                <c:pt idx="6">
                  <c:v>15787118.43</c:v>
                </c:pt>
                <c:pt idx="7">
                  <c:v>7512719.4500000067</c:v>
                </c:pt>
                <c:pt idx="8" formatCode="#,##0.00">
                  <c:v>5019798.7299999967</c:v>
                </c:pt>
                <c:pt idx="9" formatCode="#,##0.00">
                  <c:v>5407631.0700000003</c:v>
                </c:pt>
                <c:pt idx="10" formatCode="#,##0.00">
                  <c:v>5737637.7599999979</c:v>
                </c:pt>
                <c:pt idx="11" formatCode="#,##0.00">
                  <c:v>6156972</c:v>
                </c:pt>
                <c:pt idx="12" formatCode="#,##0.00">
                  <c:v>6357600.6700000018</c:v>
                </c:pt>
                <c:pt idx="13" formatCode="#,##0.00">
                  <c:v>6691636.8599999994</c:v>
                </c:pt>
                <c:pt idx="14" formatCode="#,##0.00">
                  <c:v>7044243.0600000024</c:v>
                </c:pt>
                <c:pt idx="15" formatCode="#,##0.00">
                  <c:v>7558698.2400000021</c:v>
                </c:pt>
              </c:numCache>
            </c:numRef>
          </c:val>
          <c:smooth val="0"/>
          <c:extLst xmlns:c16r2="http://schemas.microsoft.com/office/drawing/2015/06/chart">
            <c:ext xmlns:c16="http://schemas.microsoft.com/office/drawing/2014/chart" uri="{C3380CC4-5D6E-409C-BE32-E72D297353CC}">
              <c16:uniqueId val="{00000003-BA5A-4D14-8471-2A7888F19814}"/>
            </c:ext>
          </c:extLst>
        </c:ser>
        <c:dLbls>
          <c:showLegendKey val="0"/>
          <c:showVal val="0"/>
          <c:showCatName val="0"/>
          <c:showSerName val="0"/>
          <c:showPercent val="0"/>
          <c:showBubbleSize val="0"/>
        </c:dLbls>
        <c:marker val="1"/>
        <c:smooth val="0"/>
        <c:axId val="114835456"/>
        <c:axId val="114836992"/>
        <c:extLst xmlns:c16r2="http://schemas.microsoft.com/office/drawing/2015/06/chart">
          <c:ext xmlns:c15="http://schemas.microsoft.com/office/drawing/2012/chart" uri="{02D57815-91ED-43cb-92C2-25804820EDAC}">
            <c15:filteredLineSeries>
              <c15:ser>
                <c:idx val="0"/>
                <c:order val="1"/>
                <c:tx>
                  <c:strRef>
                    <c:extLst>
                      <c:ext uri="{02D57815-91ED-43cb-92C2-25804820EDAC}">
                        <c15:formulaRef>
                          <c15:sqref>'Gráficos corregido'!$N$5</c15:sqref>
                        </c15:formulaRef>
                      </c:ext>
                    </c:extLst>
                    <c:strCache>
                      <c:ptCount val="1"/>
                      <c:pt idx="0">
                        <c:v>Compensación GN (real hasta 2020 y resto calculada)</c:v>
                      </c:pt>
                    </c:strCache>
                  </c:strRef>
                </c:tx>
                <c:spPr>
                  <a:ln w="28575" cap="rnd">
                    <a:solidFill>
                      <a:schemeClr val="accent1"/>
                    </a:solidFill>
                    <a:round/>
                  </a:ln>
                  <a:effectLst/>
                </c:spPr>
                <c:marker>
                  <c:symbol val="none"/>
                </c:marker>
                <c:cat>
                  <c:numRef>
                    <c:extLst>
                      <c:ext uri="{02D57815-91ED-43cb-92C2-25804820EDAC}">
                        <c15:formulaRef>
                          <c15:sqref>'Gráficos corregido'!$M$6:$M$22</c15:sqref>
                        </c15:formulaRef>
                      </c:ext>
                    </c:extLst>
                    <c:numCache>
                      <c:formatCode>General</c:formatCode>
                      <c:ptCount val="17"/>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numCache>
                  </c:numRef>
                </c:cat>
                <c:val>
                  <c:numRef>
                    <c:extLst>
                      <c:ext uri="{02D57815-91ED-43cb-92C2-25804820EDAC}">
                        <c15:formulaRef>
                          <c15:sqref>'Gráficos corregido'!$N$6:$N$21</c15:sqref>
                        </c15:formulaRef>
                      </c:ext>
                    </c:extLst>
                    <c:numCache>
                      <c:formatCode>#,##0.00</c:formatCode>
                      <c:ptCount val="16"/>
                      <c:pt idx="0">
                        <c:v>9464762.2199999988</c:v>
                      </c:pt>
                      <c:pt idx="1">
                        <c:v>10224162.509999998</c:v>
                      </c:pt>
                      <c:pt idx="2">
                        <c:v>10710609.660000004</c:v>
                      </c:pt>
                      <c:pt idx="3">
                        <c:v>11798569.030000005</c:v>
                      </c:pt>
                      <c:pt idx="4">
                        <c:v>12731768.770000007</c:v>
                      </c:pt>
                      <c:pt idx="5">
                        <c:v>14059601.390000001</c:v>
                      </c:pt>
                      <c:pt idx="6">
                        <c:v>15787118.43</c:v>
                      </c:pt>
                      <c:pt idx="7" formatCode="#,##0">
                        <c:v>14532279.040000003</c:v>
                      </c:pt>
                      <c:pt idx="8" formatCode="#,##0">
                        <c:v>13055946.390000001</c:v>
                      </c:pt>
                      <c:pt idx="9" formatCode="#,##0">
                        <c:v>14063684.75</c:v>
                      </c:pt>
                      <c:pt idx="10" formatCode="#,##0">
                        <c:v>14922002.859999999</c:v>
                      </c:pt>
                      <c:pt idx="11" formatCode="#,##0">
                        <c:v>15851169.57</c:v>
                      </c:pt>
                      <c:pt idx="12" formatCode="#,##0">
                        <c:v>16534093.969999999</c:v>
                      </c:pt>
                      <c:pt idx="13" formatCode="#,##0">
                        <c:v>17403688.469999999</c:v>
                      </c:pt>
                      <c:pt idx="14" formatCode="#,##0">
                        <c:v>18320037.810000002</c:v>
                      </c:pt>
                      <c:pt idx="15" formatCode="#,##0">
                        <c:v>19460422.619999997</c:v>
                      </c:pt>
                    </c:numCache>
                  </c:numRef>
                </c:val>
                <c:smooth val="0"/>
                <c:extLst>
                  <c:ext xmlns:c16="http://schemas.microsoft.com/office/drawing/2014/chart" uri="{C3380CC4-5D6E-409C-BE32-E72D297353CC}">
                    <c16:uniqueId val="{00000004-BA5A-4D14-8471-2A7888F19814}"/>
                  </c:ext>
                </c:extLst>
              </c15:ser>
            </c15:filteredLineSeries>
          </c:ext>
        </c:extLst>
      </c:lineChart>
      <c:catAx>
        <c:axId val="114835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114836992"/>
        <c:crosses val="autoZero"/>
        <c:auto val="1"/>
        <c:lblAlgn val="ctr"/>
        <c:lblOffset val="100"/>
        <c:noMultiLvlLbl val="0"/>
      </c:catAx>
      <c:valAx>
        <c:axId val="11483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4835456"/>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USTIAPEN-EMAITZA</a:t>
            </a:r>
          </a:p>
          <a:p>
            <a:pPr>
              <a:defRPr sz="1400" b="0" i="0" u="none" strike="noStrike" kern="1200" spc="0" baseline="0">
                <a:solidFill>
                  <a:schemeClr val="tx1">
                    <a:lumMod val="65000"/>
                    <a:lumOff val="35000"/>
                  </a:schemeClr>
                </a:solidFill>
                <a:latin typeface="+mn-lt"/>
                <a:ea typeface="+mn-ea"/>
                <a:cs typeface="+mn-cs"/>
              </a:defRPr>
            </a:pPr>
            <a:endParaRPr lang="es-ES"/>
          </a:p>
        </c:rich>
      </c:tx>
      <c:overlay val="0"/>
      <c:spPr>
        <a:noFill/>
        <a:ln>
          <a:noFill/>
        </a:ln>
        <a:effectLst/>
      </c:spPr>
    </c:title>
    <c:autoTitleDeleted val="0"/>
    <c:plotArea>
      <c:layout/>
      <c:lineChart>
        <c:grouping val="standard"/>
        <c:varyColors val="0"/>
        <c:ser>
          <c:idx val="1"/>
          <c:order val="0"/>
          <c:tx>
            <c:strRef>
              <c:f>'RT y EBITDA 14 y 20'!$C$2</c:f>
              <c:strCache>
                <c:ptCount val="1"/>
                <c:pt idx="0">
                  <c:v>Rdo explotación PEF 2014</c:v>
                </c:pt>
              </c:strCache>
            </c:strRef>
          </c:tx>
          <c:spPr>
            <a:ln w="28575" cap="rnd">
              <a:solidFill>
                <a:srgbClr val="00B05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20'!$C$3:$C$18</c:f>
              <c:numCache>
                <c:formatCode>#,##0</c:formatCode>
                <c:ptCount val="16"/>
                <c:pt idx="0">
                  <c:v>14390</c:v>
                </c:pt>
                <c:pt idx="1">
                  <c:v>13039</c:v>
                </c:pt>
                <c:pt idx="2">
                  <c:v>14269</c:v>
                </c:pt>
                <c:pt idx="3">
                  <c:v>16155</c:v>
                </c:pt>
                <c:pt idx="4">
                  <c:v>18203</c:v>
                </c:pt>
                <c:pt idx="5">
                  <c:v>20373</c:v>
                </c:pt>
                <c:pt idx="6">
                  <c:v>22775</c:v>
                </c:pt>
                <c:pt idx="7">
                  <c:v>25406</c:v>
                </c:pt>
                <c:pt idx="8">
                  <c:v>28422</c:v>
                </c:pt>
                <c:pt idx="9">
                  <c:v>31038</c:v>
                </c:pt>
                <c:pt idx="10">
                  <c:v>33899</c:v>
                </c:pt>
                <c:pt idx="11">
                  <c:v>36896</c:v>
                </c:pt>
                <c:pt idx="12">
                  <c:v>40084</c:v>
                </c:pt>
                <c:pt idx="13">
                  <c:v>43455</c:v>
                </c:pt>
                <c:pt idx="14">
                  <c:v>47094</c:v>
                </c:pt>
                <c:pt idx="15">
                  <c:v>50857</c:v>
                </c:pt>
              </c:numCache>
            </c:numRef>
          </c:val>
          <c:smooth val="0"/>
          <c:extLst xmlns:c16r2="http://schemas.microsoft.com/office/drawing/2015/06/chart">
            <c:ext xmlns:c16="http://schemas.microsoft.com/office/drawing/2014/chart" uri="{C3380CC4-5D6E-409C-BE32-E72D297353CC}">
              <c16:uniqueId val="{00000000-A0F4-4255-92D0-CDAD75528169}"/>
            </c:ext>
          </c:extLst>
        </c:ser>
        <c:ser>
          <c:idx val="2"/>
          <c:order val="1"/>
          <c:tx>
            <c:strRef>
              <c:f>'RT y EBITDA 14 y 20'!$J$2</c:f>
              <c:strCache>
                <c:ptCount val="1"/>
                <c:pt idx="0">
                  <c:v>Rdo explotación PEF actualizado 2020 (C=1)</c:v>
                </c:pt>
              </c:strCache>
            </c:strRef>
          </c:tx>
          <c:spPr>
            <a:ln w="28575" cap="rnd">
              <a:solidFill>
                <a:srgbClr val="0070C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20'!$J$3:$J$18</c:f>
              <c:numCache>
                <c:formatCode>#,##0</c:formatCode>
                <c:ptCount val="16"/>
                <c:pt idx="0">
                  <c:v>14390</c:v>
                </c:pt>
                <c:pt idx="1">
                  <c:v>15546</c:v>
                </c:pt>
                <c:pt idx="2">
                  <c:v>18008</c:v>
                </c:pt>
                <c:pt idx="3">
                  <c:v>19941</c:v>
                </c:pt>
                <c:pt idx="4">
                  <c:v>22327</c:v>
                </c:pt>
                <c:pt idx="5">
                  <c:v>24368</c:v>
                </c:pt>
                <c:pt idx="6">
                  <c:v>28590</c:v>
                </c:pt>
                <c:pt idx="7">
                  <c:v>18970</c:v>
                </c:pt>
                <c:pt idx="8">
                  <c:v>23964</c:v>
                </c:pt>
                <c:pt idx="9">
                  <c:v>27612</c:v>
                </c:pt>
                <c:pt idx="10">
                  <c:v>30618</c:v>
                </c:pt>
                <c:pt idx="11">
                  <c:v>33368</c:v>
                </c:pt>
                <c:pt idx="12">
                  <c:v>36326</c:v>
                </c:pt>
                <c:pt idx="13">
                  <c:v>39397</c:v>
                </c:pt>
                <c:pt idx="14">
                  <c:v>42828</c:v>
                </c:pt>
                <c:pt idx="15">
                  <c:v>46376</c:v>
                </c:pt>
              </c:numCache>
            </c:numRef>
          </c:val>
          <c:smooth val="0"/>
          <c:extLst xmlns:c16r2="http://schemas.microsoft.com/office/drawing/2015/06/chart">
            <c:ext xmlns:c16="http://schemas.microsoft.com/office/drawing/2014/chart" uri="{C3380CC4-5D6E-409C-BE32-E72D297353CC}">
              <c16:uniqueId val="{00000001-A0F4-4255-92D0-CDAD75528169}"/>
            </c:ext>
          </c:extLst>
        </c:ser>
        <c:ser>
          <c:idx val="3"/>
          <c:order val="2"/>
          <c:tx>
            <c:strRef>
              <c:f>'RT y EBITDA 14 y 20'!$M$2</c:f>
              <c:strCache>
                <c:ptCount val="1"/>
                <c:pt idx="0">
                  <c:v>Rdo explotación PEF actualizado 2020 (C=1,65)</c:v>
                </c:pt>
              </c:strCache>
            </c:strRef>
          </c:tx>
          <c:spPr>
            <a:ln w="28575" cap="rnd">
              <a:solidFill>
                <a:srgbClr val="FF000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20'!$M$3:$M$18</c:f>
              <c:numCache>
                <c:formatCode>#,##0</c:formatCode>
                <c:ptCount val="16"/>
                <c:pt idx="0">
                  <c:v>14390</c:v>
                </c:pt>
                <c:pt idx="1">
                  <c:v>15456</c:v>
                </c:pt>
                <c:pt idx="2">
                  <c:v>18008</c:v>
                </c:pt>
                <c:pt idx="3">
                  <c:v>19941</c:v>
                </c:pt>
                <c:pt idx="4">
                  <c:v>22327</c:v>
                </c:pt>
                <c:pt idx="5">
                  <c:v>24368</c:v>
                </c:pt>
                <c:pt idx="6">
                  <c:v>28590</c:v>
                </c:pt>
                <c:pt idx="7">
                  <c:v>11950.729170000006</c:v>
                </c:pt>
                <c:pt idx="8">
                  <c:v>15927.798729999995</c:v>
                </c:pt>
                <c:pt idx="9">
                  <c:v>18955.631070000003</c:v>
                </c:pt>
                <c:pt idx="10">
                  <c:v>21433.637759999998</c:v>
                </c:pt>
                <c:pt idx="11">
                  <c:v>23673.972000000002</c:v>
                </c:pt>
                <c:pt idx="12">
                  <c:v>26149.60067</c:v>
                </c:pt>
                <c:pt idx="13">
                  <c:v>28684.636859999999</c:v>
                </c:pt>
                <c:pt idx="14">
                  <c:v>31552.243060000001</c:v>
                </c:pt>
                <c:pt idx="15">
                  <c:v>34474.698240000005</c:v>
                </c:pt>
              </c:numCache>
            </c:numRef>
          </c:val>
          <c:smooth val="0"/>
          <c:extLst xmlns:c16r2="http://schemas.microsoft.com/office/drawing/2015/06/chart">
            <c:ext xmlns:c16="http://schemas.microsoft.com/office/drawing/2014/chart" uri="{C3380CC4-5D6E-409C-BE32-E72D297353CC}">
              <c16:uniqueId val="{00000002-A0F4-4255-92D0-CDAD75528169}"/>
            </c:ext>
          </c:extLst>
        </c:ser>
        <c:dLbls>
          <c:showLegendKey val="0"/>
          <c:showVal val="0"/>
          <c:showCatName val="0"/>
          <c:showSerName val="0"/>
          <c:showPercent val="0"/>
          <c:showBubbleSize val="0"/>
        </c:dLbls>
        <c:marker val="1"/>
        <c:smooth val="0"/>
        <c:axId val="114868992"/>
        <c:axId val="114870528"/>
      </c:lineChart>
      <c:catAx>
        <c:axId val="11486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4870528"/>
        <c:crosses val="autoZero"/>
        <c:auto val="1"/>
        <c:lblAlgn val="ctr"/>
        <c:lblOffset val="100"/>
        <c:noMultiLvlLbl val="0"/>
      </c:catAx>
      <c:valAx>
        <c:axId val="114870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486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EBITDA</a:t>
            </a:r>
          </a:p>
        </c:rich>
      </c:tx>
      <c:overlay val="0"/>
      <c:spPr>
        <a:noFill/>
        <a:ln>
          <a:noFill/>
        </a:ln>
        <a:effectLst/>
      </c:spPr>
    </c:title>
    <c:autoTitleDeleted val="0"/>
    <c:plotArea>
      <c:layout/>
      <c:lineChart>
        <c:grouping val="standard"/>
        <c:varyColors val="0"/>
        <c:ser>
          <c:idx val="1"/>
          <c:order val="0"/>
          <c:tx>
            <c:strRef>
              <c:f>'RT y EBITDA 14 y 20'!$D$2</c:f>
              <c:strCache>
                <c:ptCount val="1"/>
                <c:pt idx="0">
                  <c:v>EBITDA PEF 2014</c:v>
                </c:pt>
              </c:strCache>
            </c:strRef>
          </c:tx>
          <c:spPr>
            <a:ln w="28575" cap="rnd">
              <a:solidFill>
                <a:srgbClr val="00B05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20'!$D$3:$D$18</c:f>
              <c:numCache>
                <c:formatCode>#,##0</c:formatCode>
                <c:ptCount val="16"/>
                <c:pt idx="0">
                  <c:v>29277</c:v>
                </c:pt>
                <c:pt idx="1">
                  <c:v>28628</c:v>
                </c:pt>
                <c:pt idx="2">
                  <c:v>29865</c:v>
                </c:pt>
                <c:pt idx="3">
                  <c:v>31732</c:v>
                </c:pt>
                <c:pt idx="4">
                  <c:v>33630</c:v>
                </c:pt>
                <c:pt idx="5">
                  <c:v>35674</c:v>
                </c:pt>
                <c:pt idx="6">
                  <c:v>37831</c:v>
                </c:pt>
                <c:pt idx="7">
                  <c:v>40108</c:v>
                </c:pt>
                <c:pt idx="8">
                  <c:v>42512</c:v>
                </c:pt>
                <c:pt idx="9">
                  <c:v>45048</c:v>
                </c:pt>
                <c:pt idx="10">
                  <c:v>47725</c:v>
                </c:pt>
                <c:pt idx="11">
                  <c:v>50549</c:v>
                </c:pt>
                <c:pt idx="12">
                  <c:v>53529</c:v>
                </c:pt>
                <c:pt idx="13">
                  <c:v>56673</c:v>
                </c:pt>
                <c:pt idx="14">
                  <c:v>59989</c:v>
                </c:pt>
                <c:pt idx="15">
                  <c:v>63488</c:v>
                </c:pt>
              </c:numCache>
            </c:numRef>
          </c:val>
          <c:smooth val="0"/>
          <c:extLst xmlns:c16r2="http://schemas.microsoft.com/office/drawing/2015/06/chart">
            <c:ext xmlns:c16="http://schemas.microsoft.com/office/drawing/2014/chart" uri="{C3380CC4-5D6E-409C-BE32-E72D297353CC}">
              <c16:uniqueId val="{00000000-BEA1-4FC1-8F5F-89A703714FE0}"/>
            </c:ext>
          </c:extLst>
        </c:ser>
        <c:ser>
          <c:idx val="2"/>
          <c:order val="1"/>
          <c:tx>
            <c:strRef>
              <c:f>'RT y EBITDA 14 y 20'!$K$2</c:f>
              <c:strCache>
                <c:ptCount val="1"/>
                <c:pt idx="0">
                  <c:v>EBITDA PEF actualizado 2020 (C=1)</c:v>
                </c:pt>
              </c:strCache>
            </c:strRef>
          </c:tx>
          <c:spPr>
            <a:ln w="28575" cap="rnd">
              <a:solidFill>
                <a:srgbClr val="0070C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20'!$K$3:$K$18</c:f>
              <c:numCache>
                <c:formatCode>#,##0</c:formatCode>
                <c:ptCount val="16"/>
                <c:pt idx="0">
                  <c:v>29277</c:v>
                </c:pt>
                <c:pt idx="1">
                  <c:v>30510</c:v>
                </c:pt>
                <c:pt idx="2">
                  <c:v>32389</c:v>
                </c:pt>
                <c:pt idx="3">
                  <c:v>34905</c:v>
                </c:pt>
                <c:pt idx="4">
                  <c:v>37238</c:v>
                </c:pt>
                <c:pt idx="5">
                  <c:v>39343</c:v>
                </c:pt>
                <c:pt idx="6">
                  <c:v>43352</c:v>
                </c:pt>
                <c:pt idx="7">
                  <c:v>33515</c:v>
                </c:pt>
                <c:pt idx="8">
                  <c:v>38933</c:v>
                </c:pt>
                <c:pt idx="9">
                  <c:v>42207</c:v>
                </c:pt>
                <c:pt idx="10">
                  <c:v>44988</c:v>
                </c:pt>
                <c:pt idx="11">
                  <c:v>47524</c:v>
                </c:pt>
                <c:pt idx="12">
                  <c:v>50197</c:v>
                </c:pt>
                <c:pt idx="13">
                  <c:v>53014</c:v>
                </c:pt>
                <c:pt idx="14">
                  <c:v>55984</c:v>
                </c:pt>
                <c:pt idx="15">
                  <c:v>59114</c:v>
                </c:pt>
              </c:numCache>
            </c:numRef>
          </c:val>
          <c:smooth val="0"/>
          <c:extLst xmlns:c16r2="http://schemas.microsoft.com/office/drawing/2015/06/chart">
            <c:ext xmlns:c16="http://schemas.microsoft.com/office/drawing/2014/chart" uri="{C3380CC4-5D6E-409C-BE32-E72D297353CC}">
              <c16:uniqueId val="{00000001-BEA1-4FC1-8F5F-89A703714FE0}"/>
            </c:ext>
          </c:extLst>
        </c:ser>
        <c:ser>
          <c:idx val="3"/>
          <c:order val="2"/>
          <c:tx>
            <c:strRef>
              <c:f>'RT y EBITDA 14 y 20'!$N$2</c:f>
              <c:strCache>
                <c:ptCount val="1"/>
                <c:pt idx="0">
                  <c:v>EBITDA PEF actualizado 2020 (C=1,65)</c:v>
                </c:pt>
              </c:strCache>
            </c:strRef>
          </c:tx>
          <c:spPr>
            <a:ln w="28575" cap="rnd">
              <a:solidFill>
                <a:srgbClr val="FF0000"/>
              </a:solidFill>
              <a:round/>
            </a:ln>
            <a:effectLst/>
          </c:spPr>
          <c:marker>
            <c:symbol val="none"/>
          </c:marker>
          <c:cat>
            <c:numRef>
              <c:f>'RT y EBITDA 14 y 20'!$A$3:$A$18</c:f>
              <c:numCache>
                <c:formatCode>General</c:formatCode>
                <c:ptCount val="16"/>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numCache>
            </c:numRef>
          </c:cat>
          <c:val>
            <c:numRef>
              <c:f>'RT y EBITDA 14 y 20'!$N$3:$N$18</c:f>
              <c:numCache>
                <c:formatCode>#,##0</c:formatCode>
                <c:ptCount val="16"/>
                <c:pt idx="0">
                  <c:v>29277</c:v>
                </c:pt>
                <c:pt idx="1">
                  <c:v>30510</c:v>
                </c:pt>
                <c:pt idx="2">
                  <c:v>32389</c:v>
                </c:pt>
                <c:pt idx="3">
                  <c:v>34905</c:v>
                </c:pt>
                <c:pt idx="4">
                  <c:v>37238</c:v>
                </c:pt>
                <c:pt idx="5">
                  <c:v>39343</c:v>
                </c:pt>
                <c:pt idx="6">
                  <c:v>43352</c:v>
                </c:pt>
                <c:pt idx="7">
                  <c:v>26495.729170000006</c:v>
                </c:pt>
                <c:pt idx="8">
                  <c:v>30896.798729999995</c:v>
                </c:pt>
                <c:pt idx="9">
                  <c:v>33550.631070000003</c:v>
                </c:pt>
                <c:pt idx="10">
                  <c:v>35803.637759999998</c:v>
                </c:pt>
                <c:pt idx="11">
                  <c:v>37829.972000000002</c:v>
                </c:pt>
                <c:pt idx="12">
                  <c:v>40020.60067</c:v>
                </c:pt>
                <c:pt idx="13">
                  <c:v>42301.636859999999</c:v>
                </c:pt>
                <c:pt idx="14">
                  <c:v>44708.243060000001</c:v>
                </c:pt>
                <c:pt idx="15">
                  <c:v>47212.698240000005</c:v>
                </c:pt>
              </c:numCache>
            </c:numRef>
          </c:val>
          <c:smooth val="0"/>
          <c:extLst xmlns:c16r2="http://schemas.microsoft.com/office/drawing/2015/06/chart">
            <c:ext xmlns:c16="http://schemas.microsoft.com/office/drawing/2014/chart" uri="{C3380CC4-5D6E-409C-BE32-E72D297353CC}">
              <c16:uniqueId val="{00000002-BEA1-4FC1-8F5F-89A703714FE0}"/>
            </c:ext>
          </c:extLst>
        </c:ser>
        <c:dLbls>
          <c:showLegendKey val="0"/>
          <c:showVal val="0"/>
          <c:showCatName val="0"/>
          <c:showSerName val="0"/>
          <c:showPercent val="0"/>
          <c:showBubbleSize val="0"/>
        </c:dLbls>
        <c:marker val="1"/>
        <c:smooth val="0"/>
        <c:axId val="139486336"/>
        <c:axId val="139487872"/>
      </c:lineChart>
      <c:catAx>
        <c:axId val="13948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9487872"/>
        <c:crosses val="autoZero"/>
        <c:auto val="1"/>
        <c:lblAlgn val="ctr"/>
        <c:lblOffset val="100"/>
        <c:noMultiLvlLbl val="0"/>
      </c:catAx>
      <c:valAx>
        <c:axId val="139487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3948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9BAE-5054-4586-B43A-73796882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6842</Words>
  <Characters>37632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D426745</dc:creator>
  <cp:lastModifiedBy>Iñaki De Santiago</cp:lastModifiedBy>
  <cp:revision>2</cp:revision>
  <cp:lastPrinted>2021-06-18T05:58:00Z</cp:lastPrinted>
  <dcterms:created xsi:type="dcterms:W3CDTF">2021-07-30T07:34:00Z</dcterms:created>
  <dcterms:modified xsi:type="dcterms:W3CDTF">2021-07-30T07:34:00Z</dcterms:modified>
</cp:coreProperties>
</file>