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B124D2" w:rsidP="00075677">
      <w:pPr>
        <w:pStyle w:val="cuadroCabe"/>
      </w:pPr>
      <w:bookmarkStart w:id="0" w:name="_GoBack"/>
      <w:bookmarkEnd w:id="0"/>
      <w:r>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-150628</wp:posOffset>
                </wp:positionH>
                <wp:positionV relativeFrom="paragraph">
                  <wp:posOffset>-817586</wp:posOffset>
                </wp:positionV>
                <wp:extent cx="1112293" cy="1016758"/>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293" cy="1016758"/>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7814" w:rsidRPr="003A7956" w:rsidRDefault="00D87814" w:rsidP="004C3423">
                            <w:pPr>
                              <w:spacing w:after="0"/>
                              <w:ind w:firstLine="0"/>
                              <w:jc w:val="center"/>
                              <w:rPr>
                                <w:sz w:val="18"/>
                                <w:szCs w:val="18"/>
                              </w:rPr>
                            </w:pPr>
                            <w:r>
                              <w:rPr>
                                <w:sz w:val="18"/>
                                <w:szCs w:val="18"/>
                              </w:rPr>
                              <w:t>CAMARA DE</w:t>
                            </w:r>
                          </w:p>
                          <w:p w:rsidR="00D87814" w:rsidRPr="003A7956" w:rsidRDefault="00D87814" w:rsidP="004C3423">
                            <w:pPr>
                              <w:spacing w:after="0"/>
                              <w:ind w:firstLine="0"/>
                              <w:jc w:val="center"/>
                              <w:rPr>
                                <w:sz w:val="18"/>
                                <w:szCs w:val="18"/>
                              </w:rPr>
                            </w:pPr>
                            <w:r>
                              <w:rPr>
                                <w:sz w:val="18"/>
                                <w:szCs w:val="18"/>
                              </w:rPr>
                              <w:t>COMPTOS</w:t>
                            </w:r>
                          </w:p>
                          <w:p w:rsidR="00D87814" w:rsidRPr="003A7956" w:rsidRDefault="00D87814" w:rsidP="004C3423">
                            <w:pPr>
                              <w:spacing w:after="0"/>
                              <w:ind w:firstLine="0"/>
                              <w:jc w:val="center"/>
                              <w:rPr>
                                <w:sz w:val="18"/>
                                <w:szCs w:val="18"/>
                              </w:rPr>
                            </w:pPr>
                            <w:r>
                              <w:rPr>
                                <w:sz w:val="18"/>
                                <w:szCs w:val="18"/>
                              </w:rPr>
                              <w:t>DE NAVARRA</w:t>
                            </w:r>
                          </w:p>
                          <w:p w:rsidR="00D87814" w:rsidRPr="003A7956" w:rsidRDefault="00D87814" w:rsidP="004C3423">
                            <w:pPr>
                              <w:spacing w:after="0"/>
                              <w:ind w:firstLine="0"/>
                              <w:jc w:val="center"/>
                              <w:rPr>
                                <w:color w:val="808080"/>
                                <w:sz w:val="18"/>
                                <w:szCs w:val="18"/>
                              </w:rPr>
                            </w:pPr>
                            <w:r>
                              <w:rPr>
                                <w:color w:val="808080"/>
                                <w:sz w:val="18"/>
                                <w:szCs w:val="18"/>
                              </w:rPr>
                              <w:t>NAFARROAKO</w:t>
                            </w:r>
                          </w:p>
                          <w:p w:rsidR="00D87814" w:rsidRPr="003A7956" w:rsidRDefault="00D87814" w:rsidP="004C3423">
                            <w:pPr>
                              <w:spacing w:after="0"/>
                              <w:ind w:firstLine="0"/>
                              <w:jc w:val="center"/>
                              <w:rPr>
                                <w:color w:val="808080"/>
                                <w:sz w:val="18"/>
                                <w:szCs w:val="18"/>
                              </w:rPr>
                            </w:pPr>
                            <w:r>
                              <w:rPr>
                                <w:color w:val="808080"/>
                                <w:sz w:val="18"/>
                                <w:szCs w:val="18"/>
                              </w:rPr>
                              <w:t>KONTUEN</w:t>
                            </w:r>
                          </w:p>
                          <w:p w:rsidR="00D87814" w:rsidRPr="003A7956" w:rsidRDefault="00D87814" w:rsidP="004C3423">
                            <w:pPr>
                              <w:spacing w:after="0"/>
                              <w:ind w:firstLine="0"/>
                              <w:jc w:val="center"/>
                              <w:rPr>
                                <w:color w:val="808080"/>
                                <w:sz w:val="18"/>
                                <w:szCs w:val="18"/>
                              </w:rPr>
                            </w:pPr>
                            <w:r>
                              <w:rPr>
                                <w:color w:val="808080"/>
                                <w:sz w:val="18"/>
                                <w:szCs w:val="18"/>
                              </w:rPr>
                              <w:t>GANBERA</w:t>
                            </w:r>
                          </w:p>
                          <w:p w:rsidR="00D87814" w:rsidRPr="002C7026" w:rsidRDefault="00D8781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85pt;margin-top:-64.4pt;width:87.6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" stroked="f" strokecolor="white">
                <v:textbox>
                  <w:txbxContent>
                    <w:p w:rsidR="00D87814" w:rsidRPr="003A7956" w:rsidRDefault="00D87814" w:rsidP="004C3423">
                      <w:pPr>
                        <w:spacing w:after="0"/>
                        <w:ind w:firstLine="0"/>
                        <w:jc w:val="center"/>
                        <w:rPr>
                          <w:sz w:val="18"/>
                          <w:szCs w:val="18"/>
                        </w:rPr>
                      </w:pPr>
                      <w:r>
                        <w:rPr>
                          <w:sz w:val="18"/>
                          <w:szCs w:val="18"/>
                        </w:rPr>
                        <w:t>CAMARA DE</w:t>
                      </w:r>
                    </w:p>
                    <w:p w:rsidR="00D87814" w:rsidRPr="003A7956" w:rsidRDefault="00D87814" w:rsidP="004C3423">
                      <w:pPr>
                        <w:spacing w:after="0"/>
                        <w:ind w:firstLine="0"/>
                        <w:jc w:val="center"/>
                        <w:rPr>
                          <w:sz w:val="18"/>
                          <w:szCs w:val="18"/>
                        </w:rPr>
                      </w:pPr>
                      <w:r>
                        <w:rPr>
                          <w:sz w:val="18"/>
                          <w:szCs w:val="18"/>
                        </w:rPr>
                        <w:t>COMPTOS</w:t>
                      </w:r>
                    </w:p>
                    <w:p w:rsidR="00D87814" w:rsidRPr="003A7956" w:rsidRDefault="00D87814" w:rsidP="004C3423">
                      <w:pPr>
                        <w:spacing w:after="0"/>
                        <w:ind w:firstLine="0"/>
                        <w:jc w:val="center"/>
                        <w:rPr>
                          <w:sz w:val="18"/>
                          <w:szCs w:val="18"/>
                        </w:rPr>
                      </w:pPr>
                      <w:r>
                        <w:rPr>
                          <w:sz w:val="18"/>
                          <w:szCs w:val="18"/>
                        </w:rPr>
                        <w:t>DE NAVARRA</w:t>
                      </w:r>
                    </w:p>
                    <w:p w:rsidR="00D87814" w:rsidRPr="003A7956" w:rsidRDefault="00D87814" w:rsidP="004C3423">
                      <w:pPr>
                        <w:spacing w:after="0"/>
                        <w:ind w:firstLine="0"/>
                        <w:jc w:val="center"/>
                        <w:rPr>
                          <w:color w:val="808080"/>
                          <w:sz w:val="18"/>
                          <w:szCs w:val="18"/>
                        </w:rPr>
                      </w:pPr>
                      <w:r>
                        <w:rPr>
                          <w:color w:val="808080"/>
                          <w:sz w:val="18"/>
                          <w:szCs w:val="18"/>
                        </w:rPr>
                        <w:t>NAFARROAKO</w:t>
                      </w:r>
                    </w:p>
                    <w:p w:rsidR="00D87814" w:rsidRPr="003A7956" w:rsidRDefault="00D87814" w:rsidP="004C3423">
                      <w:pPr>
                        <w:spacing w:after="0"/>
                        <w:ind w:firstLine="0"/>
                        <w:jc w:val="center"/>
                        <w:rPr>
                          <w:color w:val="808080"/>
                          <w:sz w:val="18"/>
                          <w:szCs w:val="18"/>
                        </w:rPr>
                      </w:pPr>
                      <w:r>
                        <w:rPr>
                          <w:color w:val="808080"/>
                          <w:sz w:val="18"/>
                          <w:szCs w:val="18"/>
                        </w:rPr>
                        <w:t>KONTUEN</w:t>
                      </w:r>
                    </w:p>
                    <w:p w:rsidR="00D87814" w:rsidRPr="003A7956" w:rsidRDefault="00D87814" w:rsidP="004C3423">
                      <w:pPr>
                        <w:spacing w:after="0"/>
                        <w:ind w:firstLine="0"/>
                        <w:jc w:val="center"/>
                        <w:rPr>
                          <w:color w:val="808080"/>
                          <w:sz w:val="18"/>
                          <w:szCs w:val="18"/>
                        </w:rPr>
                      </w:pPr>
                      <w:r>
                        <w:rPr>
                          <w:color w:val="808080"/>
                          <w:sz w:val="18"/>
                          <w:szCs w:val="18"/>
                        </w:rPr>
                        <w:t>GANBERA</w:t>
                      </w:r>
                    </w:p>
                    <w:p w:rsidR="00D87814" w:rsidRPr="002C7026" w:rsidRDefault="00D87814" w:rsidP="002C7026">
                      <w:pPr>
                        <w:spacing w:after="0"/>
                        <w:ind w:firstLine="0"/>
                        <w:jc w:val="center"/>
                        <w:rPr>
                          <w:rFonts w:ascii="Trajan" w:hAnsi="Trajan"/>
                          <w:color w:val="808080"/>
                          <w:sz w:val="18"/>
                          <w:szCs w:val="18"/>
                          <w:lang w:val="es-ES"/>
                        </w:rPr>
                      </w:pPr>
                    </w:p>
                  </w:txbxContent>
                </v:textbox>
              </v:shape>
            </w:pict>
          </mc:Fallback>
        </mc:AlternateContent>
      </w:r>
    </w:p>
    <w:p w:rsidR="003A6A45" w:rsidRPr="006E77E2" w:rsidRDefault="001F1331" w:rsidP="006E77E2">
      <w:pPr>
        <w:pStyle w:val="EstiloPortada"/>
        <w:ind w:left="2552" w:right="0"/>
        <w:jc w:val="both"/>
        <w:rPr>
          <w:color w:val="A6A6A6" w:themeColor="background1" w:themeShade="A6"/>
          <w:sz w:val="44"/>
          <w:szCs w:val="44"/>
        </w:rPr>
      </w:pPr>
      <w:r>
        <w:rPr>
          <w:color w:val="A6A6A6" w:themeColor="background1" w:themeShade="A6"/>
          <w:sz w:val="44"/>
          <w:szCs w:val="44"/>
        </w:rPr>
        <w:t>Behin betiko txostena</w:t>
      </w:r>
    </w:p>
    <w:p w:rsidR="006E77E2" w:rsidRDefault="00EF1AFB" w:rsidP="006E77E2">
      <w:pPr>
        <w:pStyle w:val="EstiloPortada"/>
        <w:ind w:left="2552" w:right="0"/>
        <w:jc w:val="both"/>
        <w:rPr>
          <w:sz w:val="44"/>
          <w:szCs w:val="44"/>
        </w:rPr>
      </w:pPr>
      <w:r>
        <w:rPr>
          <w:sz w:val="44"/>
          <w:szCs w:val="44"/>
        </w:rPr>
        <w:t xml:space="preserve">Miguel </w:t>
      </w:r>
      <w:proofErr w:type="spellStart"/>
      <w:r>
        <w:rPr>
          <w:sz w:val="44"/>
          <w:szCs w:val="44"/>
        </w:rPr>
        <w:t>Servet</w:t>
      </w:r>
      <w:proofErr w:type="spellEnd"/>
      <w:r>
        <w:rPr>
          <w:sz w:val="44"/>
          <w:szCs w:val="44"/>
        </w:rPr>
        <w:t xml:space="preserve"> Fundazioari egi</w:t>
      </w:r>
      <w:r>
        <w:rPr>
          <w:sz w:val="44"/>
          <w:szCs w:val="44"/>
        </w:rPr>
        <w:t>n</w:t>
      </w:r>
      <w:r>
        <w:rPr>
          <w:sz w:val="44"/>
          <w:szCs w:val="44"/>
        </w:rPr>
        <w:t xml:space="preserve">dako gomendioen jarraipena </w:t>
      </w:r>
    </w:p>
    <w:p w:rsidR="00EF1AFB" w:rsidRPr="006E77E2" w:rsidRDefault="00EF1AFB" w:rsidP="006E77E2">
      <w:pPr>
        <w:pStyle w:val="EstiloPortada"/>
        <w:ind w:left="2552" w:right="0"/>
        <w:jc w:val="both"/>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AF5340" w:rsidRDefault="00AF5340" w:rsidP="00891D73">
      <w:pPr>
        <w:pStyle w:val="texto"/>
      </w:pPr>
    </w:p>
    <w:p w:rsidR="00AF5340" w:rsidRDefault="00AF5340" w:rsidP="00891D73">
      <w:pPr>
        <w:pStyle w:val="texto"/>
      </w:pPr>
    </w:p>
    <w:p w:rsidR="00AF5340" w:rsidRDefault="00AF5340" w:rsidP="00891D73">
      <w:pPr>
        <w:pStyle w:val="texto"/>
      </w:pPr>
    </w:p>
    <w:p w:rsidR="00AF5340" w:rsidRDefault="00AF5340" w:rsidP="00891D73">
      <w:pPr>
        <w:pStyle w:val="texto"/>
      </w:pPr>
    </w:p>
    <w:p w:rsidR="00AF5340" w:rsidRPr="00204979" w:rsidRDefault="00AF5340" w:rsidP="00891D73">
      <w:pPr>
        <w:pStyle w:val="texto"/>
      </w:pPr>
    </w:p>
    <w:p w:rsidR="00844F74" w:rsidRPr="00204979" w:rsidRDefault="00844F74" w:rsidP="00891D73">
      <w:pPr>
        <w:pStyle w:val="texto"/>
      </w:pPr>
    </w:p>
    <w:p w:rsidR="00716463" w:rsidRPr="001D4F09" w:rsidRDefault="00770CEA" w:rsidP="009936FC">
      <w:pPr>
        <w:pStyle w:val="Fechaportada"/>
      </w:pPr>
      <w:r>
        <w:t>2021eko ekaina</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357D47" w:rsidRDefault="00357D47" w:rsidP="00891D73">
      <w:pPr>
        <w:pStyle w:val="ndice"/>
      </w:pPr>
    </w:p>
    <w:p w:rsidR="003D5845"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2513840" w:history="1">
        <w:r w:rsidR="003D5845" w:rsidRPr="00055BF8">
          <w:rPr>
            <w:rStyle w:val="Hipervnculo"/>
            <w:noProof/>
          </w:rPr>
          <w:t>I. Sarrera</w:t>
        </w:r>
        <w:r w:rsidR="003D5845">
          <w:rPr>
            <w:noProof/>
            <w:webHidden/>
          </w:rPr>
          <w:tab/>
        </w:r>
        <w:r w:rsidR="003D5845">
          <w:rPr>
            <w:noProof/>
            <w:webHidden/>
          </w:rPr>
          <w:fldChar w:fldCharType="begin"/>
        </w:r>
        <w:r w:rsidR="003D5845">
          <w:rPr>
            <w:noProof/>
            <w:webHidden/>
          </w:rPr>
          <w:instrText xml:space="preserve"> PAGEREF _Toc82513840 \h </w:instrText>
        </w:r>
        <w:r w:rsidR="003D5845">
          <w:rPr>
            <w:noProof/>
            <w:webHidden/>
          </w:rPr>
        </w:r>
        <w:r w:rsidR="003D5845">
          <w:rPr>
            <w:noProof/>
            <w:webHidden/>
          </w:rPr>
          <w:fldChar w:fldCharType="separate"/>
        </w:r>
        <w:r w:rsidR="003D5845">
          <w:rPr>
            <w:noProof/>
            <w:webHidden/>
          </w:rPr>
          <w:t>3</w:t>
        </w:r>
        <w:r w:rsidR="003D5845">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41" w:history="1">
        <w:r w:rsidRPr="00055BF8">
          <w:rPr>
            <w:rStyle w:val="Hipervnculo"/>
            <w:noProof/>
          </w:rPr>
          <w:t>II. Miguel Servet Fundazioa</w:t>
        </w:r>
        <w:r>
          <w:rPr>
            <w:noProof/>
            <w:webHidden/>
          </w:rPr>
          <w:tab/>
        </w:r>
        <w:r>
          <w:rPr>
            <w:noProof/>
            <w:webHidden/>
          </w:rPr>
          <w:fldChar w:fldCharType="begin"/>
        </w:r>
        <w:r>
          <w:rPr>
            <w:noProof/>
            <w:webHidden/>
          </w:rPr>
          <w:instrText xml:space="preserve"> PAGEREF _Toc82513841 \h </w:instrText>
        </w:r>
        <w:r>
          <w:rPr>
            <w:noProof/>
            <w:webHidden/>
          </w:rPr>
        </w:r>
        <w:r>
          <w:rPr>
            <w:noProof/>
            <w:webHidden/>
          </w:rPr>
          <w:fldChar w:fldCharType="separate"/>
        </w:r>
        <w:r>
          <w:rPr>
            <w:noProof/>
            <w:webHidden/>
          </w:rPr>
          <w:t>4</w:t>
        </w:r>
        <w:r>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42" w:history="1">
        <w:r w:rsidRPr="00055BF8">
          <w:rPr>
            <w:rStyle w:val="Hipervnculo"/>
            <w:noProof/>
          </w:rPr>
          <w:t>III. Helburuak eta norainokoa</w:t>
        </w:r>
        <w:r>
          <w:rPr>
            <w:noProof/>
            <w:webHidden/>
          </w:rPr>
          <w:tab/>
        </w:r>
        <w:r>
          <w:rPr>
            <w:noProof/>
            <w:webHidden/>
          </w:rPr>
          <w:fldChar w:fldCharType="begin"/>
        </w:r>
        <w:r>
          <w:rPr>
            <w:noProof/>
            <w:webHidden/>
          </w:rPr>
          <w:instrText xml:space="preserve"> PAGEREF _Toc82513842 \h </w:instrText>
        </w:r>
        <w:r>
          <w:rPr>
            <w:noProof/>
            <w:webHidden/>
          </w:rPr>
        </w:r>
        <w:r>
          <w:rPr>
            <w:noProof/>
            <w:webHidden/>
          </w:rPr>
          <w:fldChar w:fldCharType="separate"/>
        </w:r>
        <w:r>
          <w:rPr>
            <w:noProof/>
            <w:webHidden/>
          </w:rPr>
          <w:t>5</w:t>
        </w:r>
        <w:r>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43" w:history="1">
        <w:r w:rsidRPr="00055BF8">
          <w:rPr>
            <w:rStyle w:val="Hipervnculo"/>
            <w:noProof/>
          </w:rPr>
          <w:t>IV. Konklusioak eta gomendioak</w:t>
        </w:r>
        <w:r>
          <w:rPr>
            <w:noProof/>
            <w:webHidden/>
          </w:rPr>
          <w:tab/>
        </w:r>
        <w:r>
          <w:rPr>
            <w:noProof/>
            <w:webHidden/>
          </w:rPr>
          <w:fldChar w:fldCharType="begin"/>
        </w:r>
        <w:r>
          <w:rPr>
            <w:noProof/>
            <w:webHidden/>
          </w:rPr>
          <w:instrText xml:space="preserve"> PAGEREF _Toc82513843 \h </w:instrText>
        </w:r>
        <w:r>
          <w:rPr>
            <w:noProof/>
            <w:webHidden/>
          </w:rPr>
        </w:r>
        <w:r>
          <w:rPr>
            <w:noProof/>
            <w:webHidden/>
          </w:rPr>
          <w:fldChar w:fldCharType="separate"/>
        </w:r>
        <w:r>
          <w:rPr>
            <w:noProof/>
            <w:webHidden/>
          </w:rPr>
          <w:t>6</w:t>
        </w:r>
        <w:r>
          <w:rPr>
            <w:noProof/>
            <w:webHidden/>
          </w:rPr>
          <w:fldChar w:fldCharType="end"/>
        </w:r>
      </w:hyperlink>
    </w:p>
    <w:p w:rsidR="003D5845" w:rsidRDefault="003D5845">
      <w:pPr>
        <w:pStyle w:val="TDC2"/>
        <w:rPr>
          <w:rFonts w:asciiTheme="minorHAnsi" w:eastAsiaTheme="minorEastAsia" w:hAnsiTheme="minorHAnsi" w:cstheme="minorBidi"/>
          <w:noProof/>
          <w:szCs w:val="22"/>
          <w:lang w:val="es-ES" w:eastAsia="es-ES"/>
        </w:rPr>
      </w:pPr>
      <w:hyperlink w:anchor="_Toc82513844" w:history="1">
        <w:r w:rsidRPr="00055BF8">
          <w:rPr>
            <w:rStyle w:val="Hipervnculo"/>
            <w:noProof/>
          </w:rPr>
          <w:t>IV.1. Miguel Servet Fundazioaren kudeaketari buruzko alderdi orokorrak</w:t>
        </w:r>
        <w:r>
          <w:rPr>
            <w:noProof/>
            <w:webHidden/>
          </w:rPr>
          <w:tab/>
        </w:r>
        <w:r>
          <w:rPr>
            <w:noProof/>
            <w:webHidden/>
          </w:rPr>
          <w:fldChar w:fldCharType="begin"/>
        </w:r>
        <w:r>
          <w:rPr>
            <w:noProof/>
            <w:webHidden/>
          </w:rPr>
          <w:instrText xml:space="preserve"> PAGEREF _Toc82513844 \h </w:instrText>
        </w:r>
        <w:r>
          <w:rPr>
            <w:noProof/>
            <w:webHidden/>
          </w:rPr>
        </w:r>
        <w:r>
          <w:rPr>
            <w:noProof/>
            <w:webHidden/>
          </w:rPr>
          <w:fldChar w:fldCharType="separate"/>
        </w:r>
        <w:r>
          <w:rPr>
            <w:noProof/>
            <w:webHidden/>
          </w:rPr>
          <w:t>6</w:t>
        </w:r>
        <w:r>
          <w:rPr>
            <w:noProof/>
            <w:webHidden/>
          </w:rPr>
          <w:fldChar w:fldCharType="end"/>
        </w:r>
      </w:hyperlink>
    </w:p>
    <w:p w:rsidR="003D5845" w:rsidRDefault="003D5845">
      <w:pPr>
        <w:pStyle w:val="TDC2"/>
        <w:rPr>
          <w:rFonts w:asciiTheme="minorHAnsi" w:eastAsiaTheme="minorEastAsia" w:hAnsiTheme="minorHAnsi" w:cstheme="minorBidi"/>
          <w:noProof/>
          <w:szCs w:val="22"/>
          <w:lang w:val="es-ES" w:eastAsia="es-ES"/>
        </w:rPr>
      </w:pPr>
      <w:hyperlink w:anchor="_Toc82513845" w:history="1">
        <w:r w:rsidRPr="00055BF8">
          <w:rPr>
            <w:rStyle w:val="Hipervnculo"/>
            <w:noProof/>
          </w:rPr>
          <w:t>IV.2. Kontuen Ganberak Miguel Servet Fundazioari buruz 2016ko irailean emandako txosteneko gomendioen betetze-mailaren jarraipena.</w:t>
        </w:r>
        <w:r>
          <w:rPr>
            <w:noProof/>
            <w:webHidden/>
          </w:rPr>
          <w:tab/>
        </w:r>
        <w:r>
          <w:rPr>
            <w:noProof/>
            <w:webHidden/>
          </w:rPr>
          <w:fldChar w:fldCharType="begin"/>
        </w:r>
        <w:r>
          <w:rPr>
            <w:noProof/>
            <w:webHidden/>
          </w:rPr>
          <w:instrText xml:space="preserve"> PAGEREF _Toc82513845 \h </w:instrText>
        </w:r>
        <w:r>
          <w:rPr>
            <w:noProof/>
            <w:webHidden/>
          </w:rPr>
        </w:r>
        <w:r>
          <w:rPr>
            <w:noProof/>
            <w:webHidden/>
          </w:rPr>
          <w:fldChar w:fldCharType="separate"/>
        </w:r>
        <w:r>
          <w:rPr>
            <w:noProof/>
            <w:webHidden/>
          </w:rPr>
          <w:t>11</w:t>
        </w:r>
        <w:r>
          <w:rPr>
            <w:noProof/>
            <w:webHidden/>
          </w:rPr>
          <w:fldChar w:fldCharType="end"/>
        </w:r>
      </w:hyperlink>
    </w:p>
    <w:p w:rsidR="003D5845" w:rsidRDefault="003D5845">
      <w:pPr>
        <w:pStyle w:val="TDC2"/>
        <w:rPr>
          <w:rFonts w:asciiTheme="minorHAnsi" w:eastAsiaTheme="minorEastAsia" w:hAnsiTheme="minorHAnsi" w:cstheme="minorBidi"/>
          <w:noProof/>
          <w:szCs w:val="22"/>
          <w:lang w:val="es-ES" w:eastAsia="es-ES"/>
        </w:rPr>
      </w:pPr>
      <w:hyperlink w:anchor="_Toc82513846" w:history="1">
        <w:r w:rsidRPr="00055BF8">
          <w:rPr>
            <w:rStyle w:val="Hipervnculo"/>
            <w:noProof/>
          </w:rPr>
          <w:t>IV.3. Legezkotasunaren berrikuspena langileen eta ondasun eta zerbitzuen kontratazioan</w:t>
        </w:r>
        <w:r>
          <w:rPr>
            <w:noProof/>
            <w:webHidden/>
          </w:rPr>
          <w:tab/>
        </w:r>
        <w:r>
          <w:rPr>
            <w:noProof/>
            <w:webHidden/>
          </w:rPr>
          <w:fldChar w:fldCharType="begin"/>
        </w:r>
        <w:r>
          <w:rPr>
            <w:noProof/>
            <w:webHidden/>
          </w:rPr>
          <w:instrText xml:space="preserve"> PAGEREF _Toc82513846 \h </w:instrText>
        </w:r>
        <w:r>
          <w:rPr>
            <w:noProof/>
            <w:webHidden/>
          </w:rPr>
        </w:r>
        <w:r>
          <w:rPr>
            <w:noProof/>
            <w:webHidden/>
          </w:rPr>
          <w:fldChar w:fldCharType="separate"/>
        </w:r>
        <w:r>
          <w:rPr>
            <w:noProof/>
            <w:webHidden/>
          </w:rPr>
          <w:t>14</w:t>
        </w:r>
        <w:r>
          <w:rPr>
            <w:noProof/>
            <w:webHidden/>
          </w:rPr>
          <w:fldChar w:fldCharType="end"/>
        </w:r>
      </w:hyperlink>
    </w:p>
    <w:p w:rsidR="003D5845" w:rsidRDefault="003D5845">
      <w:pPr>
        <w:pStyle w:val="TDC2"/>
        <w:rPr>
          <w:rFonts w:asciiTheme="minorHAnsi" w:eastAsiaTheme="minorEastAsia" w:hAnsiTheme="minorHAnsi" w:cstheme="minorBidi"/>
          <w:noProof/>
          <w:szCs w:val="22"/>
          <w:lang w:val="es-ES" w:eastAsia="es-ES"/>
        </w:rPr>
      </w:pPr>
      <w:hyperlink w:anchor="_Toc82513847" w:history="1">
        <w:r w:rsidRPr="00055BF8">
          <w:rPr>
            <w:rStyle w:val="Hipervnculo"/>
            <w:noProof/>
          </w:rPr>
          <w:t>IV.4. Amaierako konklusioa</w:t>
        </w:r>
        <w:r>
          <w:rPr>
            <w:noProof/>
            <w:webHidden/>
          </w:rPr>
          <w:tab/>
        </w:r>
        <w:r>
          <w:rPr>
            <w:noProof/>
            <w:webHidden/>
          </w:rPr>
          <w:fldChar w:fldCharType="begin"/>
        </w:r>
        <w:r>
          <w:rPr>
            <w:noProof/>
            <w:webHidden/>
          </w:rPr>
          <w:instrText xml:space="preserve"> PAGEREF _Toc82513847 \h </w:instrText>
        </w:r>
        <w:r>
          <w:rPr>
            <w:noProof/>
            <w:webHidden/>
          </w:rPr>
        </w:r>
        <w:r>
          <w:rPr>
            <w:noProof/>
            <w:webHidden/>
          </w:rPr>
          <w:fldChar w:fldCharType="separate"/>
        </w:r>
        <w:r>
          <w:rPr>
            <w:noProof/>
            <w:webHidden/>
          </w:rPr>
          <w:t>14</w:t>
        </w:r>
        <w:r>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48" w:history="1">
        <w:r w:rsidRPr="00055BF8">
          <w:rPr>
            <w:rStyle w:val="Hipervnculo"/>
            <w:noProof/>
          </w:rPr>
          <w:t>Eranskina</w:t>
        </w:r>
        <w:r>
          <w:rPr>
            <w:noProof/>
            <w:webHidden/>
          </w:rPr>
          <w:tab/>
        </w:r>
        <w:r>
          <w:rPr>
            <w:noProof/>
            <w:webHidden/>
          </w:rPr>
          <w:fldChar w:fldCharType="begin"/>
        </w:r>
        <w:r>
          <w:rPr>
            <w:noProof/>
            <w:webHidden/>
          </w:rPr>
          <w:instrText xml:space="preserve"> PAGEREF _Toc82513848 \h </w:instrText>
        </w:r>
        <w:r>
          <w:rPr>
            <w:noProof/>
            <w:webHidden/>
          </w:rPr>
        </w:r>
        <w:r>
          <w:rPr>
            <w:noProof/>
            <w:webHidden/>
          </w:rPr>
          <w:fldChar w:fldCharType="separate"/>
        </w:r>
        <w:r>
          <w:rPr>
            <w:noProof/>
            <w:webHidden/>
          </w:rPr>
          <w:t>16</w:t>
        </w:r>
        <w:r>
          <w:rPr>
            <w:noProof/>
            <w:webHidden/>
          </w:rPr>
          <w:fldChar w:fldCharType="end"/>
        </w:r>
      </w:hyperlink>
    </w:p>
    <w:p w:rsidR="003D5845" w:rsidRDefault="003D5845">
      <w:pPr>
        <w:pStyle w:val="TDC2"/>
        <w:rPr>
          <w:rFonts w:asciiTheme="minorHAnsi" w:eastAsiaTheme="minorEastAsia" w:hAnsiTheme="minorHAnsi" w:cstheme="minorBidi"/>
          <w:noProof/>
          <w:szCs w:val="22"/>
          <w:lang w:val="es-ES" w:eastAsia="es-ES"/>
        </w:rPr>
      </w:pPr>
      <w:hyperlink w:anchor="_Toc82513849" w:history="1">
        <w:r w:rsidRPr="00055BF8">
          <w:rPr>
            <w:rStyle w:val="Hipervnculo"/>
            <w:noProof/>
          </w:rPr>
          <w:t>Eranskina. Kontuen Ganberak Miguel Servet-Navarrabiomed Fundazioari buruz 2016ko irailean emandako txosteneko gomendioen betetze-mailaren txosteneko konklusioak.</w:t>
        </w:r>
        <w:r>
          <w:rPr>
            <w:noProof/>
            <w:webHidden/>
          </w:rPr>
          <w:tab/>
        </w:r>
        <w:r>
          <w:rPr>
            <w:noProof/>
            <w:webHidden/>
          </w:rPr>
          <w:fldChar w:fldCharType="begin"/>
        </w:r>
        <w:r>
          <w:rPr>
            <w:noProof/>
            <w:webHidden/>
          </w:rPr>
          <w:instrText xml:space="preserve"> PAGEREF _Toc82513849 \h </w:instrText>
        </w:r>
        <w:r>
          <w:rPr>
            <w:noProof/>
            <w:webHidden/>
          </w:rPr>
        </w:r>
        <w:r>
          <w:rPr>
            <w:noProof/>
            <w:webHidden/>
          </w:rPr>
          <w:fldChar w:fldCharType="separate"/>
        </w:r>
        <w:r>
          <w:rPr>
            <w:noProof/>
            <w:webHidden/>
          </w:rPr>
          <w:t>17</w:t>
        </w:r>
        <w:r>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50" w:history="1">
        <w:r w:rsidRPr="00055BF8">
          <w:rPr>
            <w:rStyle w:val="Hipervnculo"/>
            <w:noProof/>
          </w:rPr>
          <w:t>Behin-behineko txostenari aurkeztutako alegazioak</w:t>
        </w:r>
        <w:r>
          <w:rPr>
            <w:noProof/>
            <w:webHidden/>
          </w:rPr>
          <w:tab/>
        </w:r>
        <w:r>
          <w:rPr>
            <w:noProof/>
            <w:webHidden/>
          </w:rPr>
          <w:fldChar w:fldCharType="begin"/>
        </w:r>
        <w:r>
          <w:rPr>
            <w:noProof/>
            <w:webHidden/>
          </w:rPr>
          <w:instrText xml:space="preserve"> PAGEREF _Toc82513850 \h </w:instrText>
        </w:r>
        <w:r>
          <w:rPr>
            <w:noProof/>
            <w:webHidden/>
          </w:rPr>
        </w:r>
        <w:r>
          <w:rPr>
            <w:noProof/>
            <w:webHidden/>
          </w:rPr>
          <w:fldChar w:fldCharType="separate"/>
        </w:r>
        <w:r>
          <w:rPr>
            <w:noProof/>
            <w:webHidden/>
          </w:rPr>
          <w:t>22</w:t>
        </w:r>
        <w:r>
          <w:rPr>
            <w:noProof/>
            <w:webHidden/>
          </w:rPr>
          <w:fldChar w:fldCharType="end"/>
        </w:r>
      </w:hyperlink>
    </w:p>
    <w:p w:rsidR="003D5845" w:rsidRDefault="003D5845">
      <w:pPr>
        <w:pStyle w:val="TDC1"/>
        <w:rPr>
          <w:rFonts w:asciiTheme="minorHAnsi" w:eastAsiaTheme="minorEastAsia" w:hAnsiTheme="minorHAnsi" w:cstheme="minorBidi"/>
          <w:smallCaps w:val="0"/>
          <w:noProof/>
          <w:szCs w:val="22"/>
          <w:lang w:val="es-ES" w:eastAsia="es-ES"/>
        </w:rPr>
      </w:pPr>
      <w:hyperlink w:anchor="_Toc82513851" w:history="1">
        <w:r w:rsidRPr="00055BF8">
          <w:rPr>
            <w:rStyle w:val="Hipervnculo"/>
            <w:noProof/>
          </w:rPr>
          <w:t>Behin-behineko txostena dela-eta aurkeztutako alegazioei Kontuen Ganberak emandako erantzuna</w:t>
        </w:r>
        <w:r>
          <w:rPr>
            <w:noProof/>
            <w:webHidden/>
          </w:rPr>
          <w:tab/>
        </w:r>
        <w:r>
          <w:rPr>
            <w:noProof/>
            <w:webHidden/>
          </w:rPr>
          <w:fldChar w:fldCharType="begin"/>
        </w:r>
        <w:r>
          <w:rPr>
            <w:noProof/>
            <w:webHidden/>
          </w:rPr>
          <w:instrText xml:space="preserve"> PAGEREF _Toc82513851 \h </w:instrText>
        </w:r>
        <w:r>
          <w:rPr>
            <w:noProof/>
            <w:webHidden/>
          </w:rPr>
        </w:r>
        <w:r>
          <w:rPr>
            <w:noProof/>
            <w:webHidden/>
          </w:rPr>
          <w:fldChar w:fldCharType="separate"/>
        </w:r>
        <w:r>
          <w:rPr>
            <w:noProof/>
            <w:webHidden/>
          </w:rPr>
          <w:t>23</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F1AFB" w:rsidRPr="009F2B7D" w:rsidRDefault="001728D0" w:rsidP="009F2B7D">
      <w:pPr>
        <w:pStyle w:val="atitulo1"/>
      </w:pPr>
      <w:r>
        <w:lastRenderedPageBreak/>
        <w:t xml:space="preserve"> </w:t>
      </w:r>
      <w:bookmarkStart w:id="1" w:name="_Toc3461799"/>
      <w:bookmarkStart w:id="2" w:name="_Toc73013234"/>
      <w:bookmarkStart w:id="3" w:name="_Toc82513840"/>
      <w:r>
        <w:t>I. Sarrera</w:t>
      </w:r>
      <w:bookmarkEnd w:id="1"/>
      <w:bookmarkEnd w:id="2"/>
      <w:bookmarkEnd w:id="3"/>
    </w:p>
    <w:p w:rsidR="00EF1AFB" w:rsidRPr="0011613C" w:rsidRDefault="00EF1AFB" w:rsidP="0011613C">
      <w:pPr>
        <w:pStyle w:val="texto"/>
      </w:pPr>
      <w:r>
        <w:t>Nafarroako Parlamentuko Eledunen Batzarrak, 2020ko urriaren 13an egi</w:t>
      </w:r>
      <w:r>
        <w:t>n</w:t>
      </w:r>
      <w:r>
        <w:t xml:space="preserve">dako bilkuran, erabaki zuen Nafarroako Kontuen Ganberari eskatzea </w:t>
      </w:r>
      <w:r>
        <w:rPr>
          <w:i/>
          <w:iCs/>
        </w:rPr>
        <w:t xml:space="preserve">“Miguel </w:t>
      </w:r>
      <w:proofErr w:type="spellStart"/>
      <w:r>
        <w:rPr>
          <w:i/>
          <w:iCs/>
        </w:rPr>
        <w:t>Servet</w:t>
      </w:r>
      <w:proofErr w:type="spellEnd"/>
      <w:r>
        <w:rPr>
          <w:i/>
          <w:iCs/>
        </w:rPr>
        <w:t xml:space="preserve"> Fundazioari eta Nafarroako Foru Komunitateko osasun-ikerketa publ</w:t>
      </w:r>
      <w:r>
        <w:rPr>
          <w:i/>
          <w:iCs/>
        </w:rPr>
        <w:t>i</w:t>
      </w:r>
      <w:r>
        <w:rPr>
          <w:i/>
          <w:iCs/>
        </w:rPr>
        <w:t>koaren finantza-iturriei buruzko fiskalizazio txosten bat (2016-2020 aldiari b</w:t>
      </w:r>
      <w:r>
        <w:rPr>
          <w:i/>
          <w:iCs/>
        </w:rPr>
        <w:t>u</w:t>
      </w:r>
      <w:r>
        <w:rPr>
          <w:i/>
          <w:iCs/>
        </w:rPr>
        <w:t>ruzkoa)”</w:t>
      </w:r>
      <w:r>
        <w:t xml:space="preserve"> egin zezan.</w:t>
      </w:r>
    </w:p>
    <w:p w:rsidR="00EF1AFB" w:rsidRPr="0011613C" w:rsidRDefault="00EF1AFB" w:rsidP="0011613C">
      <w:pPr>
        <w:pStyle w:val="texto"/>
      </w:pPr>
      <w:r>
        <w:t>2016ko irailean, Kontuen Ganberak Miguel Fundazioari (hemendik aurrera, Fundazioa) buruzko txosten bat egin zuen, zeinean aztertzen baitzituen nolako antolaketa zuen osasun-ikerketa publikoak Nafarroan, Fundazioaren kontuak eta haren jarduera. Txosten hartan egindako gomendioen jarraipen bat egin dugu.</w:t>
      </w:r>
    </w:p>
    <w:p w:rsidR="00EF1AFB" w:rsidRPr="0011613C" w:rsidRDefault="003A6A45" w:rsidP="0011613C">
      <w:pPr>
        <w:pStyle w:val="texto"/>
      </w:pPr>
      <w:r>
        <w:t>Txostenak lau atal dauzka, sarrera hau barne; bigarrenean, txosten honen a</w:t>
      </w:r>
      <w:r>
        <w:t>l</w:t>
      </w:r>
      <w:r>
        <w:t>derdi orokorrak, helburuak eta norainokoa jaso dira; hirugarrenean, berriz, eg</w:t>
      </w:r>
      <w:r>
        <w:t>i</w:t>
      </w:r>
      <w:r>
        <w:t>niko lanaren konklusioak bildu dira. Eranskin bat ere jaso dugu, gai honi buruz Kontuen Ganberak 2016ko martxoan egindako txostenaren konklusioak biltzen dituena.</w:t>
      </w:r>
    </w:p>
    <w:p w:rsidR="00EF1AFB" w:rsidRDefault="00EF1AFB" w:rsidP="0011613C">
      <w:pPr>
        <w:pStyle w:val="texto"/>
      </w:pPr>
      <w:r>
        <w:t>Lan hori apirilean eta maiatzean egin zuen auditoretzako teknikari batek eta auditore batek osatutako lantaldeak, Kontuen Ganberaren zerbitzu juridikoekin, informatikoekin eta administratiboekin lankidetzan.</w:t>
      </w:r>
    </w:p>
    <w:p w:rsidR="00517A7A" w:rsidRDefault="00D87814" w:rsidP="00517A7A">
      <w:pPr>
        <w:pStyle w:val="texto"/>
      </w:pPr>
      <w:r>
        <w:t>Nafarroako Kontuen Ganbera arautzen duen 19/1984 Foru Legearen 11. art</w:t>
      </w:r>
      <w:r>
        <w:t>i</w:t>
      </w:r>
      <w:r>
        <w:t>kuluan ezarritakoaren arabera, lan honen emaitzak ezagutzera eman ziren, Fu</w:t>
      </w:r>
      <w:r>
        <w:t>n</w:t>
      </w:r>
      <w:r>
        <w:t xml:space="preserve">dazioaren Patronatuko lehendakariak eta </w:t>
      </w:r>
      <w:proofErr w:type="spellStart"/>
      <w:r>
        <w:t>Navarrabiomed-Miguel</w:t>
      </w:r>
      <w:proofErr w:type="spellEnd"/>
      <w:r>
        <w:t xml:space="preserve"> </w:t>
      </w:r>
      <w:proofErr w:type="spellStart"/>
      <w:r>
        <w:t>Servet</w:t>
      </w:r>
      <w:proofErr w:type="spellEnd"/>
      <w:r>
        <w:t xml:space="preserve"> Fund</w:t>
      </w:r>
      <w:r>
        <w:t>a</w:t>
      </w:r>
      <w:r>
        <w:t>zioko zuzendariak alegazioak egin zitzaten.</w:t>
      </w:r>
    </w:p>
    <w:p w:rsidR="00AE7CAF" w:rsidRDefault="00AE7CAF" w:rsidP="00AE7CAF">
      <w:pPr>
        <w:pStyle w:val="texto"/>
      </w:pPr>
      <w:r>
        <w:t xml:space="preserve">Kontuen Ganberak emandako epean, alegazioak aurkeztu ditu </w:t>
      </w:r>
      <w:proofErr w:type="spellStart"/>
      <w:r>
        <w:t>Navarrabi</w:t>
      </w:r>
      <w:r>
        <w:t>o</w:t>
      </w:r>
      <w:r>
        <w:t>med-Miguel</w:t>
      </w:r>
      <w:proofErr w:type="spellEnd"/>
      <w:r>
        <w:t xml:space="preserve"> </w:t>
      </w:r>
      <w:proofErr w:type="spellStart"/>
      <w:r>
        <w:t>Servet</w:t>
      </w:r>
      <w:proofErr w:type="spellEnd"/>
      <w:r>
        <w:t xml:space="preserve"> Fundazioko zuzendariak. Alegazio horiek argipenak dira, eta behin betiko txostenari erantsi zaizkio.</w:t>
      </w:r>
    </w:p>
    <w:p w:rsidR="00EF1AFB" w:rsidRPr="0011613C" w:rsidRDefault="00EF1AFB" w:rsidP="0011613C">
      <w:pPr>
        <w:pStyle w:val="texto"/>
      </w:pPr>
      <w:r>
        <w:t xml:space="preserve">Eskerrak ematen dizkiegu Fundazioko langileei, </w:t>
      </w:r>
      <w:proofErr w:type="spellStart"/>
      <w:r>
        <w:t>lan</w:t>
      </w:r>
      <w:proofErr w:type="spellEnd"/>
      <w:r>
        <w:t xml:space="preserve"> hau egitean emandako laguntzarengatik. </w:t>
      </w:r>
    </w:p>
    <w:p w:rsidR="00EF1AFB" w:rsidRPr="0011613C" w:rsidRDefault="00EF1AFB" w:rsidP="0011613C">
      <w:pPr>
        <w:pStyle w:val="texto"/>
      </w:pPr>
    </w:p>
    <w:p w:rsidR="00EF1AFB" w:rsidRDefault="00EF1AFB" w:rsidP="00EF1AFB">
      <w:pPr>
        <w:spacing w:after="0"/>
        <w:ind w:firstLine="0"/>
        <w:jc w:val="left"/>
        <w:rPr>
          <w:rFonts w:ascii="Arial" w:hAnsi="Arial"/>
          <w:b/>
          <w:color w:val="000000"/>
          <w:kern w:val="28"/>
          <w:sz w:val="25"/>
          <w:szCs w:val="26"/>
        </w:rPr>
      </w:pPr>
      <w:bookmarkStart w:id="4" w:name="_Toc41485556"/>
      <w:bookmarkStart w:id="5" w:name="_Toc11396081"/>
      <w:bookmarkStart w:id="6" w:name="_Toc398207038"/>
      <w:bookmarkStart w:id="7" w:name="_Toc432757087"/>
      <w:bookmarkStart w:id="8" w:name="_Toc447195021"/>
      <w:bookmarkStart w:id="9" w:name="_Toc477171874"/>
      <w:bookmarkStart w:id="10" w:name="_Toc432757082"/>
      <w:bookmarkStart w:id="11" w:name="_Toc447195015"/>
      <w:r>
        <w:br w:type="page"/>
      </w:r>
    </w:p>
    <w:p w:rsidR="003A6A45" w:rsidRDefault="003A6A45" w:rsidP="003A6A45">
      <w:pPr>
        <w:pStyle w:val="atitulo1"/>
      </w:pPr>
      <w:bookmarkStart w:id="12" w:name="_Toc73013235"/>
      <w:bookmarkStart w:id="13" w:name="_Toc82513841"/>
      <w:r>
        <w:lastRenderedPageBreak/>
        <w:t xml:space="preserve">II. Miguel </w:t>
      </w:r>
      <w:proofErr w:type="spellStart"/>
      <w:r>
        <w:t>Servet</w:t>
      </w:r>
      <w:proofErr w:type="spellEnd"/>
      <w:r>
        <w:t xml:space="preserve"> Fundazioa</w:t>
      </w:r>
      <w:bookmarkEnd w:id="13"/>
    </w:p>
    <w:p w:rsidR="003A6A45" w:rsidRPr="0011613C" w:rsidRDefault="003A6A45" w:rsidP="003A6A45">
      <w:pPr>
        <w:pStyle w:val="texto"/>
      </w:pPr>
      <w:r>
        <w:t>Nafarroako osasun-ikerketa publikoa Osasun Departamentuaren mende dago eta, funtsean, Fundazioaren eta Nafarroako Osasun Ikerketarako Institutuaren (</w:t>
      </w:r>
      <w:proofErr w:type="spellStart"/>
      <w:r>
        <w:t>IdiSNA</w:t>
      </w:r>
      <w:proofErr w:type="spellEnd"/>
      <w:r>
        <w:t xml:space="preserve">) bitartez artikulatzen da. </w:t>
      </w:r>
    </w:p>
    <w:p w:rsidR="003A6A45" w:rsidRPr="0011613C" w:rsidRDefault="003A6A45" w:rsidP="003A6A45">
      <w:pPr>
        <w:pStyle w:val="texto"/>
      </w:pPr>
      <w:r>
        <w:t xml:space="preserve">Miguel </w:t>
      </w:r>
      <w:proofErr w:type="spellStart"/>
      <w:r>
        <w:t>Servet</w:t>
      </w:r>
      <w:proofErr w:type="spellEnd"/>
      <w:r>
        <w:t xml:space="preserve"> Fundazioa fundazio pribatu moduan eratu zen irailaren 26ko 211/1986 Foru Dekretuaren bitartez, Nafarroako Foru Komunitateko Admini</w:t>
      </w:r>
      <w:r>
        <w:t>s</w:t>
      </w:r>
      <w:r>
        <w:t xml:space="preserve">trazioaren (NFKA, aurrerantzean) </w:t>
      </w:r>
      <w:proofErr w:type="spellStart"/>
      <w:r>
        <w:t>babesletzaren</w:t>
      </w:r>
      <w:proofErr w:type="spellEnd"/>
      <w:r>
        <w:t xml:space="preserve"> pean. </w:t>
      </w:r>
    </w:p>
    <w:p w:rsidR="003A6A45" w:rsidRPr="0011613C" w:rsidRDefault="003A6A45" w:rsidP="003A6A45">
      <w:pPr>
        <w:pStyle w:val="texto"/>
      </w:pPr>
      <w:r>
        <w:t xml:space="preserve">Gero, 2006ko maiatzaren 2an, Nafarroako Gobernuak fundazio publikoaren izaera eman zion, eta </w:t>
      </w:r>
      <w:proofErr w:type="spellStart"/>
      <w:r>
        <w:t>NFKAren</w:t>
      </w:r>
      <w:proofErr w:type="spellEnd"/>
      <w:r>
        <w:t xml:space="preserve"> sektore publikoan barneratu zuen.</w:t>
      </w:r>
    </w:p>
    <w:p w:rsidR="003A6A45" w:rsidRPr="0011613C" w:rsidRDefault="003A6A45" w:rsidP="003A6A45">
      <w:pPr>
        <w:pStyle w:val="texto"/>
      </w:pPr>
      <w:r>
        <w:t>Fundazioa Foru Komunitateko osasun administrazioaren laguntza zientifiko eta teknikorako organismo baten gisara eratu zen, bereziki irakaskuntza-jardueretan eta osasunaren arloko ikerketaren sustapenean jarduteko. Fundaz</w:t>
      </w:r>
      <w:r>
        <w:t>i</w:t>
      </w:r>
      <w:r>
        <w:t>oak gaitasun juridiko osoa du, bai eta bere helburuak betetzeko gaitasun osoa ere.</w:t>
      </w:r>
    </w:p>
    <w:p w:rsidR="003A6A45" w:rsidRPr="0011613C" w:rsidRDefault="003A6A45" w:rsidP="003A6A45">
      <w:pPr>
        <w:pStyle w:val="texto"/>
      </w:pPr>
      <w:r>
        <w:t>Ikerketa Biomedikorako Zentroa (IBZ</w:t>
      </w:r>
      <w:proofErr w:type="spellStart"/>
      <w:r>
        <w:t xml:space="preserve">), </w:t>
      </w:r>
      <w:proofErr w:type="spellEnd"/>
      <w:r>
        <w:t xml:space="preserve">1994an inauguratua, </w:t>
      </w:r>
      <w:proofErr w:type="spellStart"/>
      <w:r>
        <w:t>Osasunbidea-Nafarroako</w:t>
      </w:r>
      <w:proofErr w:type="spellEnd"/>
      <w:r>
        <w:t xml:space="preserve"> Osasun Zerbitzuko (</w:t>
      </w:r>
      <w:proofErr w:type="spellStart"/>
      <w:r>
        <w:t>O-NOZ</w:t>
      </w:r>
      <w:proofErr w:type="spellEnd"/>
      <w:r>
        <w:t>) profesionalen ikerketarako zentro te</w:t>
      </w:r>
      <w:r>
        <w:t>k</w:t>
      </w:r>
      <w:r>
        <w:t xml:space="preserve">niko bat zen. 2007an, ikerketa areagotu eta hobetzeko, 2007-2011 aldirako Ikerketarako Plan Estrategikoa garatu zen, eta Nafarroako Gobernuak Ikerketa Biomedikorako Zentro berri bat sortzea onetsi zuen. </w:t>
      </w:r>
    </w:p>
    <w:p w:rsidR="003A6A45" w:rsidRPr="0011613C" w:rsidRDefault="003A6A45" w:rsidP="003A6A45">
      <w:pPr>
        <w:pStyle w:val="texto"/>
      </w:pPr>
      <w:r>
        <w:t xml:space="preserve">Uztailaren 18ko 62/2012 Foru Dekretuaren bitartez, </w:t>
      </w:r>
      <w:proofErr w:type="spellStart"/>
      <w:r>
        <w:t>O-NOZen</w:t>
      </w:r>
      <w:proofErr w:type="spellEnd"/>
      <w:r>
        <w:t xml:space="preserve"> estatutu b</w:t>
      </w:r>
      <w:r>
        <w:t>e</w:t>
      </w:r>
      <w:r>
        <w:t>rriak onetsi ziren. Horren ondorioetako bat Ikerketa Biomedikorako Zentroa desagertzea izan zen. Desagertze horren ondorioz, beharrezko gertatu zen Fu</w:t>
      </w:r>
      <w:r>
        <w:t>n</w:t>
      </w:r>
      <w:r>
        <w:t>dazioaren estatutuak aldatzea, zentro horren eginkizunetatik batzuk bere gain har zitzan, Gobernuaren 2012ko uztailaren 18ko Erabakian onetsi zen bezala.</w:t>
      </w:r>
    </w:p>
    <w:p w:rsidR="003A6A45" w:rsidRPr="0011613C" w:rsidRDefault="003A6A45" w:rsidP="003A6A45">
      <w:pPr>
        <w:pStyle w:val="texto"/>
      </w:pPr>
      <w:r>
        <w:t xml:space="preserve">Une horretatik aurrera, </w:t>
      </w:r>
      <w:proofErr w:type="spellStart"/>
      <w:r>
        <w:t>IBZk</w:t>
      </w:r>
      <w:proofErr w:type="spellEnd"/>
      <w:r>
        <w:t xml:space="preserve"> </w:t>
      </w:r>
      <w:proofErr w:type="spellStart"/>
      <w:r>
        <w:t>Navarrabiomed</w:t>
      </w:r>
      <w:proofErr w:type="spellEnd"/>
      <w:r>
        <w:t xml:space="preserve"> izena hartu zuen, eta jada ent</w:t>
      </w:r>
      <w:r>
        <w:t>i</w:t>
      </w:r>
      <w:r>
        <w:t xml:space="preserve">tate bakar bati buruz hitz egin daiteke: Miguel </w:t>
      </w:r>
      <w:proofErr w:type="spellStart"/>
      <w:r>
        <w:t>Servet-Navarrabiomed</w:t>
      </w:r>
      <w:proofErr w:type="spellEnd"/>
      <w:r>
        <w:t xml:space="preserve"> Fund</w:t>
      </w:r>
      <w:r>
        <w:t>a</w:t>
      </w:r>
      <w:r>
        <w:t>zioa, prestakuntzaren eta ikerketaren arloetan diharduena.</w:t>
      </w:r>
    </w:p>
    <w:p w:rsidR="003A6A45" w:rsidRPr="0011613C" w:rsidRDefault="003A6A45" w:rsidP="003A6A45">
      <w:pPr>
        <w:pStyle w:val="texto"/>
      </w:pPr>
      <w:r>
        <w:t xml:space="preserve">Patronatuko kide guztiak </w:t>
      </w:r>
      <w:proofErr w:type="spellStart"/>
      <w:r>
        <w:t>NFKAkoak</w:t>
      </w:r>
      <w:proofErr w:type="spellEnd"/>
      <w:r>
        <w:t xml:space="preserve"> edo Nafarroako Unibertsitate Publik</w:t>
      </w:r>
      <w:r>
        <w:t>o</w:t>
      </w:r>
      <w:r>
        <w:t>koak dira.</w:t>
      </w:r>
    </w:p>
    <w:p w:rsidR="003A6A45" w:rsidRPr="0011613C" w:rsidRDefault="003A6A45" w:rsidP="003A6A45">
      <w:pPr>
        <w:pStyle w:val="texto"/>
      </w:pPr>
      <w:r>
        <w:t xml:space="preserve">Fundazioari buruz ari garela, aipatu behar dugu haren urteko kontuak </w:t>
      </w:r>
      <w:proofErr w:type="spellStart"/>
      <w:r>
        <w:t>aud</w:t>
      </w:r>
      <w:r>
        <w:t>i</w:t>
      </w:r>
      <w:r>
        <w:t>tatu</w:t>
      </w:r>
      <w:proofErr w:type="spellEnd"/>
      <w:r>
        <w:t xml:space="preserve"> egiten direla, eta, gainera, 2017tik aurrera, legezkotasunaren berrikusp</w:t>
      </w:r>
      <w:r>
        <w:t>e</w:t>
      </w:r>
      <w:r>
        <w:t xml:space="preserve">nean adostutako prozedurei buruzko txosten bat egiten dela. Txosten horiek </w:t>
      </w:r>
      <w:proofErr w:type="spellStart"/>
      <w:r>
        <w:t>a</w:t>
      </w:r>
      <w:r>
        <w:t>u</w:t>
      </w:r>
      <w:r>
        <w:t>ditoretza</w:t>
      </w:r>
      <w:proofErr w:type="spellEnd"/>
      <w:r>
        <w:t xml:space="preserve"> pribatuko enpresek egiten dituzte, eta Ekonomia eta Ogasun Depart</w:t>
      </w:r>
      <w:r>
        <w:t>a</w:t>
      </w:r>
      <w:r>
        <w:t>mentuko Finantza Kontrol Iraunkorrerako eta Auditoretzako Zerbitzuak gai</w:t>
      </w:r>
      <w:r>
        <w:t>n</w:t>
      </w:r>
      <w:r>
        <w:t xml:space="preserve">begiratzen ditu. </w:t>
      </w:r>
    </w:p>
    <w:p w:rsidR="003A6A45" w:rsidRDefault="003A6A45">
      <w:pPr>
        <w:spacing w:after="0"/>
        <w:ind w:firstLine="0"/>
        <w:jc w:val="left"/>
        <w:rPr>
          <w:rFonts w:ascii="Arial" w:hAnsi="Arial"/>
          <w:b/>
          <w:color w:val="000000"/>
          <w:kern w:val="28"/>
          <w:sz w:val="25"/>
          <w:szCs w:val="26"/>
        </w:rPr>
      </w:pPr>
      <w:r>
        <w:br w:type="page"/>
      </w:r>
    </w:p>
    <w:p w:rsidR="00EF1AFB" w:rsidRPr="009F2B7D" w:rsidRDefault="003A6A45" w:rsidP="009F2B7D">
      <w:pPr>
        <w:pStyle w:val="atitulo1"/>
      </w:pPr>
      <w:bookmarkStart w:id="14" w:name="_Toc82513842"/>
      <w:r>
        <w:lastRenderedPageBreak/>
        <w:t>III. Helburuak eta norainokoa</w:t>
      </w:r>
      <w:bookmarkEnd w:id="4"/>
      <w:bookmarkEnd w:id="5"/>
      <w:bookmarkEnd w:id="12"/>
      <w:bookmarkEnd w:id="14"/>
    </w:p>
    <w:p w:rsidR="00EF1AFB" w:rsidRPr="000F738A" w:rsidRDefault="00EF1AFB" w:rsidP="000F738A">
      <w:pPr>
        <w:pStyle w:val="texto"/>
      </w:pPr>
      <w:r>
        <w:t>Honako hauek dira lan honen helburuak, Parlamentuak egindako eskaria kontuan hartuta:</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Fundazioaren kudeaketarekin lotutako alderdi batzuen bilakaera aztertzea.</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Kontuen Ganberak Fundazioari buruz 2016ko irailean emandako txost</w:t>
      </w:r>
      <w:r>
        <w:t>e</w:t>
      </w:r>
      <w:r>
        <w:t>neko gomendioen betetze-mailaren jarraipena egitea.</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2019. eta 2020. urteetako langileen, ondasun arrunten eta zerbitzuen ko</w:t>
      </w:r>
      <w:r>
        <w:t>n</w:t>
      </w:r>
      <w:r>
        <w:t>tratazioen legezkotasuna berrikustea.</w:t>
      </w:r>
    </w:p>
    <w:p w:rsidR="00EF1AFB" w:rsidRPr="000F738A" w:rsidRDefault="00EF1AFB" w:rsidP="000F738A">
      <w:pPr>
        <w:pStyle w:val="texto"/>
      </w:pPr>
      <w:r>
        <w:t xml:space="preserve">Gure lanaren </w:t>
      </w:r>
      <w:proofErr w:type="spellStart"/>
      <w:r>
        <w:t>denbora-norainokoa</w:t>
      </w:r>
      <w:proofErr w:type="spellEnd"/>
      <w:r>
        <w:t xml:space="preserve"> 2016-2020 aldiari dagokiona </w:t>
      </w:r>
      <w:proofErr w:type="spellStart"/>
      <w:r>
        <w:t>da</w:t>
      </w:r>
      <w:proofErr w:type="spellEnd"/>
      <w:r>
        <w:t xml:space="preserve">. Honako hau da aztertutako informazioa: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Fundazioaren kudeaketa-adierazleak, gastuekin, diru-sarrerekin, finantz</w:t>
      </w:r>
      <w:r>
        <w:t>a</w:t>
      </w:r>
      <w:r>
        <w:t>ketarekin, langileekin eta jarduerarekin lotutakoak.</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 xml:space="preserve">Ganbera honek 2016ko iraileko txostenean egindako gomendioak.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Langileen kontratazioen eta ondasun eta zerbitzuetako gastu arrunten lagin bat.</w:t>
      </w:r>
    </w:p>
    <w:p w:rsidR="009F2B7D"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Finantza-auditoretzako txostenak eta Fundazioaren legezkotasunari buruz adostutako prozeduren txostenak, Finantza Kontrol Iraunkorreko eta Auditor</w:t>
      </w:r>
      <w:r>
        <w:t>e</w:t>
      </w:r>
      <w:r>
        <w:t xml:space="preserve">tzako Zerbitzuak gainbegiratuta. </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proofErr w:type="spellStart"/>
      <w:r>
        <w:t>NFKAren</w:t>
      </w:r>
      <w:proofErr w:type="spellEnd"/>
      <w:r>
        <w:t xml:space="preserve"> aurrekontu-partidak, Fundazioarentzako direnak.</w:t>
      </w:r>
    </w:p>
    <w:p w:rsidR="00EF1AFB" w:rsidRPr="000F738A" w:rsidRDefault="00EF1AFB" w:rsidP="006E77E2">
      <w:pPr>
        <w:pStyle w:val="texto"/>
        <w:numPr>
          <w:ilvl w:val="0"/>
          <w:numId w:val="21"/>
        </w:numPr>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left="0" w:firstLine="290"/>
      </w:pPr>
      <w:r>
        <w:t>Fundazioari aplikatzekoa zaion araudia.</w:t>
      </w:r>
    </w:p>
    <w:p w:rsidR="00EF1AFB" w:rsidRDefault="00EF1AFB" w:rsidP="00EF1AFB">
      <w:pPr>
        <w:spacing w:after="0"/>
        <w:ind w:firstLine="0"/>
        <w:jc w:val="left"/>
        <w:rPr>
          <w:rFonts w:ascii="Arial" w:hAnsi="Arial"/>
          <w:b/>
          <w:color w:val="000000"/>
          <w:kern w:val="28"/>
          <w:sz w:val="25"/>
          <w:szCs w:val="26"/>
        </w:rPr>
      </w:pPr>
      <w:bookmarkStart w:id="15" w:name="_Toc41485557"/>
      <w:r>
        <w:br w:type="page"/>
      </w:r>
    </w:p>
    <w:p w:rsidR="00EF1AFB" w:rsidRPr="002509BE" w:rsidRDefault="00EF1AFB" w:rsidP="002509BE">
      <w:pPr>
        <w:pStyle w:val="atitulo1"/>
      </w:pPr>
      <w:bookmarkStart w:id="16" w:name="_Toc73013236"/>
      <w:bookmarkStart w:id="17" w:name="_Toc82513843"/>
      <w:r>
        <w:lastRenderedPageBreak/>
        <w:t>IV. Konklusioak</w:t>
      </w:r>
      <w:bookmarkEnd w:id="15"/>
      <w:r>
        <w:t xml:space="preserve"> eta gomendioak</w:t>
      </w:r>
      <w:bookmarkEnd w:id="16"/>
      <w:bookmarkEnd w:id="17"/>
    </w:p>
    <w:p w:rsidR="00EF1AFB" w:rsidRPr="00F377C9" w:rsidRDefault="00EF1AFB" w:rsidP="00DA11A9">
      <w:pPr>
        <w:pStyle w:val="atitulo3"/>
        <w:spacing w:before="240"/>
      </w:pPr>
      <w:r>
        <w:t xml:space="preserve">Fundazioaren erantzukizuna </w:t>
      </w:r>
    </w:p>
    <w:p w:rsidR="00EF1AFB" w:rsidRDefault="00EF1AFB" w:rsidP="00EF1AFB">
      <w:pPr>
        <w:pStyle w:val="texto"/>
      </w:pPr>
      <w:r>
        <w:t>Fundazioaren Zuzendaritza da kudeaketaren arduraduna, bai eta beharrezk</w:t>
      </w:r>
      <w:r>
        <w:t>o</w:t>
      </w:r>
      <w:r>
        <w:t>tzat jotzen dituen barne-kontroleko sistemak ezartzearen arduraduna ere, Fu</w:t>
      </w:r>
      <w:r>
        <w:t>n</w:t>
      </w:r>
      <w:r>
        <w:t>dazioaren jarduerak legezko ez-betetzerik eta iruzur edo akatsen ondoriozko akats materialik ez duela izanen bermatzeko.</w:t>
      </w:r>
    </w:p>
    <w:p w:rsidR="00EF1AFB" w:rsidRPr="00F377C9" w:rsidRDefault="00EF1AFB" w:rsidP="00DA11A9">
      <w:pPr>
        <w:pStyle w:val="atitulo3"/>
        <w:spacing w:before="240"/>
      </w:pPr>
      <w:r>
        <w:t>Nafarroako Kontuen Ganberaren erantzukizuna</w:t>
      </w:r>
    </w:p>
    <w:p w:rsidR="00EF1AFB" w:rsidRPr="00F377C9" w:rsidRDefault="00EF1AFB" w:rsidP="00EF1AFB">
      <w:pPr>
        <w:pStyle w:val="texto"/>
      </w:pPr>
      <w:r>
        <w:t>Gure erantzukizuna da geure fiskalizazioan oinarritutako konklusio bat adi</w:t>
      </w:r>
      <w:r>
        <w:t>e</w:t>
      </w:r>
      <w:r>
        <w:t>raztea, Fundazioaren kudeaketaren alderdi jakin batzuen bilakaerari, Ganberak egindako gomendioen betetze-mailari eta langileak, ondasun arruntak eta zerb</w:t>
      </w:r>
      <w:r>
        <w:t>i</w:t>
      </w:r>
      <w:r>
        <w:t xml:space="preserve">tzuak kontratatzeko legezkotasunari dagokienez. </w:t>
      </w:r>
    </w:p>
    <w:p w:rsidR="00EF1AFB" w:rsidRDefault="00EF1AFB" w:rsidP="00EF1AFB">
      <w:pPr>
        <w:pStyle w:val="texto"/>
      </w:pPr>
      <w:r>
        <w:t>Horretarako, erantzukizun hori bete dugu kanpo kontroleko erakunde publ</w:t>
      </w:r>
      <w:r>
        <w:t>i</w:t>
      </w:r>
      <w:r>
        <w:t xml:space="preserve">koen oinarrizko fiskalizazio-printzipioei heldurik. Printzipio horiek behartzen gaituzte etika-eskakizunak betetzera eta </w:t>
      </w:r>
      <w:proofErr w:type="spellStart"/>
      <w:r>
        <w:t>auditoretza</w:t>
      </w:r>
      <w:proofErr w:type="spellEnd"/>
      <w:r>
        <w:t xml:space="preserve"> halako moduz planifikatu eta egitera non ezagutza egokia lortuko baitugu gomendioak betetze aldera er</w:t>
      </w:r>
      <w:r>
        <w:t>a</w:t>
      </w:r>
      <w:r>
        <w:t xml:space="preserve">bilitako prozedurez, kasua bada, bai eta taxuzko ziurtasun bat ere, informazioa oker materialik gabekoa eta alderdi adierazgarri guztietan araudi indardunaren araberakoa izateari buruz. </w:t>
      </w:r>
    </w:p>
    <w:p w:rsidR="000934DB" w:rsidRPr="000934DB" w:rsidRDefault="000934DB" w:rsidP="000934DB">
      <w:pPr>
        <w:tabs>
          <w:tab w:val="center" w:pos="2835"/>
          <w:tab w:val="center" w:pos="3969"/>
          <w:tab w:val="center" w:pos="5103"/>
          <w:tab w:val="center" w:pos="6237"/>
          <w:tab w:val="center" w:pos="7371"/>
        </w:tabs>
        <w:ind w:firstLine="284"/>
        <w:rPr>
          <w:spacing w:val="6"/>
          <w:sz w:val="26"/>
          <w:szCs w:val="24"/>
        </w:rPr>
      </w:pPr>
      <w:r>
        <w:rPr>
          <w:sz w:val="26"/>
          <w:szCs w:val="24"/>
        </w:rPr>
        <w:t xml:space="preserve">Fiskalizazio batek prozedurak aplikatzea eskatzen du, </w:t>
      </w:r>
      <w:proofErr w:type="spellStart"/>
      <w:r>
        <w:rPr>
          <w:sz w:val="26"/>
          <w:szCs w:val="24"/>
        </w:rPr>
        <w:t>auditoretza-ebidentzia</w:t>
      </w:r>
      <w:proofErr w:type="spellEnd"/>
      <w:r>
        <w:rPr>
          <w:sz w:val="26"/>
          <w:szCs w:val="24"/>
        </w:rPr>
        <w:t xml:space="preserve"> lo</w:t>
      </w:r>
      <w:r>
        <w:rPr>
          <w:sz w:val="26"/>
          <w:szCs w:val="24"/>
        </w:rPr>
        <w:t>r</w:t>
      </w:r>
      <w:r>
        <w:rPr>
          <w:sz w:val="26"/>
          <w:szCs w:val="24"/>
        </w:rPr>
        <w:t>tzeko gure txostenean emandako gomendioak betetzeari buruz eta langileen eta o</w:t>
      </w:r>
      <w:r>
        <w:rPr>
          <w:sz w:val="26"/>
          <w:szCs w:val="24"/>
        </w:rPr>
        <w:t>n</w:t>
      </w:r>
      <w:r>
        <w:rPr>
          <w:sz w:val="26"/>
          <w:szCs w:val="24"/>
        </w:rPr>
        <w:t>dasun arrunten eta zerbitzuen kontratazioaren legezkotasunari buruz. Hautatutako prozedurak auditorearen irizpidearen araberakoak dira, barne dela akats materialei buruzko arriskuen balorazioa, akats hori iruzurraren nahiz akatsaren ondoriozkoa denean eta legezkotasunaren ez-betetze aipagarrien ondoriozkoa denean. Arriskuari buruzko balorazio horiek egitean, auditoreak beharrezkoa den barne kontrola ha</w:t>
      </w:r>
      <w:r>
        <w:rPr>
          <w:sz w:val="26"/>
          <w:szCs w:val="24"/>
        </w:rPr>
        <w:t>r</w:t>
      </w:r>
      <w:r>
        <w:rPr>
          <w:sz w:val="26"/>
          <w:szCs w:val="24"/>
        </w:rPr>
        <w:t xml:space="preserve">tzen du kontuan </w:t>
      </w:r>
      <w:proofErr w:type="spellStart"/>
      <w:r>
        <w:rPr>
          <w:sz w:val="26"/>
          <w:szCs w:val="24"/>
        </w:rPr>
        <w:t>—gomendioak</w:t>
      </w:r>
      <w:proofErr w:type="spellEnd"/>
      <w:r>
        <w:rPr>
          <w:sz w:val="26"/>
          <w:szCs w:val="24"/>
        </w:rPr>
        <w:t xml:space="preserve"> betetzekoa eta legeak betetzen dituela </w:t>
      </w:r>
      <w:proofErr w:type="spellStart"/>
      <w:r>
        <w:rPr>
          <w:sz w:val="26"/>
          <w:szCs w:val="24"/>
        </w:rPr>
        <w:t>bermatz</w:t>
      </w:r>
      <w:r>
        <w:rPr>
          <w:sz w:val="26"/>
          <w:szCs w:val="24"/>
        </w:rPr>
        <w:t>e</w:t>
      </w:r>
      <w:r>
        <w:rPr>
          <w:sz w:val="26"/>
          <w:szCs w:val="24"/>
        </w:rPr>
        <w:t>koa—</w:t>
      </w:r>
      <w:proofErr w:type="spellEnd"/>
      <w:r>
        <w:rPr>
          <w:sz w:val="26"/>
          <w:szCs w:val="24"/>
        </w:rPr>
        <w:t xml:space="preserve">, horrela diseinatze aldera inguruabarren arabera egoki diren </w:t>
      </w:r>
      <w:proofErr w:type="spellStart"/>
      <w:r>
        <w:rPr>
          <w:sz w:val="26"/>
          <w:szCs w:val="24"/>
        </w:rPr>
        <w:t>auditoretza-prozedurak</w:t>
      </w:r>
      <w:proofErr w:type="spellEnd"/>
      <w:r>
        <w:rPr>
          <w:sz w:val="26"/>
          <w:szCs w:val="24"/>
        </w:rPr>
        <w:t xml:space="preserve">, eta ez entitatearen barne kontrolaren eraginkortasunari buruzko iritzia emateko xedez. </w:t>
      </w:r>
    </w:p>
    <w:p w:rsidR="000934DB" w:rsidRPr="000934DB" w:rsidRDefault="000934DB" w:rsidP="000934DB">
      <w:pPr>
        <w:tabs>
          <w:tab w:val="center" w:pos="2835"/>
          <w:tab w:val="center" w:pos="3969"/>
          <w:tab w:val="center" w:pos="5103"/>
          <w:tab w:val="center" w:pos="6237"/>
          <w:tab w:val="center" w:pos="7371"/>
        </w:tabs>
        <w:ind w:firstLine="284"/>
        <w:rPr>
          <w:spacing w:val="6"/>
          <w:sz w:val="26"/>
          <w:szCs w:val="24"/>
        </w:rPr>
      </w:pPr>
      <w:proofErr w:type="spellStart"/>
      <w:r>
        <w:rPr>
          <w:sz w:val="26"/>
          <w:szCs w:val="24"/>
        </w:rPr>
        <w:t>Auditoretza</w:t>
      </w:r>
      <w:proofErr w:type="spellEnd"/>
      <w:r>
        <w:rPr>
          <w:sz w:val="26"/>
          <w:szCs w:val="24"/>
        </w:rPr>
        <w:t xml:space="preserve"> batek barne biltzen du, era berean, aplikatutako kontabilitate-politiken egokitasuna eta zuzendaritzak egindako kontabilitate-estimazioen arr</w:t>
      </w:r>
      <w:r>
        <w:rPr>
          <w:sz w:val="26"/>
          <w:szCs w:val="24"/>
        </w:rPr>
        <w:t>a</w:t>
      </w:r>
      <w:r>
        <w:rPr>
          <w:sz w:val="26"/>
          <w:szCs w:val="24"/>
        </w:rPr>
        <w:t>zoizkotasuna, kasua bada, bai eta urteko kontuen aurkezpena ere.</w:t>
      </w:r>
    </w:p>
    <w:p w:rsidR="00EF1AFB" w:rsidRPr="000934DB" w:rsidRDefault="000934DB" w:rsidP="000934DB">
      <w:pPr>
        <w:tabs>
          <w:tab w:val="center" w:pos="2835"/>
          <w:tab w:val="center" w:pos="3969"/>
          <w:tab w:val="center" w:pos="5103"/>
          <w:tab w:val="center" w:pos="6237"/>
          <w:tab w:val="center" w:pos="7371"/>
        </w:tabs>
        <w:ind w:firstLine="284"/>
        <w:rPr>
          <w:spacing w:val="6"/>
          <w:sz w:val="26"/>
          <w:szCs w:val="24"/>
        </w:rPr>
      </w:pPr>
      <w:r>
        <w:rPr>
          <w:sz w:val="26"/>
          <w:szCs w:val="24"/>
        </w:rPr>
        <w:t xml:space="preserve">Gure ustez, lortu dugun </w:t>
      </w:r>
      <w:proofErr w:type="spellStart"/>
      <w:r>
        <w:rPr>
          <w:sz w:val="26"/>
          <w:szCs w:val="24"/>
        </w:rPr>
        <w:t>auditoretza-ebidentziak</w:t>
      </w:r>
      <w:proofErr w:type="spellEnd"/>
      <w:r>
        <w:rPr>
          <w:sz w:val="26"/>
          <w:szCs w:val="24"/>
        </w:rPr>
        <w:t xml:space="preserve"> behar adinako eta behar bezalako oinarria ematen du gure iritzia eta konklusioak funtsatzeko.</w:t>
      </w:r>
    </w:p>
    <w:p w:rsidR="00EF1AFB" w:rsidRPr="00AD3E89" w:rsidRDefault="000934DB" w:rsidP="00AD3E89">
      <w:pPr>
        <w:pStyle w:val="atitulo2"/>
      </w:pPr>
      <w:bookmarkStart w:id="18" w:name="_Toc41485558"/>
      <w:bookmarkStart w:id="19" w:name="_Toc73013237"/>
      <w:bookmarkStart w:id="20" w:name="_Toc82513844"/>
      <w:r>
        <w:t xml:space="preserve">IV.1. </w:t>
      </w:r>
      <w:bookmarkEnd w:id="18"/>
      <w:r>
        <w:t xml:space="preserve">Miguel </w:t>
      </w:r>
      <w:proofErr w:type="spellStart"/>
      <w:r>
        <w:t>Servet</w:t>
      </w:r>
      <w:proofErr w:type="spellEnd"/>
      <w:r>
        <w:t xml:space="preserve"> Fundazioaren kudeaketari buruzko alderdi orokorrak</w:t>
      </w:r>
      <w:bookmarkEnd w:id="19"/>
      <w:bookmarkEnd w:id="20"/>
    </w:p>
    <w:p w:rsidR="00EF1AFB" w:rsidRDefault="00EF1AFB" w:rsidP="00EF1AFB">
      <w:pPr>
        <w:pStyle w:val="texto"/>
        <w:spacing w:before="120" w:after="240"/>
      </w:pPr>
      <w:bookmarkStart w:id="21" w:name="#10007318"/>
      <w:bookmarkStart w:id="22" w:name="_Toc41485559"/>
      <w:bookmarkEnd w:id="21"/>
      <w:r>
        <w:t>Ondoren, Fundazioaren kudeaketarekin zerikusia duten alderdi batzuen 2016-2020 aldiaren bilakaera aztertuko dugu.</w:t>
      </w:r>
    </w:p>
    <w:p w:rsidR="00EF1AFB" w:rsidRPr="00261BB6" w:rsidRDefault="00EF1AFB" w:rsidP="00EE7347">
      <w:pPr>
        <w:pStyle w:val="atitulo3"/>
        <w:spacing w:before="240"/>
      </w:pPr>
      <w:r>
        <w:lastRenderedPageBreak/>
        <w:t>Fundazioaren gastuak</w:t>
      </w:r>
    </w:p>
    <w:p w:rsidR="00EF1AFB" w:rsidRDefault="00EF1AFB" w:rsidP="00EE7347">
      <w:pPr>
        <w:pStyle w:val="texto"/>
        <w:spacing w:before="240" w:after="240"/>
      </w:pPr>
      <w:r>
        <w:t xml:space="preserve">Hona hemen Fundazioaren gastuen 2016-2020 aldiko bilakaera, </w:t>
      </w:r>
      <w:proofErr w:type="spellStart"/>
      <w:r>
        <w:t>auditatutako</w:t>
      </w:r>
      <w:proofErr w:type="spellEnd"/>
      <w:r>
        <w:t xml:space="preserve"> urteko kontuei jarraituz:</w:t>
      </w:r>
    </w:p>
    <w:tbl>
      <w:tblPr>
        <w:tblStyle w:val="Tablaconcuadrcula"/>
        <w:tblW w:w="878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58"/>
        <w:gridCol w:w="1075"/>
        <w:gridCol w:w="1075"/>
        <w:gridCol w:w="1075"/>
        <w:gridCol w:w="1075"/>
        <w:gridCol w:w="1075"/>
        <w:gridCol w:w="878"/>
        <w:gridCol w:w="878"/>
      </w:tblGrid>
      <w:tr w:rsidR="00EF1AFB" w:rsidRPr="00094A9C" w:rsidTr="00373351">
        <w:trPr>
          <w:trHeight w:val="255"/>
        </w:trPr>
        <w:tc>
          <w:tcPr>
            <w:tcW w:w="1444" w:type="dxa"/>
            <w:shd w:val="clear" w:color="auto" w:fill="8DB3E2" w:themeFill="text2" w:themeFillTint="66"/>
          </w:tcPr>
          <w:p w:rsidR="00EF1AFB" w:rsidRPr="00094A9C" w:rsidRDefault="00EF1AFB" w:rsidP="00373351">
            <w:pPr>
              <w:pStyle w:val="cuadroCabe"/>
              <w:ind w:left="-113" w:right="-196"/>
              <w:jc w:val="left"/>
              <w:rPr>
                <w:sz w:val="17"/>
                <w:szCs w:val="17"/>
              </w:rPr>
            </w:pP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Pr>
                <w:sz w:val="17"/>
                <w:szCs w:val="17"/>
              </w:rPr>
              <w:t>2016</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Pr>
                <w:sz w:val="17"/>
                <w:szCs w:val="17"/>
              </w:rPr>
              <w:t>2017</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Pr>
                <w:sz w:val="17"/>
                <w:szCs w:val="17"/>
              </w:rPr>
              <w:t>2018</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Pr>
                <w:sz w:val="17"/>
                <w:szCs w:val="17"/>
              </w:rPr>
              <w:t>2019</w:t>
            </w:r>
          </w:p>
        </w:tc>
        <w:tc>
          <w:tcPr>
            <w:tcW w:w="936" w:type="dxa"/>
            <w:shd w:val="clear" w:color="auto" w:fill="8DB3E2" w:themeFill="text2" w:themeFillTint="66"/>
            <w:vAlign w:val="center"/>
          </w:tcPr>
          <w:p w:rsidR="00EF1AFB" w:rsidRPr="00094A9C" w:rsidRDefault="00EF1AFB" w:rsidP="009F2B7D">
            <w:pPr>
              <w:pStyle w:val="cuadroCabe"/>
              <w:jc w:val="right"/>
              <w:rPr>
                <w:sz w:val="17"/>
                <w:szCs w:val="17"/>
              </w:rPr>
            </w:pPr>
            <w:r>
              <w:rPr>
                <w:sz w:val="17"/>
                <w:szCs w:val="17"/>
              </w:rPr>
              <w:t>2020</w:t>
            </w:r>
          </w:p>
        </w:tc>
        <w:tc>
          <w:tcPr>
            <w:tcW w:w="765" w:type="dxa"/>
            <w:shd w:val="clear" w:color="auto" w:fill="8DB3E2" w:themeFill="text2" w:themeFillTint="66"/>
            <w:vAlign w:val="center"/>
          </w:tcPr>
          <w:p w:rsidR="00EF1AFB" w:rsidRPr="00094A9C" w:rsidRDefault="00094A9C" w:rsidP="00094A9C">
            <w:pPr>
              <w:pStyle w:val="cuadroCabe"/>
              <w:jc w:val="right"/>
              <w:rPr>
                <w:sz w:val="17"/>
                <w:szCs w:val="17"/>
              </w:rPr>
            </w:pPr>
            <w:r>
              <w:rPr>
                <w:sz w:val="17"/>
                <w:szCs w:val="17"/>
              </w:rPr>
              <w:t>Aldea (%) 2020/16</w:t>
            </w:r>
          </w:p>
        </w:tc>
        <w:tc>
          <w:tcPr>
            <w:tcW w:w="765" w:type="dxa"/>
            <w:shd w:val="clear" w:color="auto" w:fill="8DB3E2" w:themeFill="text2" w:themeFillTint="66"/>
            <w:vAlign w:val="center"/>
          </w:tcPr>
          <w:p w:rsidR="00EF1AFB" w:rsidRPr="00094A9C" w:rsidRDefault="00EF1AFB" w:rsidP="00801DA4">
            <w:pPr>
              <w:pStyle w:val="cuadroCabe"/>
              <w:ind w:left="-89"/>
              <w:jc w:val="right"/>
              <w:rPr>
                <w:sz w:val="17"/>
                <w:szCs w:val="17"/>
              </w:rPr>
            </w:pPr>
            <w:r>
              <w:rPr>
                <w:sz w:val="17"/>
                <w:szCs w:val="17"/>
              </w:rPr>
              <w:t>Aldea (%) 2020/19</w:t>
            </w:r>
          </w:p>
        </w:tc>
      </w:tr>
      <w:tr w:rsidR="00EF1AFB" w:rsidRPr="009F2B7D" w:rsidTr="00373351">
        <w:trPr>
          <w:trHeight w:val="198"/>
        </w:trPr>
        <w:tc>
          <w:tcPr>
            <w:tcW w:w="1444" w:type="dxa"/>
            <w:tcBorders>
              <w:bottom w:val="single" w:sz="2" w:space="0" w:color="auto"/>
            </w:tcBorders>
            <w:vAlign w:val="center"/>
          </w:tcPr>
          <w:p w:rsidR="00EF1AFB" w:rsidRPr="009F2B7D" w:rsidRDefault="00EF1AFB" w:rsidP="00EE7347">
            <w:pPr>
              <w:pStyle w:val="cuatexto"/>
              <w:jc w:val="left"/>
              <w:rPr>
                <w:sz w:val="18"/>
                <w:szCs w:val="18"/>
              </w:rPr>
            </w:pPr>
            <w:r>
              <w:rPr>
                <w:sz w:val="18"/>
                <w:szCs w:val="18"/>
              </w:rPr>
              <w:t>Langile-gastuak</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2.404.592</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2.622.620</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3.193.278</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4.027.948</w:t>
            </w:r>
          </w:p>
        </w:tc>
        <w:tc>
          <w:tcPr>
            <w:tcW w:w="936"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4.213.044</w:t>
            </w:r>
          </w:p>
        </w:tc>
        <w:tc>
          <w:tcPr>
            <w:tcW w:w="765"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75</w:t>
            </w:r>
          </w:p>
        </w:tc>
        <w:tc>
          <w:tcPr>
            <w:tcW w:w="765" w:type="dxa"/>
            <w:tcBorders>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5</w:t>
            </w:r>
          </w:p>
        </w:tc>
      </w:tr>
      <w:tr w:rsidR="00EF1AFB" w:rsidRPr="009F2B7D" w:rsidTr="00373351">
        <w:trPr>
          <w:trHeight w:val="198"/>
        </w:trPr>
        <w:tc>
          <w:tcPr>
            <w:tcW w:w="1444" w:type="dxa"/>
            <w:tcBorders>
              <w:top w:val="single" w:sz="2" w:space="0" w:color="auto"/>
              <w:bottom w:val="single" w:sz="2" w:space="0" w:color="auto"/>
            </w:tcBorders>
            <w:vAlign w:val="center"/>
          </w:tcPr>
          <w:p w:rsidR="00EF1AFB" w:rsidRPr="009F2B7D" w:rsidRDefault="00EF1AFB" w:rsidP="00373351">
            <w:pPr>
              <w:pStyle w:val="cuatexto"/>
              <w:jc w:val="left"/>
              <w:rPr>
                <w:sz w:val="18"/>
                <w:szCs w:val="18"/>
              </w:rPr>
            </w:pPr>
            <w:r>
              <w:rPr>
                <w:sz w:val="18"/>
                <w:szCs w:val="18"/>
              </w:rPr>
              <w:t>Ondasun arrunten eta zerbitzuen ga</w:t>
            </w:r>
            <w:r>
              <w:rPr>
                <w:sz w:val="18"/>
                <w:szCs w:val="18"/>
              </w:rPr>
              <w:t>s</w:t>
            </w:r>
            <w:r>
              <w:rPr>
                <w:sz w:val="18"/>
                <w:szCs w:val="18"/>
              </w:rPr>
              <w:t>tuak</w:t>
            </w:r>
          </w:p>
        </w:tc>
        <w:tc>
          <w:tcPr>
            <w:tcW w:w="936" w:type="dxa"/>
            <w:tcBorders>
              <w:top w:val="single" w:sz="2" w:space="0" w:color="auto"/>
              <w:bottom w:val="single" w:sz="2" w:space="0" w:color="auto"/>
            </w:tcBorders>
            <w:vAlign w:val="center"/>
          </w:tcPr>
          <w:p w:rsidR="00EF1AFB" w:rsidRPr="009F2B7D" w:rsidRDefault="00EF1AFB" w:rsidP="00EE7347">
            <w:pPr>
              <w:pStyle w:val="cuatexto"/>
              <w:ind w:left="-204"/>
              <w:jc w:val="right"/>
              <w:rPr>
                <w:rFonts w:cs="Calibri"/>
                <w:color w:val="000000"/>
                <w:sz w:val="18"/>
                <w:szCs w:val="18"/>
              </w:rPr>
            </w:pPr>
            <w:r>
              <w:rPr>
                <w:color w:val="000000"/>
                <w:sz w:val="18"/>
                <w:szCs w:val="18"/>
              </w:rPr>
              <w:t>1.568.238</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2.590.270</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2.318.846</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3.044.683</w:t>
            </w:r>
          </w:p>
        </w:tc>
        <w:tc>
          <w:tcPr>
            <w:tcW w:w="936"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2.114.540</w:t>
            </w:r>
          </w:p>
        </w:tc>
        <w:tc>
          <w:tcPr>
            <w:tcW w:w="765"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35</w:t>
            </w:r>
          </w:p>
        </w:tc>
        <w:tc>
          <w:tcPr>
            <w:tcW w:w="765" w:type="dxa"/>
            <w:tcBorders>
              <w:top w:val="single" w:sz="2" w:space="0" w:color="auto"/>
              <w:bottom w:val="single" w:sz="2"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-31</w:t>
            </w:r>
          </w:p>
        </w:tc>
      </w:tr>
      <w:tr w:rsidR="00EF1AFB" w:rsidRPr="009F2B7D" w:rsidTr="00097E98">
        <w:trPr>
          <w:trHeight w:val="198"/>
        </w:trPr>
        <w:tc>
          <w:tcPr>
            <w:tcW w:w="1444" w:type="dxa"/>
            <w:tcBorders>
              <w:top w:val="single" w:sz="2" w:space="0" w:color="auto"/>
              <w:bottom w:val="single" w:sz="4" w:space="0" w:color="auto"/>
            </w:tcBorders>
            <w:vAlign w:val="center"/>
          </w:tcPr>
          <w:p w:rsidR="00EF1AFB" w:rsidRPr="009F2B7D" w:rsidRDefault="00EF1AFB" w:rsidP="00EE7347">
            <w:pPr>
              <w:pStyle w:val="cuatexto"/>
              <w:jc w:val="left"/>
              <w:rPr>
                <w:sz w:val="18"/>
                <w:szCs w:val="18"/>
              </w:rPr>
            </w:pPr>
            <w:r>
              <w:rPr>
                <w:sz w:val="18"/>
                <w:szCs w:val="18"/>
              </w:rPr>
              <w:t>Bestelakoak</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780.533*</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226.103</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314.187</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439.642</w:t>
            </w:r>
          </w:p>
        </w:tc>
        <w:tc>
          <w:tcPr>
            <w:tcW w:w="936"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375.476</w:t>
            </w:r>
          </w:p>
        </w:tc>
        <w:tc>
          <w:tcPr>
            <w:tcW w:w="765"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-52</w:t>
            </w:r>
          </w:p>
        </w:tc>
        <w:tc>
          <w:tcPr>
            <w:tcW w:w="765" w:type="dxa"/>
            <w:tcBorders>
              <w:top w:val="single" w:sz="2" w:space="0" w:color="auto"/>
              <w:bottom w:val="single" w:sz="4" w:space="0" w:color="auto"/>
            </w:tcBorders>
            <w:vAlign w:val="center"/>
          </w:tcPr>
          <w:p w:rsidR="00EF1AFB" w:rsidRPr="009F2B7D" w:rsidRDefault="00EF1AFB" w:rsidP="009F2B7D">
            <w:pPr>
              <w:pStyle w:val="cuatexto"/>
              <w:jc w:val="right"/>
              <w:rPr>
                <w:rFonts w:cs="Calibri"/>
                <w:color w:val="000000"/>
                <w:sz w:val="18"/>
                <w:szCs w:val="18"/>
              </w:rPr>
            </w:pPr>
            <w:r>
              <w:rPr>
                <w:color w:val="000000"/>
                <w:sz w:val="18"/>
                <w:szCs w:val="18"/>
              </w:rPr>
              <w:t>-15</w:t>
            </w:r>
          </w:p>
        </w:tc>
      </w:tr>
      <w:tr w:rsidR="00EF1AFB" w:rsidRPr="00094A9C" w:rsidTr="00373351">
        <w:trPr>
          <w:trHeight w:val="255"/>
        </w:trPr>
        <w:tc>
          <w:tcPr>
            <w:tcW w:w="1444" w:type="dxa"/>
            <w:tcBorders>
              <w:top w:val="single" w:sz="4" w:space="0" w:color="auto"/>
              <w:bottom w:val="single" w:sz="4" w:space="0" w:color="auto"/>
            </w:tcBorders>
            <w:shd w:val="clear" w:color="auto" w:fill="8DB3E2" w:themeFill="text2" w:themeFillTint="66"/>
            <w:vAlign w:val="center"/>
          </w:tcPr>
          <w:p w:rsidR="00EF1AFB" w:rsidRPr="00094A9C" w:rsidRDefault="006D758F" w:rsidP="00EE7347">
            <w:pPr>
              <w:pStyle w:val="cuadroCabe"/>
              <w:jc w:val="left"/>
              <w:rPr>
                <w:sz w:val="17"/>
                <w:szCs w:val="17"/>
              </w:rPr>
            </w:pPr>
            <w:r>
              <w:rPr>
                <w:sz w:val="17"/>
                <w:szCs w:val="17"/>
              </w:rPr>
              <w:t>Guztira</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4.753.363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5.438.993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5.826.311</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7.512.273</w:t>
            </w:r>
          </w:p>
        </w:tc>
        <w:tc>
          <w:tcPr>
            <w:tcW w:w="936"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6.703.060</w:t>
            </w:r>
          </w:p>
        </w:tc>
        <w:tc>
          <w:tcPr>
            <w:tcW w:w="765"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41</w:t>
            </w:r>
          </w:p>
        </w:tc>
        <w:tc>
          <w:tcPr>
            <w:tcW w:w="765" w:type="dxa"/>
            <w:tcBorders>
              <w:top w:val="single" w:sz="4" w:space="0" w:color="auto"/>
              <w:bottom w:val="single" w:sz="4" w:space="0" w:color="auto"/>
            </w:tcBorders>
            <w:shd w:val="clear" w:color="auto" w:fill="8DB3E2" w:themeFill="text2" w:themeFillTint="66"/>
            <w:vAlign w:val="center"/>
          </w:tcPr>
          <w:p w:rsidR="00EF1AFB" w:rsidRPr="00094A9C" w:rsidRDefault="00EF1AFB" w:rsidP="009F2B7D">
            <w:pPr>
              <w:pStyle w:val="cuadroCabe"/>
              <w:jc w:val="right"/>
              <w:rPr>
                <w:color w:val="000000"/>
                <w:sz w:val="17"/>
                <w:szCs w:val="17"/>
              </w:rPr>
            </w:pPr>
            <w:r>
              <w:rPr>
                <w:color w:val="000000"/>
                <w:sz w:val="17"/>
                <w:szCs w:val="17"/>
              </w:rPr>
              <w:t>-11</w:t>
            </w:r>
          </w:p>
        </w:tc>
      </w:tr>
      <w:tr w:rsidR="00EF1AFB" w:rsidRPr="004333DE" w:rsidTr="007174D0">
        <w:trPr>
          <w:trHeight w:val="255"/>
        </w:trPr>
        <w:tc>
          <w:tcPr>
            <w:tcW w:w="765" w:type="dxa"/>
            <w:gridSpan w:val="8"/>
            <w:tcBorders>
              <w:top w:val="single" w:sz="4" w:space="0" w:color="auto"/>
              <w:bottom w:val="nil"/>
            </w:tcBorders>
            <w:shd w:val="clear" w:color="auto" w:fill="auto"/>
            <w:vAlign w:val="center"/>
          </w:tcPr>
          <w:p w:rsidR="00EF1AFB" w:rsidRPr="004333DE" w:rsidRDefault="00EF1AFB" w:rsidP="0005554D">
            <w:pPr>
              <w:autoSpaceDE w:val="0"/>
              <w:autoSpaceDN w:val="0"/>
              <w:adjustRightInd w:val="0"/>
              <w:spacing w:before="60" w:after="0"/>
              <w:ind w:firstLine="0"/>
              <w:rPr>
                <w:rFonts w:ascii="Arial" w:hAnsi="Arial" w:cs="Arial"/>
                <w:color w:val="000000"/>
                <w:sz w:val="14"/>
                <w:szCs w:val="14"/>
              </w:rPr>
            </w:pPr>
            <w:r>
              <w:rPr>
                <w:rFonts w:ascii="Arial" w:hAnsi="Arial"/>
                <w:color w:val="000000"/>
                <w:sz w:val="14"/>
                <w:szCs w:val="14"/>
              </w:rPr>
              <w:t xml:space="preserve">* 2016an, </w:t>
            </w:r>
            <w:proofErr w:type="spellStart"/>
            <w:r>
              <w:rPr>
                <w:rFonts w:ascii="Arial" w:hAnsi="Arial"/>
                <w:color w:val="000000"/>
                <w:sz w:val="14"/>
                <w:szCs w:val="14"/>
              </w:rPr>
              <w:t>Espainia-Frantzia</w:t>
            </w:r>
            <w:proofErr w:type="spellEnd"/>
            <w:r>
              <w:rPr>
                <w:rFonts w:ascii="Arial" w:hAnsi="Arial"/>
                <w:color w:val="000000"/>
                <w:sz w:val="14"/>
                <w:szCs w:val="14"/>
              </w:rPr>
              <w:t xml:space="preserve">-Andorra Mugaz Gaindiko Lankidetzarako Programa Operatiboaren (POCTEFA) jarraibideen arabera, </w:t>
            </w:r>
            <w:proofErr w:type="spellStart"/>
            <w:r>
              <w:rPr>
                <w:rFonts w:ascii="Arial" w:hAnsi="Arial"/>
                <w:color w:val="000000"/>
                <w:sz w:val="14"/>
                <w:szCs w:val="14"/>
              </w:rPr>
              <w:t>dirul</w:t>
            </w:r>
            <w:r>
              <w:rPr>
                <w:rFonts w:ascii="Arial" w:hAnsi="Arial"/>
                <w:color w:val="000000"/>
                <w:sz w:val="14"/>
                <w:szCs w:val="14"/>
              </w:rPr>
              <w:t>a</w:t>
            </w:r>
            <w:r>
              <w:rPr>
                <w:rFonts w:ascii="Arial" w:hAnsi="Arial"/>
                <w:color w:val="000000"/>
                <w:sz w:val="14"/>
                <w:szCs w:val="14"/>
              </w:rPr>
              <w:t>guntza</w:t>
            </w:r>
            <w:proofErr w:type="spellEnd"/>
            <w:r>
              <w:rPr>
                <w:rFonts w:ascii="Arial" w:hAnsi="Arial"/>
                <w:color w:val="000000"/>
                <w:sz w:val="14"/>
                <w:szCs w:val="14"/>
              </w:rPr>
              <w:t xml:space="preserve"> eskualdatu zitzaien Pirinioez haraindiko lankidetza-sarearen proiektuaren (REFBIO) onuradunei, ikerketa-jarduerak gauzatzeko; guztira, 589.000 euro izan ziren.</w:t>
            </w:r>
          </w:p>
        </w:tc>
      </w:tr>
    </w:tbl>
    <w:p w:rsidR="00EF1AFB" w:rsidRDefault="00EF1AFB" w:rsidP="006D758F">
      <w:pPr>
        <w:pStyle w:val="texto"/>
        <w:spacing w:before="240" w:after="120"/>
      </w:pPr>
      <w:r>
        <w:t xml:space="preserve">Fundazioaren gastuak, 2020an, 6,70 milioikoak izan ziren. Zenbateko horrek ehuneko 41eko hazkundea izan zuen 2016. urtearekin alderatuta, erakundearen jarduerak gora egin zuelako eta, horren ondorioz, langileen eta ondasun eta zerbitzuen gastuak ehuneko 75 eta 35 igo zirelako, hurrenez </w:t>
      </w:r>
      <w:proofErr w:type="spellStart"/>
      <w:r>
        <w:t>hurren</w:t>
      </w:r>
      <w:proofErr w:type="spellEnd"/>
      <w:r>
        <w:t>. 2019. u</w:t>
      </w:r>
      <w:r>
        <w:t>r</w:t>
      </w:r>
      <w:r>
        <w:t>tearekin alderatuta, berriz, gastuak ehuneko 11 jaitsi ziren, COVID-19aren kr</w:t>
      </w:r>
      <w:r>
        <w:t>i</w:t>
      </w:r>
      <w:r>
        <w:t xml:space="preserve">siak ondasun eta zerbitzuetan eragindako gastuak ehuneko 31 jaitsi zirelako. </w:t>
      </w:r>
    </w:p>
    <w:p w:rsidR="00EF1AFB" w:rsidRDefault="006D758F" w:rsidP="00EF1AFB">
      <w:pPr>
        <w:pStyle w:val="texto"/>
        <w:spacing w:after="240"/>
      </w:pPr>
      <w:r>
        <w:rPr>
          <w:noProof/>
          <w:lang w:val="es-ES" w:eastAsia="es-ES"/>
        </w:rPr>
        <w:drawing>
          <wp:anchor distT="0" distB="0" distL="114300" distR="114300" simplePos="0" relativeHeight="251658752" behindDoc="0" locked="0" layoutInCell="1" allowOverlap="1">
            <wp:simplePos x="0" y="0"/>
            <wp:positionH relativeFrom="margin">
              <wp:align>center</wp:align>
            </wp:positionH>
            <wp:positionV relativeFrom="paragraph">
              <wp:posOffset>532130</wp:posOffset>
            </wp:positionV>
            <wp:extent cx="5295900" cy="2796969"/>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31" t="12111" r="4090" b="3460"/>
                    <a:stretch/>
                  </pic:blipFill>
                  <pic:spPr bwMode="auto">
                    <a:xfrm>
                      <a:off x="0" y="0"/>
                      <a:ext cx="5295900" cy="2796969"/>
                    </a:xfrm>
                    <a:prstGeom prst="rect">
                      <a:avLst/>
                    </a:prstGeom>
                    <a:noFill/>
                    <a:ln>
                      <a:noFill/>
                    </a:ln>
                    <a:extLst>
                      <a:ext uri="{53640926-AAD7-44D8-BBD7-CCE9431645EC}">
                        <a14:shadowObscured xmlns:a14="http://schemas.microsoft.com/office/drawing/2010/main"/>
                      </a:ext>
                    </a:extLst>
                  </pic:spPr>
                </pic:pic>
              </a:graphicData>
            </a:graphic>
          </wp:anchor>
        </w:drawing>
      </w:r>
      <w:r>
        <w:t>Hurrengo grafikoak erakusten du gastu-kontzeptu bakoitzak guztizkoaren gainean 2016-2020 aldian egiten duen ehunekoa:</w:t>
      </w:r>
    </w:p>
    <w:p w:rsidR="00EF1AFB" w:rsidRPr="000F738A" w:rsidRDefault="00EF1AFB" w:rsidP="006D758F">
      <w:pPr>
        <w:pStyle w:val="texto"/>
        <w:tabs>
          <w:tab w:val="clear" w:pos="2835"/>
          <w:tab w:val="clear" w:pos="3969"/>
          <w:tab w:val="clear" w:pos="5103"/>
          <w:tab w:val="clear" w:pos="6237"/>
          <w:tab w:val="clear" w:pos="7371"/>
        </w:tabs>
        <w:spacing w:before="360" w:after="120"/>
        <w:ind w:firstLine="425"/>
      </w:pPr>
      <w:r>
        <w:t xml:space="preserve">Langileen gastuak guztizkoaren ehuneko 54 dira aldi osoan, baina ehuneko hori ehuneko 63ra igo zen 2020an; ondasun arrunten eta zerbitzuen gastuak </w:t>
      </w:r>
      <w:r>
        <w:lastRenderedPageBreak/>
        <w:t>(hornidurak eta ustiapeneko beste gastu batzuk) aldiko gastuen ehuneko 39 dira (2020an ehuneko 31 izan ziren), eta gainerako ehuneko zazpia beste gastu b</w:t>
      </w:r>
      <w:r>
        <w:t>a</w:t>
      </w:r>
      <w:r>
        <w:t xml:space="preserve">tzuk dira, batez ere amortizazioak. </w:t>
      </w:r>
    </w:p>
    <w:p w:rsidR="00EF1AFB" w:rsidRPr="00261BB6" w:rsidRDefault="00EF1AFB" w:rsidP="003748FB">
      <w:pPr>
        <w:pStyle w:val="atitulo3"/>
        <w:spacing w:before="240"/>
      </w:pPr>
      <w:r>
        <w:t>Fundazioaren langileak</w:t>
      </w:r>
    </w:p>
    <w:p w:rsidR="00EF1AFB" w:rsidRPr="000F738A" w:rsidRDefault="00EF1AFB" w:rsidP="003748FB">
      <w:pPr>
        <w:pStyle w:val="texto"/>
        <w:spacing w:after="240"/>
      </w:pPr>
      <w:r>
        <w:t>Honako hauek ziren Fundazioaren langileak abenduaren 31n, 2016-2020 a</w:t>
      </w:r>
      <w:r>
        <w:t>l</w:t>
      </w:r>
      <w:r>
        <w:t>dian izandako arduraldiaren arabera:</w:t>
      </w:r>
    </w:p>
    <w:tbl>
      <w:tblPr>
        <w:tblW w:w="8789"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133"/>
        <w:gridCol w:w="682"/>
        <w:gridCol w:w="682"/>
        <w:gridCol w:w="682"/>
        <w:gridCol w:w="682"/>
        <w:gridCol w:w="682"/>
        <w:gridCol w:w="1152"/>
        <w:gridCol w:w="1094"/>
      </w:tblGrid>
      <w:tr w:rsidR="00EF1AFB" w:rsidRPr="008D60AD" w:rsidTr="00096A34">
        <w:trPr>
          <w:trHeight w:val="255"/>
        </w:trPr>
        <w:tc>
          <w:tcPr>
            <w:tcW w:w="2865" w:type="dxa"/>
            <w:shd w:val="clear" w:color="auto" w:fill="8DB3E2" w:themeFill="text2" w:themeFillTint="66"/>
          </w:tcPr>
          <w:p w:rsidR="00EF1AFB" w:rsidRPr="003D5845" w:rsidRDefault="00EF1AFB" w:rsidP="00580A23">
            <w:pPr>
              <w:pStyle w:val="cuadroCabe"/>
              <w:jc w:val="right"/>
              <w:rPr>
                <w:lang w:eastAsia="es-ES"/>
              </w:rPr>
            </w:pPr>
          </w:p>
        </w:tc>
        <w:tc>
          <w:tcPr>
            <w:tcW w:w="624" w:type="dxa"/>
            <w:shd w:val="clear" w:color="auto" w:fill="8DB3E2" w:themeFill="text2" w:themeFillTint="66"/>
            <w:vAlign w:val="center"/>
          </w:tcPr>
          <w:p w:rsidR="00EF1AFB" w:rsidRPr="008D60AD" w:rsidRDefault="00EF1AFB" w:rsidP="00580A23">
            <w:pPr>
              <w:pStyle w:val="cuadroCabe"/>
              <w:jc w:val="right"/>
            </w:pPr>
            <w:r>
              <w:t>2016</w:t>
            </w:r>
          </w:p>
        </w:tc>
        <w:tc>
          <w:tcPr>
            <w:tcW w:w="624" w:type="dxa"/>
            <w:shd w:val="clear" w:color="auto" w:fill="8DB3E2" w:themeFill="text2" w:themeFillTint="66"/>
            <w:vAlign w:val="center"/>
          </w:tcPr>
          <w:p w:rsidR="00EF1AFB" w:rsidRPr="008D60AD" w:rsidRDefault="00EF1AFB" w:rsidP="00580A23">
            <w:pPr>
              <w:pStyle w:val="cuadroCabe"/>
              <w:jc w:val="right"/>
            </w:pPr>
            <w:r>
              <w:t>2017</w:t>
            </w:r>
          </w:p>
        </w:tc>
        <w:tc>
          <w:tcPr>
            <w:tcW w:w="624" w:type="dxa"/>
            <w:shd w:val="clear" w:color="auto" w:fill="8DB3E2" w:themeFill="text2" w:themeFillTint="66"/>
            <w:vAlign w:val="center"/>
          </w:tcPr>
          <w:p w:rsidR="00EF1AFB" w:rsidRPr="008D60AD" w:rsidRDefault="00EF1AFB" w:rsidP="00580A23">
            <w:pPr>
              <w:pStyle w:val="cuadroCabe"/>
              <w:jc w:val="right"/>
            </w:pPr>
            <w:r>
              <w:t>2018</w:t>
            </w:r>
          </w:p>
        </w:tc>
        <w:tc>
          <w:tcPr>
            <w:tcW w:w="624" w:type="dxa"/>
            <w:shd w:val="clear" w:color="auto" w:fill="8DB3E2" w:themeFill="text2" w:themeFillTint="66"/>
            <w:vAlign w:val="center"/>
          </w:tcPr>
          <w:p w:rsidR="00EF1AFB" w:rsidRPr="008D60AD" w:rsidRDefault="00EF1AFB" w:rsidP="00580A23">
            <w:pPr>
              <w:pStyle w:val="cuadroCabe"/>
              <w:jc w:val="right"/>
            </w:pPr>
            <w:r>
              <w:t>2019</w:t>
            </w:r>
          </w:p>
        </w:tc>
        <w:tc>
          <w:tcPr>
            <w:tcW w:w="624" w:type="dxa"/>
            <w:shd w:val="clear" w:color="auto" w:fill="8DB3E2" w:themeFill="text2" w:themeFillTint="66"/>
            <w:vAlign w:val="center"/>
          </w:tcPr>
          <w:p w:rsidR="00EF1AFB" w:rsidRPr="008D60AD" w:rsidRDefault="00EF1AFB" w:rsidP="00580A23">
            <w:pPr>
              <w:pStyle w:val="cuadroCabe"/>
              <w:jc w:val="right"/>
            </w:pPr>
            <w:r>
              <w:t>2020</w:t>
            </w:r>
          </w:p>
        </w:tc>
        <w:tc>
          <w:tcPr>
            <w:tcW w:w="1054" w:type="dxa"/>
            <w:shd w:val="clear" w:color="auto" w:fill="8DB3E2" w:themeFill="text2" w:themeFillTint="66"/>
            <w:vAlign w:val="center"/>
          </w:tcPr>
          <w:p w:rsidR="00EF1AFB" w:rsidRPr="008D60AD" w:rsidRDefault="00EF1AFB" w:rsidP="00580A23">
            <w:pPr>
              <w:pStyle w:val="cuadroCabe"/>
              <w:jc w:val="right"/>
              <w:rPr>
                <w:bCs/>
              </w:rPr>
            </w:pPr>
            <w:r>
              <w:t>2020/2016 aldea (%)</w:t>
            </w:r>
          </w:p>
        </w:tc>
        <w:tc>
          <w:tcPr>
            <w:tcW w:w="1001" w:type="dxa"/>
            <w:shd w:val="clear" w:color="auto" w:fill="8DB3E2" w:themeFill="text2" w:themeFillTint="66"/>
            <w:vAlign w:val="center"/>
          </w:tcPr>
          <w:p w:rsidR="00EF1AFB" w:rsidRPr="008D60AD" w:rsidRDefault="00EF1AFB" w:rsidP="00580A23">
            <w:pPr>
              <w:pStyle w:val="cuadroCabe"/>
              <w:jc w:val="right"/>
              <w:rPr>
                <w:bCs/>
              </w:rPr>
            </w:pPr>
            <w:r>
              <w:t>2020/2019 aldea (%)</w:t>
            </w:r>
          </w:p>
        </w:tc>
      </w:tr>
      <w:tr w:rsidR="00EF1AFB" w:rsidRPr="00473CC4" w:rsidTr="00096A34">
        <w:trPr>
          <w:trHeight w:val="198"/>
        </w:trPr>
        <w:tc>
          <w:tcPr>
            <w:tcW w:w="2865" w:type="dxa"/>
            <w:tcBorders>
              <w:bottom w:val="nil"/>
            </w:tcBorders>
            <w:vAlign w:val="center"/>
          </w:tcPr>
          <w:p w:rsidR="00EF1AFB" w:rsidRPr="00473CC4" w:rsidRDefault="00EF1AFB" w:rsidP="00580A23">
            <w:pPr>
              <w:pStyle w:val="cuatexto"/>
              <w:rPr>
                <w:rFonts w:ascii="Arial" w:hAnsi="Arial" w:cs="Arial"/>
                <w:sz w:val="18"/>
                <w:szCs w:val="18"/>
              </w:rPr>
            </w:pPr>
            <w:r>
              <w:rPr>
                <w:rFonts w:ascii="Arial" w:hAnsi="Arial"/>
                <w:sz w:val="18"/>
                <w:szCs w:val="18"/>
              </w:rPr>
              <w:t>Egiturazko langile propioak:</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38</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39</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41</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48</w:t>
            </w:r>
          </w:p>
        </w:tc>
        <w:tc>
          <w:tcPr>
            <w:tcW w:w="62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53</w:t>
            </w:r>
          </w:p>
        </w:tc>
        <w:tc>
          <w:tcPr>
            <w:tcW w:w="1054"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39</w:t>
            </w:r>
          </w:p>
        </w:tc>
        <w:tc>
          <w:tcPr>
            <w:tcW w:w="1001" w:type="dxa"/>
            <w:tcBorders>
              <w:bottom w:val="nil"/>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10</w:t>
            </w:r>
          </w:p>
        </w:tc>
      </w:tr>
      <w:tr w:rsidR="00EF1AFB" w:rsidRPr="00096A34" w:rsidTr="00096A34">
        <w:trPr>
          <w:trHeight w:val="198"/>
        </w:trPr>
        <w:tc>
          <w:tcPr>
            <w:tcW w:w="2865" w:type="dxa"/>
            <w:tcBorders>
              <w:top w:val="nil"/>
              <w:bottom w:val="nil"/>
            </w:tcBorders>
            <w:vAlign w:val="center"/>
          </w:tcPr>
          <w:p w:rsidR="00EF1AFB" w:rsidRPr="00096A34" w:rsidRDefault="00EF1AFB" w:rsidP="00580A23">
            <w:pPr>
              <w:pStyle w:val="cuatexto"/>
              <w:rPr>
                <w:sz w:val="18"/>
                <w:szCs w:val="18"/>
              </w:rPr>
            </w:pPr>
            <w:r>
              <w:rPr>
                <w:sz w:val="18"/>
                <w:szCs w:val="18"/>
              </w:rPr>
              <w:t>Zuzendaritza</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w:t>
            </w:r>
          </w:p>
        </w:tc>
        <w:tc>
          <w:tcPr>
            <w:tcW w:w="1054" w:type="dxa"/>
            <w:tcBorders>
              <w:top w:val="nil"/>
              <w:bottom w:val="nil"/>
            </w:tcBorders>
            <w:vAlign w:val="center"/>
          </w:tcPr>
          <w:p w:rsidR="00EF1AFB" w:rsidRPr="00096A34" w:rsidRDefault="00EF1AFB" w:rsidP="00580A23">
            <w:pPr>
              <w:pStyle w:val="cuatexto"/>
              <w:jc w:val="right"/>
              <w:rPr>
                <w:sz w:val="18"/>
                <w:szCs w:val="18"/>
              </w:rPr>
            </w:pPr>
            <w:r>
              <w:rPr>
                <w:sz w:val="18"/>
                <w:szCs w:val="18"/>
              </w:rPr>
              <w:t>-</w:t>
            </w:r>
          </w:p>
        </w:tc>
        <w:tc>
          <w:tcPr>
            <w:tcW w:w="1001" w:type="dxa"/>
            <w:tcBorders>
              <w:top w:val="nil"/>
              <w:bottom w:val="nil"/>
            </w:tcBorders>
            <w:vAlign w:val="center"/>
          </w:tcPr>
          <w:p w:rsidR="00EF1AFB" w:rsidRPr="00096A34" w:rsidRDefault="00EF1AFB" w:rsidP="00580A23">
            <w:pPr>
              <w:pStyle w:val="cuatexto"/>
              <w:jc w:val="right"/>
              <w:rPr>
                <w:sz w:val="18"/>
                <w:szCs w:val="18"/>
              </w:rPr>
            </w:pPr>
            <w:r>
              <w:rPr>
                <w:sz w:val="18"/>
                <w:szCs w:val="18"/>
              </w:rPr>
              <w:t>-</w:t>
            </w:r>
          </w:p>
        </w:tc>
      </w:tr>
      <w:tr w:rsidR="00EF1AFB" w:rsidRPr="00096A34" w:rsidTr="00096A34">
        <w:trPr>
          <w:trHeight w:val="198"/>
        </w:trPr>
        <w:tc>
          <w:tcPr>
            <w:tcW w:w="2865" w:type="dxa"/>
            <w:tcBorders>
              <w:top w:val="nil"/>
              <w:bottom w:val="nil"/>
            </w:tcBorders>
            <w:vAlign w:val="center"/>
          </w:tcPr>
          <w:p w:rsidR="00EF1AFB" w:rsidRPr="00096A34" w:rsidRDefault="00EF1AFB" w:rsidP="00580A23">
            <w:pPr>
              <w:pStyle w:val="cuatexto"/>
              <w:rPr>
                <w:sz w:val="18"/>
                <w:szCs w:val="18"/>
              </w:rPr>
            </w:pPr>
            <w:r>
              <w:rPr>
                <w:sz w:val="18"/>
                <w:szCs w:val="18"/>
              </w:rPr>
              <w:t>Administrazioa eta ikerketarako laguntza</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23</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23</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24</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26</w:t>
            </w:r>
          </w:p>
        </w:tc>
        <w:tc>
          <w:tcPr>
            <w:tcW w:w="624" w:type="dxa"/>
            <w:tcBorders>
              <w:top w:val="nil"/>
              <w:bottom w:val="nil"/>
            </w:tcBorders>
            <w:vAlign w:val="center"/>
          </w:tcPr>
          <w:p w:rsidR="00EF1AFB" w:rsidRPr="00096A34" w:rsidRDefault="00EF1AFB" w:rsidP="00580A23">
            <w:pPr>
              <w:pStyle w:val="cuatexto"/>
              <w:jc w:val="right"/>
              <w:rPr>
                <w:sz w:val="18"/>
                <w:szCs w:val="18"/>
              </w:rPr>
            </w:pPr>
            <w:r>
              <w:rPr>
                <w:sz w:val="18"/>
                <w:szCs w:val="18"/>
              </w:rPr>
              <w:t>29</w:t>
            </w:r>
          </w:p>
        </w:tc>
        <w:tc>
          <w:tcPr>
            <w:tcW w:w="1054" w:type="dxa"/>
            <w:tcBorders>
              <w:top w:val="nil"/>
              <w:bottom w:val="nil"/>
            </w:tcBorders>
            <w:vAlign w:val="center"/>
          </w:tcPr>
          <w:p w:rsidR="00EF1AFB" w:rsidRPr="00096A34" w:rsidRDefault="00EF1AFB" w:rsidP="00580A23">
            <w:pPr>
              <w:pStyle w:val="cuatexto"/>
              <w:jc w:val="right"/>
              <w:rPr>
                <w:sz w:val="18"/>
                <w:szCs w:val="18"/>
              </w:rPr>
            </w:pPr>
            <w:r>
              <w:rPr>
                <w:sz w:val="18"/>
                <w:szCs w:val="18"/>
              </w:rPr>
              <w:t>26</w:t>
            </w:r>
          </w:p>
        </w:tc>
        <w:tc>
          <w:tcPr>
            <w:tcW w:w="1001" w:type="dxa"/>
            <w:tcBorders>
              <w:top w:val="nil"/>
              <w:bottom w:val="nil"/>
            </w:tcBorders>
            <w:vAlign w:val="center"/>
          </w:tcPr>
          <w:p w:rsidR="00EF1AFB" w:rsidRPr="00096A34" w:rsidRDefault="00EF1AFB" w:rsidP="00580A23">
            <w:pPr>
              <w:pStyle w:val="cuatexto"/>
              <w:jc w:val="right"/>
              <w:rPr>
                <w:sz w:val="18"/>
                <w:szCs w:val="18"/>
              </w:rPr>
            </w:pPr>
            <w:r>
              <w:rPr>
                <w:sz w:val="18"/>
                <w:szCs w:val="18"/>
              </w:rPr>
              <w:t>12</w:t>
            </w:r>
          </w:p>
        </w:tc>
      </w:tr>
      <w:tr w:rsidR="00EF1AFB" w:rsidRPr="00096A34" w:rsidTr="00096A34">
        <w:trPr>
          <w:trHeight w:val="198"/>
        </w:trPr>
        <w:tc>
          <w:tcPr>
            <w:tcW w:w="2865" w:type="dxa"/>
            <w:tcBorders>
              <w:top w:val="nil"/>
              <w:bottom w:val="single" w:sz="2" w:space="0" w:color="auto"/>
            </w:tcBorders>
            <w:vAlign w:val="center"/>
          </w:tcPr>
          <w:p w:rsidR="00EF1AFB" w:rsidRPr="00096A34" w:rsidRDefault="00EF1AFB" w:rsidP="00580A23">
            <w:pPr>
              <w:pStyle w:val="cuatexto"/>
              <w:rPr>
                <w:sz w:val="18"/>
                <w:szCs w:val="18"/>
              </w:rPr>
            </w:pPr>
            <w:r>
              <w:rPr>
                <w:sz w:val="18"/>
                <w:szCs w:val="18"/>
              </w:rPr>
              <w:t>Ikertzaileak</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13</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14</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15</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20</w:t>
            </w:r>
          </w:p>
        </w:tc>
        <w:tc>
          <w:tcPr>
            <w:tcW w:w="62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22</w:t>
            </w:r>
          </w:p>
        </w:tc>
        <w:tc>
          <w:tcPr>
            <w:tcW w:w="1054"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69</w:t>
            </w:r>
          </w:p>
        </w:tc>
        <w:tc>
          <w:tcPr>
            <w:tcW w:w="1001" w:type="dxa"/>
            <w:tcBorders>
              <w:top w:val="nil"/>
              <w:bottom w:val="single" w:sz="2" w:space="0" w:color="auto"/>
            </w:tcBorders>
            <w:vAlign w:val="center"/>
          </w:tcPr>
          <w:p w:rsidR="00EF1AFB" w:rsidRPr="00096A34" w:rsidRDefault="00EF1AFB" w:rsidP="00580A23">
            <w:pPr>
              <w:pStyle w:val="cuatexto"/>
              <w:jc w:val="right"/>
              <w:rPr>
                <w:sz w:val="18"/>
                <w:szCs w:val="18"/>
              </w:rPr>
            </w:pPr>
            <w:r>
              <w:rPr>
                <w:sz w:val="18"/>
                <w:szCs w:val="18"/>
              </w:rPr>
              <w:t>10</w:t>
            </w:r>
          </w:p>
        </w:tc>
      </w:tr>
      <w:tr w:rsidR="00EF1AFB" w:rsidRPr="00473CC4" w:rsidTr="00096A34">
        <w:trPr>
          <w:trHeight w:val="198"/>
        </w:trPr>
        <w:tc>
          <w:tcPr>
            <w:tcW w:w="2865" w:type="dxa"/>
            <w:tcBorders>
              <w:top w:val="single" w:sz="2" w:space="0" w:color="auto"/>
              <w:bottom w:val="single" w:sz="4" w:space="0" w:color="auto"/>
            </w:tcBorders>
            <w:vAlign w:val="center"/>
          </w:tcPr>
          <w:p w:rsidR="00EF1AFB" w:rsidRPr="00473CC4" w:rsidRDefault="00EF1AFB" w:rsidP="00580A23">
            <w:pPr>
              <w:pStyle w:val="cuatexto"/>
              <w:rPr>
                <w:rFonts w:ascii="Arial" w:hAnsi="Arial" w:cs="Arial"/>
                <w:sz w:val="18"/>
                <w:szCs w:val="18"/>
              </w:rPr>
            </w:pPr>
            <w:r>
              <w:rPr>
                <w:rFonts w:ascii="Arial" w:hAnsi="Arial"/>
                <w:sz w:val="18"/>
                <w:szCs w:val="18"/>
              </w:rPr>
              <w:t>Proiektuetarako kontratatutako la</w:t>
            </w:r>
            <w:r>
              <w:rPr>
                <w:rFonts w:ascii="Arial" w:hAnsi="Arial"/>
                <w:sz w:val="18"/>
                <w:szCs w:val="18"/>
              </w:rPr>
              <w:t>n</w:t>
            </w:r>
            <w:r>
              <w:rPr>
                <w:rFonts w:ascii="Arial" w:hAnsi="Arial"/>
                <w:sz w:val="18"/>
                <w:szCs w:val="18"/>
              </w:rPr>
              <w:t xml:space="preserve">gileak </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42</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52</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67</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59</w:t>
            </w:r>
          </w:p>
        </w:tc>
        <w:tc>
          <w:tcPr>
            <w:tcW w:w="62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66</w:t>
            </w:r>
          </w:p>
        </w:tc>
        <w:tc>
          <w:tcPr>
            <w:tcW w:w="1054"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57</w:t>
            </w:r>
          </w:p>
        </w:tc>
        <w:tc>
          <w:tcPr>
            <w:tcW w:w="1001" w:type="dxa"/>
            <w:tcBorders>
              <w:top w:val="single" w:sz="2" w:space="0" w:color="auto"/>
              <w:bottom w:val="single" w:sz="4" w:space="0" w:color="auto"/>
            </w:tcBorders>
            <w:vAlign w:val="center"/>
          </w:tcPr>
          <w:p w:rsidR="00EF1AFB" w:rsidRPr="00473CC4" w:rsidRDefault="00EF1AFB" w:rsidP="00580A23">
            <w:pPr>
              <w:pStyle w:val="cuatexto"/>
              <w:jc w:val="right"/>
              <w:rPr>
                <w:rFonts w:ascii="Arial" w:hAnsi="Arial" w:cs="Arial"/>
                <w:sz w:val="18"/>
                <w:szCs w:val="18"/>
              </w:rPr>
            </w:pPr>
            <w:r>
              <w:rPr>
                <w:rFonts w:ascii="Arial" w:hAnsi="Arial"/>
                <w:sz w:val="18"/>
                <w:szCs w:val="18"/>
              </w:rPr>
              <w:t>12</w:t>
            </w:r>
          </w:p>
        </w:tc>
      </w:tr>
      <w:tr w:rsidR="00EF1AFB" w:rsidRPr="008D60AD" w:rsidTr="00096A34">
        <w:trPr>
          <w:trHeight w:val="255"/>
        </w:trPr>
        <w:tc>
          <w:tcPr>
            <w:tcW w:w="2865" w:type="dxa"/>
            <w:shd w:val="clear" w:color="auto" w:fill="8DB3E2" w:themeFill="text2" w:themeFillTint="66"/>
            <w:vAlign w:val="center"/>
          </w:tcPr>
          <w:p w:rsidR="00EF1AFB" w:rsidRPr="008D60AD" w:rsidRDefault="00EF1AFB" w:rsidP="00580A23">
            <w:pPr>
              <w:pStyle w:val="cuadroCabe"/>
            </w:pPr>
            <w:r>
              <w:t xml:space="preserve">Guztira </w:t>
            </w:r>
          </w:p>
        </w:tc>
        <w:tc>
          <w:tcPr>
            <w:tcW w:w="624" w:type="dxa"/>
            <w:shd w:val="clear" w:color="auto" w:fill="8DB3E2" w:themeFill="text2" w:themeFillTint="66"/>
            <w:vAlign w:val="center"/>
          </w:tcPr>
          <w:p w:rsidR="00EF1AFB" w:rsidRPr="008D60AD" w:rsidRDefault="00EF1AFB" w:rsidP="00580A23">
            <w:pPr>
              <w:pStyle w:val="cuadroCabe"/>
              <w:jc w:val="right"/>
            </w:pPr>
            <w:r>
              <w:t>80</w:t>
            </w:r>
          </w:p>
        </w:tc>
        <w:tc>
          <w:tcPr>
            <w:tcW w:w="624" w:type="dxa"/>
            <w:shd w:val="clear" w:color="auto" w:fill="8DB3E2" w:themeFill="text2" w:themeFillTint="66"/>
            <w:vAlign w:val="center"/>
          </w:tcPr>
          <w:p w:rsidR="00EF1AFB" w:rsidRPr="008D60AD" w:rsidRDefault="00EF1AFB" w:rsidP="00580A23">
            <w:pPr>
              <w:pStyle w:val="cuadroCabe"/>
              <w:jc w:val="right"/>
            </w:pPr>
            <w:r>
              <w:t>91</w:t>
            </w:r>
          </w:p>
        </w:tc>
        <w:tc>
          <w:tcPr>
            <w:tcW w:w="624" w:type="dxa"/>
            <w:shd w:val="clear" w:color="auto" w:fill="8DB3E2" w:themeFill="text2" w:themeFillTint="66"/>
            <w:vAlign w:val="center"/>
          </w:tcPr>
          <w:p w:rsidR="00EF1AFB" w:rsidRPr="008D60AD" w:rsidRDefault="00EF1AFB" w:rsidP="00580A23">
            <w:pPr>
              <w:pStyle w:val="cuadroCabe"/>
              <w:jc w:val="right"/>
            </w:pPr>
            <w:r>
              <w:t>108</w:t>
            </w:r>
          </w:p>
        </w:tc>
        <w:tc>
          <w:tcPr>
            <w:tcW w:w="624" w:type="dxa"/>
            <w:shd w:val="clear" w:color="auto" w:fill="8DB3E2" w:themeFill="text2" w:themeFillTint="66"/>
            <w:vAlign w:val="center"/>
          </w:tcPr>
          <w:p w:rsidR="00EF1AFB" w:rsidRPr="008D60AD" w:rsidRDefault="00EF1AFB" w:rsidP="00580A23">
            <w:pPr>
              <w:pStyle w:val="cuadroCabe"/>
              <w:jc w:val="right"/>
            </w:pPr>
            <w:r>
              <w:t>107</w:t>
            </w:r>
          </w:p>
        </w:tc>
        <w:tc>
          <w:tcPr>
            <w:tcW w:w="624" w:type="dxa"/>
            <w:shd w:val="clear" w:color="auto" w:fill="8DB3E2" w:themeFill="text2" w:themeFillTint="66"/>
            <w:vAlign w:val="center"/>
          </w:tcPr>
          <w:p w:rsidR="00EF1AFB" w:rsidRPr="008D60AD" w:rsidRDefault="00EF1AFB" w:rsidP="00580A23">
            <w:pPr>
              <w:pStyle w:val="cuadroCabe"/>
              <w:jc w:val="right"/>
            </w:pPr>
            <w:r>
              <w:t>119</w:t>
            </w:r>
          </w:p>
        </w:tc>
        <w:tc>
          <w:tcPr>
            <w:tcW w:w="1054" w:type="dxa"/>
            <w:shd w:val="clear" w:color="auto" w:fill="8DB3E2" w:themeFill="text2" w:themeFillTint="66"/>
            <w:vAlign w:val="center"/>
          </w:tcPr>
          <w:p w:rsidR="00EF1AFB" w:rsidRPr="008D60AD" w:rsidRDefault="00EF1AFB" w:rsidP="00580A23">
            <w:pPr>
              <w:pStyle w:val="cuadroCabe"/>
              <w:jc w:val="right"/>
            </w:pPr>
            <w:r>
              <w:t>49</w:t>
            </w:r>
          </w:p>
        </w:tc>
        <w:tc>
          <w:tcPr>
            <w:tcW w:w="1001" w:type="dxa"/>
            <w:shd w:val="clear" w:color="auto" w:fill="8DB3E2" w:themeFill="text2" w:themeFillTint="66"/>
            <w:vAlign w:val="center"/>
          </w:tcPr>
          <w:p w:rsidR="00EF1AFB" w:rsidRPr="008D60AD" w:rsidRDefault="00EF1AFB" w:rsidP="00580A23">
            <w:pPr>
              <w:pStyle w:val="cuadroCabe"/>
              <w:jc w:val="right"/>
            </w:pPr>
            <w:r>
              <w:t>11</w:t>
            </w:r>
          </w:p>
        </w:tc>
      </w:tr>
    </w:tbl>
    <w:p w:rsidR="00EF1AFB" w:rsidRDefault="003322DB" w:rsidP="00EF1AFB">
      <w:pPr>
        <w:pStyle w:val="texto"/>
        <w:spacing w:before="240" w:after="120"/>
      </w:pPr>
      <w:r>
        <w:t xml:space="preserve">2020ko abenduaren 31n, langileak ehuneko 49 eta 11 igo ziren 2016ko eta 2019ko datuekin alderatuta, hurrenez </w:t>
      </w:r>
      <w:proofErr w:type="spellStart"/>
      <w:r>
        <w:t>hurren</w:t>
      </w:r>
      <w:proofErr w:type="spellEnd"/>
      <w:r>
        <w:t>. 2020ko abenduaren 31n 119 la</w:t>
      </w:r>
      <w:r>
        <w:t>n</w:t>
      </w:r>
      <w:r>
        <w:t xml:space="preserve">gile zeuden kontratatuta, guztira; horietatik 53 egiturazkoak ziren (ehuneko 45) eta 66 ikerketa-proiektuetakoak (ehuneko 55). </w:t>
      </w:r>
    </w:p>
    <w:p w:rsidR="00EF1AFB" w:rsidRDefault="00EF1AFB" w:rsidP="00EF1AFB">
      <w:pPr>
        <w:pStyle w:val="texto"/>
        <w:spacing w:before="120" w:after="120"/>
      </w:pPr>
      <w:r>
        <w:t>Aldi osoan, Fundazioko egiturazko langileak (zuzendaritza, administrazioa eta ikerketako laguntza eta ikertzailea) guztizkoaren % 44 dira batez beste, eta proiektuetarako kontratatutakoak, berriz, % 56.</w:t>
      </w:r>
    </w:p>
    <w:p w:rsidR="00EF1AFB" w:rsidRDefault="00EF1AFB" w:rsidP="00EF1AFB">
      <w:pPr>
        <w:pStyle w:val="texto"/>
        <w:spacing w:before="120" w:after="240"/>
      </w:pPr>
      <w:r>
        <w:t>Bestalde, Fundazioko batez besteko langileak honako hauek izan ziren azte</w:t>
      </w:r>
      <w:r>
        <w:t>r</w:t>
      </w:r>
      <w:r>
        <w:t>tutako urte bakoitzean:</w:t>
      </w:r>
    </w:p>
    <w:tbl>
      <w:tblPr>
        <w:tblW w:w="8789"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212"/>
        <w:gridCol w:w="666"/>
        <w:gridCol w:w="666"/>
        <w:gridCol w:w="665"/>
        <w:gridCol w:w="665"/>
        <w:gridCol w:w="665"/>
        <w:gridCol w:w="1125"/>
        <w:gridCol w:w="1125"/>
      </w:tblGrid>
      <w:tr w:rsidR="00EF1AFB" w:rsidRPr="003B68F7" w:rsidTr="00096A34">
        <w:trPr>
          <w:trHeight w:val="255"/>
        </w:trPr>
        <w:tc>
          <w:tcPr>
            <w:tcW w:w="3011" w:type="dxa"/>
            <w:tcBorders>
              <w:bottom w:val="single" w:sz="4" w:space="0" w:color="auto"/>
            </w:tcBorders>
            <w:shd w:val="clear" w:color="auto" w:fill="8DB3E2" w:themeFill="text2" w:themeFillTint="66"/>
          </w:tcPr>
          <w:p w:rsidR="00EF1AFB" w:rsidRPr="003B68F7" w:rsidRDefault="00EF1AFB" w:rsidP="003B68F7">
            <w:pPr>
              <w:pStyle w:val="cuadroCabe"/>
            </w:pPr>
            <w:r>
              <w:t xml:space="preserve"> </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t>2016</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t>2017</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t>2018</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t>2019</w:t>
            </w:r>
          </w:p>
        </w:tc>
        <w:tc>
          <w:tcPr>
            <w:tcW w:w="624" w:type="dxa"/>
            <w:tcBorders>
              <w:bottom w:val="single" w:sz="4" w:space="0" w:color="auto"/>
            </w:tcBorders>
            <w:shd w:val="clear" w:color="auto" w:fill="8DB3E2" w:themeFill="text2" w:themeFillTint="66"/>
            <w:vAlign w:val="center"/>
          </w:tcPr>
          <w:p w:rsidR="00EF1AFB" w:rsidRPr="003B68F7" w:rsidRDefault="00EF1AFB" w:rsidP="003E2BD1">
            <w:pPr>
              <w:pStyle w:val="cuadroCabe"/>
              <w:jc w:val="right"/>
            </w:pPr>
            <w:r>
              <w:t>2020</w:t>
            </w:r>
          </w:p>
        </w:tc>
        <w:tc>
          <w:tcPr>
            <w:tcW w:w="1055" w:type="dxa"/>
            <w:tcBorders>
              <w:bottom w:val="single" w:sz="4" w:space="0" w:color="auto"/>
            </w:tcBorders>
            <w:shd w:val="clear" w:color="auto" w:fill="8DB3E2" w:themeFill="text2" w:themeFillTint="66"/>
            <w:vAlign w:val="center"/>
          </w:tcPr>
          <w:p w:rsidR="00EF1AFB" w:rsidRPr="003B68F7" w:rsidRDefault="00EF1AFB" w:rsidP="00F834BF">
            <w:pPr>
              <w:pStyle w:val="cuadroCabe"/>
              <w:jc w:val="right"/>
            </w:pPr>
            <w:r>
              <w:t>2020/16 aldea (%)</w:t>
            </w:r>
          </w:p>
        </w:tc>
        <w:tc>
          <w:tcPr>
            <w:tcW w:w="1055" w:type="dxa"/>
            <w:tcBorders>
              <w:bottom w:val="single" w:sz="4" w:space="0" w:color="auto"/>
            </w:tcBorders>
            <w:shd w:val="clear" w:color="auto" w:fill="8DB3E2" w:themeFill="text2" w:themeFillTint="66"/>
            <w:vAlign w:val="center"/>
          </w:tcPr>
          <w:p w:rsidR="00EF1AFB" w:rsidRPr="003B68F7" w:rsidRDefault="00EF1AFB" w:rsidP="00F834BF">
            <w:pPr>
              <w:pStyle w:val="cuadroCabe"/>
              <w:jc w:val="right"/>
            </w:pPr>
            <w:r>
              <w:t>2020/19 aldea (%)</w:t>
            </w:r>
          </w:p>
        </w:tc>
      </w:tr>
      <w:tr w:rsidR="00EF1AFB" w:rsidRPr="003B68F7" w:rsidTr="00096A34">
        <w:trPr>
          <w:trHeight w:val="198"/>
        </w:trPr>
        <w:tc>
          <w:tcPr>
            <w:tcW w:w="3011" w:type="dxa"/>
            <w:tcBorders>
              <w:top w:val="single" w:sz="4" w:space="0" w:color="auto"/>
              <w:bottom w:val="single" w:sz="4" w:space="0" w:color="auto"/>
            </w:tcBorders>
            <w:shd w:val="clear" w:color="auto" w:fill="auto"/>
            <w:vAlign w:val="center"/>
          </w:tcPr>
          <w:p w:rsidR="00EF1AFB" w:rsidRPr="003B68F7" w:rsidRDefault="00EF1AFB" w:rsidP="003B68F7">
            <w:pPr>
              <w:pStyle w:val="cuatexto"/>
            </w:pPr>
            <w:r>
              <w:t>Batez besteko langileak, urtean zehar</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65,13</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68,21</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79,62</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102,64</w:t>
            </w:r>
          </w:p>
        </w:tc>
        <w:tc>
          <w:tcPr>
            <w:tcW w:w="624"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108,26</w:t>
            </w:r>
          </w:p>
        </w:tc>
        <w:tc>
          <w:tcPr>
            <w:tcW w:w="1055"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66</w:t>
            </w:r>
          </w:p>
        </w:tc>
        <w:tc>
          <w:tcPr>
            <w:tcW w:w="1055" w:type="dxa"/>
            <w:tcBorders>
              <w:top w:val="single" w:sz="4" w:space="0" w:color="auto"/>
              <w:bottom w:val="single" w:sz="4" w:space="0" w:color="auto"/>
            </w:tcBorders>
            <w:shd w:val="clear" w:color="auto" w:fill="auto"/>
            <w:vAlign w:val="center"/>
          </w:tcPr>
          <w:p w:rsidR="00EF1AFB" w:rsidRPr="003B68F7" w:rsidRDefault="00EF1AFB" w:rsidP="003E2BD1">
            <w:pPr>
              <w:pStyle w:val="cuatexto"/>
              <w:jc w:val="right"/>
            </w:pPr>
            <w:r>
              <w:t>5</w:t>
            </w:r>
          </w:p>
        </w:tc>
      </w:tr>
    </w:tbl>
    <w:p w:rsidR="00EF1AFB" w:rsidRDefault="00EF1AFB" w:rsidP="00EF1AFB">
      <w:pPr>
        <w:pStyle w:val="texto"/>
        <w:spacing w:before="240" w:after="240"/>
      </w:pPr>
      <w:r>
        <w:t>2020an, 108 pertsonak lan egin zuten Fundazioan; horrek esan nahi du eh</w:t>
      </w:r>
      <w:r>
        <w:t>u</w:t>
      </w:r>
      <w:r>
        <w:t xml:space="preserve">neko 66ko eta ehuneko 5eko igoera egon dela 2016an eta 2019an, hurrenez </w:t>
      </w:r>
      <w:proofErr w:type="spellStart"/>
      <w:r>
        <w:t>h</w:t>
      </w:r>
      <w:r>
        <w:t>u</w:t>
      </w:r>
      <w:r>
        <w:t>rren</w:t>
      </w:r>
      <w:proofErr w:type="spellEnd"/>
      <w:r>
        <w:t>.</w:t>
      </w:r>
    </w:p>
    <w:p w:rsidR="00CC22B9" w:rsidRDefault="00CC22B9">
      <w:pPr>
        <w:spacing w:after="0"/>
        <w:ind w:firstLine="0"/>
        <w:jc w:val="left"/>
        <w:rPr>
          <w:rFonts w:ascii="Arial" w:hAnsi="Arial"/>
          <w:i/>
          <w:iCs/>
          <w:color w:val="000000"/>
          <w:spacing w:val="10"/>
          <w:kern w:val="28"/>
          <w:sz w:val="25"/>
          <w:szCs w:val="26"/>
        </w:rPr>
      </w:pPr>
      <w:r>
        <w:br w:type="page"/>
      </w:r>
    </w:p>
    <w:p w:rsidR="00EF1AFB" w:rsidRPr="00261BB6" w:rsidRDefault="00EF1AFB" w:rsidP="00102466">
      <w:pPr>
        <w:pStyle w:val="atitulo3"/>
        <w:spacing w:before="240"/>
      </w:pPr>
      <w:r>
        <w:lastRenderedPageBreak/>
        <w:t>Fundazioaren finantzaketa</w:t>
      </w:r>
    </w:p>
    <w:p w:rsidR="00EF1AFB" w:rsidRDefault="00EF1AFB" w:rsidP="00EF1AFB">
      <w:pPr>
        <w:pStyle w:val="texto"/>
        <w:spacing w:after="240"/>
      </w:pPr>
      <w:r>
        <w:t>Fundazioak 2016-2020 aldian lortutako finantzaketaren bilakaera, erakunde horrek emandako datuen arabera, honako hau da:</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705"/>
        <w:gridCol w:w="1045"/>
        <w:gridCol w:w="1045"/>
        <w:gridCol w:w="1045"/>
        <w:gridCol w:w="1045"/>
        <w:gridCol w:w="1045"/>
        <w:gridCol w:w="950"/>
        <w:gridCol w:w="909"/>
      </w:tblGrid>
      <w:tr w:rsidR="00EF1AFB" w:rsidRPr="00AE7E16" w:rsidTr="005339C4">
        <w:trPr>
          <w:trHeight w:val="255"/>
        </w:trPr>
        <w:tc>
          <w:tcPr>
            <w:tcW w:w="1732" w:type="dxa"/>
            <w:shd w:val="clear" w:color="auto" w:fill="8DB3E2" w:themeFill="text2" w:themeFillTint="66"/>
          </w:tcPr>
          <w:p w:rsidR="00EF1AFB" w:rsidRPr="00AE7E16" w:rsidRDefault="00EF1AFB" w:rsidP="00102466">
            <w:pPr>
              <w:pStyle w:val="cuadroCabe"/>
              <w:ind w:left="-107"/>
              <w:jc w:val="left"/>
            </w:pPr>
          </w:p>
        </w:tc>
        <w:tc>
          <w:tcPr>
            <w:tcW w:w="1049" w:type="dxa"/>
            <w:shd w:val="clear" w:color="auto" w:fill="8DB3E2" w:themeFill="text2" w:themeFillTint="66"/>
            <w:vAlign w:val="center"/>
          </w:tcPr>
          <w:p w:rsidR="00EF1AFB" w:rsidRPr="00AE7E16" w:rsidRDefault="00EF1AFB" w:rsidP="00E27567">
            <w:pPr>
              <w:pStyle w:val="cuadroCabe"/>
              <w:jc w:val="right"/>
            </w:pPr>
            <w:r>
              <w:t>2016</w:t>
            </w:r>
          </w:p>
        </w:tc>
        <w:tc>
          <w:tcPr>
            <w:tcW w:w="1049" w:type="dxa"/>
            <w:shd w:val="clear" w:color="auto" w:fill="8DB3E2" w:themeFill="text2" w:themeFillTint="66"/>
            <w:vAlign w:val="center"/>
          </w:tcPr>
          <w:p w:rsidR="00EF1AFB" w:rsidRPr="00AE7E16" w:rsidRDefault="00EF1AFB" w:rsidP="00E27567">
            <w:pPr>
              <w:pStyle w:val="cuadroCabe"/>
              <w:jc w:val="right"/>
            </w:pPr>
            <w:r>
              <w:t>2017</w:t>
            </w:r>
          </w:p>
        </w:tc>
        <w:tc>
          <w:tcPr>
            <w:tcW w:w="1049" w:type="dxa"/>
            <w:shd w:val="clear" w:color="auto" w:fill="8DB3E2" w:themeFill="text2" w:themeFillTint="66"/>
            <w:vAlign w:val="center"/>
          </w:tcPr>
          <w:p w:rsidR="00EF1AFB" w:rsidRPr="00AE7E16" w:rsidRDefault="00EF1AFB" w:rsidP="00E27567">
            <w:pPr>
              <w:pStyle w:val="cuadroCabe"/>
              <w:jc w:val="right"/>
            </w:pPr>
            <w:r>
              <w:t>2018</w:t>
            </w:r>
          </w:p>
        </w:tc>
        <w:tc>
          <w:tcPr>
            <w:tcW w:w="1049" w:type="dxa"/>
            <w:shd w:val="clear" w:color="auto" w:fill="8DB3E2" w:themeFill="text2" w:themeFillTint="66"/>
            <w:vAlign w:val="center"/>
          </w:tcPr>
          <w:p w:rsidR="00EF1AFB" w:rsidRPr="00AE7E16" w:rsidRDefault="00EF1AFB" w:rsidP="00E27567">
            <w:pPr>
              <w:pStyle w:val="cuadroCabe"/>
              <w:jc w:val="right"/>
            </w:pPr>
            <w:r>
              <w:t>2019</w:t>
            </w:r>
          </w:p>
        </w:tc>
        <w:tc>
          <w:tcPr>
            <w:tcW w:w="1049" w:type="dxa"/>
            <w:shd w:val="clear" w:color="auto" w:fill="8DB3E2" w:themeFill="text2" w:themeFillTint="66"/>
            <w:vAlign w:val="center"/>
          </w:tcPr>
          <w:p w:rsidR="00EF1AFB" w:rsidRPr="00AE7E16" w:rsidRDefault="00EF1AFB" w:rsidP="00E27567">
            <w:pPr>
              <w:pStyle w:val="cuadroCabe"/>
              <w:jc w:val="right"/>
            </w:pPr>
            <w:r>
              <w:t>2020</w:t>
            </w:r>
          </w:p>
        </w:tc>
        <w:tc>
          <w:tcPr>
            <w:tcW w:w="953" w:type="dxa"/>
            <w:shd w:val="clear" w:color="auto" w:fill="8DB3E2" w:themeFill="text2" w:themeFillTint="66"/>
            <w:vAlign w:val="center"/>
          </w:tcPr>
          <w:p w:rsidR="00EF1AFB" w:rsidRPr="00AE7E16" w:rsidRDefault="005339C4" w:rsidP="00E27567">
            <w:pPr>
              <w:pStyle w:val="cuadroCabe"/>
              <w:jc w:val="right"/>
            </w:pPr>
            <w:r>
              <w:t>Aldea (%) 2020/16</w:t>
            </w:r>
          </w:p>
        </w:tc>
        <w:tc>
          <w:tcPr>
            <w:tcW w:w="859" w:type="dxa"/>
            <w:shd w:val="clear" w:color="auto" w:fill="8DB3E2" w:themeFill="text2" w:themeFillTint="66"/>
            <w:vAlign w:val="center"/>
          </w:tcPr>
          <w:p w:rsidR="00EF1AFB" w:rsidRPr="00AE7E16" w:rsidRDefault="005339C4" w:rsidP="00E27567">
            <w:pPr>
              <w:pStyle w:val="cuadroCabe"/>
              <w:jc w:val="right"/>
            </w:pPr>
            <w:r>
              <w:t>Aldea (%) 2020/19</w:t>
            </w:r>
          </w:p>
        </w:tc>
      </w:tr>
      <w:tr w:rsidR="00EF1AFB" w:rsidRPr="00102466" w:rsidTr="005339C4">
        <w:trPr>
          <w:trHeight w:val="198"/>
        </w:trPr>
        <w:tc>
          <w:tcPr>
            <w:tcW w:w="1732" w:type="dxa"/>
            <w:tcBorders>
              <w:bottom w:val="nil"/>
            </w:tcBorders>
          </w:tcPr>
          <w:p w:rsidR="00EF1AFB" w:rsidRPr="00102466" w:rsidRDefault="00EF1AFB" w:rsidP="00102466">
            <w:pPr>
              <w:pStyle w:val="cuatexto"/>
              <w:ind w:left="-107"/>
              <w:jc w:val="left"/>
              <w:rPr>
                <w:rFonts w:ascii="Arial" w:hAnsi="Arial" w:cs="Arial"/>
                <w:sz w:val="16"/>
                <w:szCs w:val="16"/>
              </w:rPr>
            </w:pPr>
            <w:r>
              <w:rPr>
                <w:rFonts w:ascii="Arial" w:hAnsi="Arial"/>
                <w:sz w:val="16"/>
                <w:szCs w:val="16"/>
              </w:rPr>
              <w:t>Ikerkuntza:</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2.297.412</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3.795.165</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3.881.438</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5.351.656</w:t>
            </w:r>
          </w:p>
        </w:tc>
        <w:tc>
          <w:tcPr>
            <w:tcW w:w="104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5.136.317</w:t>
            </w:r>
          </w:p>
        </w:tc>
        <w:tc>
          <w:tcPr>
            <w:tcW w:w="953"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124</w:t>
            </w:r>
          </w:p>
        </w:tc>
        <w:tc>
          <w:tcPr>
            <w:tcW w:w="859" w:type="dxa"/>
            <w:tcBorders>
              <w:bottom w:val="nil"/>
            </w:tcBorders>
          </w:tcPr>
          <w:p w:rsidR="00EF1AFB" w:rsidRPr="00102466" w:rsidRDefault="00EF1AFB" w:rsidP="00E27567">
            <w:pPr>
              <w:pStyle w:val="cuatexto"/>
              <w:jc w:val="right"/>
              <w:rPr>
                <w:rFonts w:ascii="Arial" w:hAnsi="Arial" w:cs="Arial"/>
                <w:color w:val="000000"/>
                <w:sz w:val="16"/>
                <w:szCs w:val="16"/>
              </w:rPr>
            </w:pPr>
            <w:r>
              <w:rPr>
                <w:rFonts w:ascii="Arial" w:hAnsi="Arial"/>
                <w:color w:val="000000"/>
                <w:sz w:val="16"/>
                <w:szCs w:val="16"/>
              </w:rPr>
              <w:t>-4</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Pr>
                <w:sz w:val="16"/>
                <w:szCs w:val="16"/>
              </w:rPr>
              <w:t>Autonomikoa</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1.426.477</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2.182.164</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2.008.541</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3.733.399</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3.042.406</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113</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-19</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Pr>
                <w:sz w:val="16"/>
                <w:szCs w:val="16"/>
              </w:rPr>
              <w:t>Plan Nazionala</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678.253</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638.532</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865.907</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742.570</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1.156.431</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71</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56</w:t>
            </w:r>
          </w:p>
        </w:tc>
      </w:tr>
      <w:tr w:rsidR="00EF1AFB" w:rsidRPr="00102466" w:rsidTr="005339C4">
        <w:trPr>
          <w:trHeight w:val="198"/>
        </w:trPr>
        <w:tc>
          <w:tcPr>
            <w:tcW w:w="1732" w:type="dxa"/>
            <w:tcBorders>
              <w:top w:val="nil"/>
              <w:bottom w:val="nil"/>
            </w:tcBorders>
          </w:tcPr>
          <w:p w:rsidR="00EF1AFB" w:rsidRPr="00102466" w:rsidRDefault="00EF1AFB" w:rsidP="00102466">
            <w:pPr>
              <w:pStyle w:val="cuatexto"/>
              <w:ind w:left="-107" w:firstLine="284"/>
              <w:jc w:val="left"/>
              <w:rPr>
                <w:sz w:val="16"/>
                <w:szCs w:val="16"/>
              </w:rPr>
            </w:pPr>
            <w:r>
              <w:rPr>
                <w:sz w:val="16"/>
                <w:szCs w:val="16"/>
              </w:rPr>
              <w:t>Europako funtsak</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148.682</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503.331</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558.953</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455.594</w:t>
            </w:r>
          </w:p>
        </w:tc>
        <w:tc>
          <w:tcPr>
            <w:tcW w:w="104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560.698</w:t>
            </w:r>
          </w:p>
        </w:tc>
        <w:tc>
          <w:tcPr>
            <w:tcW w:w="953"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277</w:t>
            </w:r>
          </w:p>
        </w:tc>
        <w:tc>
          <w:tcPr>
            <w:tcW w:w="859" w:type="dxa"/>
            <w:tcBorders>
              <w:top w:val="nil"/>
              <w:bottom w:val="nil"/>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23</w:t>
            </w:r>
          </w:p>
        </w:tc>
      </w:tr>
      <w:tr w:rsidR="00EF1AFB" w:rsidRPr="00102466" w:rsidTr="005339C4">
        <w:trPr>
          <w:trHeight w:val="198"/>
        </w:trPr>
        <w:tc>
          <w:tcPr>
            <w:tcW w:w="1732" w:type="dxa"/>
            <w:tcBorders>
              <w:top w:val="nil"/>
              <w:bottom w:val="single" w:sz="2" w:space="0" w:color="auto"/>
            </w:tcBorders>
          </w:tcPr>
          <w:p w:rsidR="00EF1AFB" w:rsidRPr="00102466" w:rsidRDefault="00EF1AFB" w:rsidP="00102466">
            <w:pPr>
              <w:pStyle w:val="cuatexto"/>
              <w:ind w:left="-107" w:firstLine="284"/>
              <w:jc w:val="left"/>
              <w:rPr>
                <w:sz w:val="16"/>
                <w:szCs w:val="16"/>
              </w:rPr>
            </w:pPr>
            <w:r>
              <w:rPr>
                <w:sz w:val="16"/>
                <w:szCs w:val="16"/>
              </w:rPr>
              <w:t>Bestelakoak</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44.000</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471.138</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448.037</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420.093</w:t>
            </w:r>
          </w:p>
        </w:tc>
        <w:tc>
          <w:tcPr>
            <w:tcW w:w="104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376.782</w:t>
            </w:r>
          </w:p>
        </w:tc>
        <w:tc>
          <w:tcPr>
            <w:tcW w:w="953"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756</w:t>
            </w:r>
          </w:p>
        </w:tc>
        <w:tc>
          <w:tcPr>
            <w:tcW w:w="859" w:type="dxa"/>
            <w:tcBorders>
              <w:top w:val="nil"/>
              <w:bottom w:val="single" w:sz="2" w:space="0" w:color="auto"/>
            </w:tcBorders>
          </w:tcPr>
          <w:p w:rsidR="00EF1AFB" w:rsidRPr="00102466" w:rsidRDefault="00EF1AFB" w:rsidP="00102466">
            <w:pPr>
              <w:pStyle w:val="cuatexto"/>
              <w:ind w:left="-107" w:firstLine="284"/>
              <w:jc w:val="right"/>
              <w:rPr>
                <w:rFonts w:cs="Calibri"/>
                <w:color w:val="000000"/>
                <w:sz w:val="16"/>
                <w:szCs w:val="16"/>
              </w:rPr>
            </w:pPr>
            <w:r>
              <w:rPr>
                <w:color w:val="000000"/>
                <w:sz w:val="16"/>
                <w:szCs w:val="16"/>
              </w:rPr>
              <w:t>-10</w:t>
            </w:r>
          </w:p>
        </w:tc>
      </w:tr>
      <w:tr w:rsidR="00EF1AFB" w:rsidRPr="00F85894" w:rsidTr="005339C4">
        <w:trPr>
          <w:trHeight w:val="198"/>
        </w:trPr>
        <w:tc>
          <w:tcPr>
            <w:tcW w:w="1732" w:type="dxa"/>
            <w:tcBorders>
              <w:top w:val="single" w:sz="2" w:space="0" w:color="auto"/>
              <w:bottom w:val="single" w:sz="4" w:space="0" w:color="auto"/>
            </w:tcBorders>
            <w:vAlign w:val="center"/>
          </w:tcPr>
          <w:p w:rsidR="00EF1AFB" w:rsidRPr="00F85894" w:rsidRDefault="00EF1AFB" w:rsidP="00102466">
            <w:pPr>
              <w:pStyle w:val="cuatexto"/>
              <w:ind w:left="-107"/>
              <w:jc w:val="left"/>
              <w:rPr>
                <w:rFonts w:ascii="Arial" w:hAnsi="Arial" w:cs="Arial"/>
                <w:sz w:val="16"/>
                <w:szCs w:val="16"/>
              </w:rPr>
            </w:pPr>
            <w:r>
              <w:rPr>
                <w:rFonts w:ascii="Arial" w:hAnsi="Arial"/>
                <w:sz w:val="16"/>
                <w:szCs w:val="16"/>
              </w:rPr>
              <w:t>Egiturazkoa (NFKA)</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1.350.000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2.700.000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3.225.000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3.370.000</w:t>
            </w:r>
          </w:p>
        </w:tc>
        <w:tc>
          <w:tcPr>
            <w:tcW w:w="104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3.500.000</w:t>
            </w:r>
          </w:p>
        </w:tc>
        <w:tc>
          <w:tcPr>
            <w:tcW w:w="953"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159</w:t>
            </w:r>
          </w:p>
        </w:tc>
        <w:tc>
          <w:tcPr>
            <w:tcW w:w="859" w:type="dxa"/>
            <w:tcBorders>
              <w:top w:val="single" w:sz="2" w:space="0" w:color="auto"/>
              <w:bottom w:val="single" w:sz="4" w:space="0" w:color="auto"/>
            </w:tcBorders>
            <w:vAlign w:val="center"/>
          </w:tcPr>
          <w:p w:rsidR="00EF1AFB" w:rsidRPr="00F85894" w:rsidRDefault="00EF1AFB" w:rsidP="00E27567">
            <w:pPr>
              <w:pStyle w:val="cuatexto"/>
              <w:jc w:val="right"/>
              <w:rPr>
                <w:rFonts w:ascii="Arial" w:hAnsi="Arial" w:cs="Arial"/>
                <w:color w:val="000000"/>
                <w:sz w:val="16"/>
                <w:szCs w:val="16"/>
              </w:rPr>
            </w:pPr>
            <w:r>
              <w:rPr>
                <w:rFonts w:ascii="Arial" w:hAnsi="Arial"/>
                <w:color w:val="000000"/>
                <w:sz w:val="16"/>
                <w:szCs w:val="16"/>
              </w:rPr>
              <w:t>4</w:t>
            </w:r>
          </w:p>
        </w:tc>
      </w:tr>
      <w:tr w:rsidR="00EF1AFB" w:rsidRPr="00AE7E16" w:rsidTr="005339C4">
        <w:trPr>
          <w:trHeight w:val="255"/>
        </w:trPr>
        <w:tc>
          <w:tcPr>
            <w:tcW w:w="1732" w:type="dxa"/>
            <w:tcBorders>
              <w:top w:val="single" w:sz="4" w:space="0" w:color="auto"/>
            </w:tcBorders>
            <w:shd w:val="clear" w:color="auto" w:fill="8DB3E2" w:themeFill="text2" w:themeFillTint="66"/>
            <w:vAlign w:val="center"/>
          </w:tcPr>
          <w:p w:rsidR="00EF1AFB" w:rsidRPr="005F4907" w:rsidRDefault="00EF1AFB" w:rsidP="00102466">
            <w:pPr>
              <w:pStyle w:val="cuadroCabe"/>
              <w:ind w:left="-107"/>
              <w:jc w:val="left"/>
            </w:pPr>
            <w:r>
              <w:t>Finantzaketa, guztira</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3.647.412</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6.495.165</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7.106.438</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8.721.656</w:t>
            </w:r>
          </w:p>
        </w:tc>
        <w:tc>
          <w:tcPr>
            <w:tcW w:w="104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8.636.317</w:t>
            </w:r>
          </w:p>
        </w:tc>
        <w:tc>
          <w:tcPr>
            <w:tcW w:w="953"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137</w:t>
            </w:r>
          </w:p>
        </w:tc>
        <w:tc>
          <w:tcPr>
            <w:tcW w:w="859" w:type="dxa"/>
            <w:tcBorders>
              <w:top w:val="single" w:sz="4" w:space="0" w:color="auto"/>
            </w:tcBorders>
            <w:shd w:val="clear" w:color="auto" w:fill="8DB3E2" w:themeFill="text2" w:themeFillTint="66"/>
            <w:vAlign w:val="center"/>
          </w:tcPr>
          <w:p w:rsidR="00EF1AFB" w:rsidRPr="005F4907" w:rsidRDefault="00EF1AFB" w:rsidP="00E27567">
            <w:pPr>
              <w:pStyle w:val="cuadroCabe"/>
              <w:jc w:val="right"/>
              <w:rPr>
                <w:rFonts w:ascii="Arial Narrow" w:hAnsi="Arial Narrow" w:cs="Calibri"/>
                <w:color w:val="000000"/>
                <w:sz w:val="19"/>
                <w:szCs w:val="19"/>
              </w:rPr>
            </w:pPr>
            <w:r>
              <w:rPr>
                <w:rFonts w:ascii="Arial Narrow" w:hAnsi="Arial Narrow"/>
                <w:color w:val="000000"/>
                <w:sz w:val="19"/>
                <w:szCs w:val="19"/>
              </w:rPr>
              <w:t>-1</w:t>
            </w:r>
          </w:p>
        </w:tc>
      </w:tr>
    </w:tbl>
    <w:p w:rsidR="00EF1AFB" w:rsidRDefault="00EF1AFB" w:rsidP="00EF1AFB">
      <w:pPr>
        <w:pStyle w:val="texto"/>
        <w:spacing w:before="240"/>
        <w:rPr>
          <w:szCs w:val="26"/>
        </w:rPr>
      </w:pPr>
      <w:r>
        <w:t>2020an, Fundazioak 8,64 milioi euroko finantzaketa lortu zuen guztira; hau da, 2016an baino ehuneko 137 gehiago, baina 2019an baino ehuneko bat g</w:t>
      </w:r>
      <w:r>
        <w:t>u</w:t>
      </w:r>
      <w:r>
        <w:t>txiago.</w:t>
      </w:r>
    </w:p>
    <w:p w:rsidR="00EF1AFB" w:rsidRDefault="00EF1AFB" w:rsidP="00EF1AFB">
      <w:pPr>
        <w:pStyle w:val="texto"/>
        <w:spacing w:after="360"/>
        <w:rPr>
          <w:szCs w:val="26"/>
        </w:rPr>
      </w:pPr>
      <w:r>
        <w:t>Aztertutako aldian, ikerketarako zuzenean emandako finantzaketa guztizko</w:t>
      </w:r>
      <w:r>
        <w:t>a</w:t>
      </w:r>
      <w:r>
        <w:t xml:space="preserve">ren ehuneko 59 da, eta egiturazkoa, </w:t>
      </w:r>
      <w:proofErr w:type="spellStart"/>
      <w:r>
        <w:t>NFKAtik</w:t>
      </w:r>
      <w:proofErr w:type="spellEnd"/>
      <w:r>
        <w:t xml:space="preserve"> jasotako diru-sarrerekin bat dat</w:t>
      </w:r>
      <w:r>
        <w:t>o</w:t>
      </w:r>
      <w:r>
        <w:t>rrena, gainerako ehuneko 41a. Irudi honek finantzaketaren osagai bakoitzaren bilakaera erakusten du:</w:t>
      </w:r>
    </w:p>
    <w:p w:rsidR="00EF1AFB" w:rsidRDefault="00EF1AFB" w:rsidP="00EF1AFB">
      <w:pPr>
        <w:pStyle w:val="texto"/>
        <w:rPr>
          <w:szCs w:val="26"/>
        </w:rPr>
      </w:pPr>
      <w:r>
        <w:rPr>
          <w:noProof/>
          <w:lang w:val="es-ES" w:eastAsia="es-ES"/>
        </w:rPr>
        <w:drawing>
          <wp:inline distT="0" distB="0" distL="0" distR="0" wp14:anchorId="203FBDE4" wp14:editId="48649C22">
            <wp:extent cx="5000625" cy="3467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82" t="2086" r="3412" b="4202"/>
                    <a:stretch/>
                  </pic:blipFill>
                  <pic:spPr bwMode="auto">
                    <a:xfrm>
                      <a:off x="0" y="0"/>
                      <a:ext cx="5000625" cy="34671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EF1AFB" w:rsidRPr="00261BB6" w:rsidRDefault="00EF1AFB" w:rsidP="004F5D8F">
      <w:pPr>
        <w:pStyle w:val="atitulo3"/>
        <w:spacing w:before="240"/>
      </w:pPr>
      <w:r>
        <w:lastRenderedPageBreak/>
        <w:t>Fundazioaren funts propioak eta diruzaintza</w:t>
      </w:r>
    </w:p>
    <w:p w:rsidR="00EF1AFB" w:rsidRDefault="00EF1AFB" w:rsidP="00EF1AFB">
      <w:pPr>
        <w:pStyle w:val="texto"/>
        <w:spacing w:before="120" w:after="240"/>
        <w:rPr>
          <w:szCs w:val="26"/>
        </w:rPr>
      </w:pPr>
      <w:r>
        <w:t>Fundazioaren funts propioek eta diruzaintzak honako balio hauek izan zitu</w:t>
      </w:r>
      <w:r>
        <w:t>z</w:t>
      </w:r>
      <w:r>
        <w:t xml:space="preserve">ten aztertutako aldian: </w:t>
      </w:r>
    </w:p>
    <w:tbl>
      <w:tblPr>
        <w:tblStyle w:val="Tablaconcuadrcula"/>
        <w:tblW w:w="8877" w:type="dxa"/>
        <w:tblBorders>
          <w:left w:val="none" w:sz="0" w:space="0" w:color="auto"/>
          <w:right w:val="none" w:sz="0" w:space="0" w:color="auto"/>
          <w:insideV w:val="none" w:sz="0" w:space="0" w:color="auto"/>
        </w:tblBorders>
        <w:tblLook w:val="04A0" w:firstRow="1" w:lastRow="0" w:firstColumn="1" w:lastColumn="0" w:noHBand="0" w:noVBand="1"/>
      </w:tblPr>
      <w:tblGrid>
        <w:gridCol w:w="1550"/>
        <w:gridCol w:w="1017"/>
        <w:gridCol w:w="1017"/>
        <w:gridCol w:w="1017"/>
        <w:gridCol w:w="1017"/>
        <w:gridCol w:w="1017"/>
        <w:gridCol w:w="1121"/>
        <w:gridCol w:w="1121"/>
      </w:tblGrid>
      <w:tr w:rsidR="00EF1AFB" w:rsidRPr="00F843E9" w:rsidTr="0071234A">
        <w:trPr>
          <w:trHeight w:val="255"/>
        </w:trPr>
        <w:tc>
          <w:tcPr>
            <w:tcW w:w="1550" w:type="dxa"/>
            <w:shd w:val="clear" w:color="auto" w:fill="8DB3E2" w:themeFill="text2" w:themeFillTint="66"/>
          </w:tcPr>
          <w:p w:rsidR="00EF1AFB" w:rsidRPr="00F843E9" w:rsidRDefault="00EF1AFB" w:rsidP="008E512D">
            <w:pPr>
              <w:pStyle w:val="cuadroCabe"/>
              <w:jc w:val="left"/>
            </w:pPr>
          </w:p>
        </w:tc>
        <w:tc>
          <w:tcPr>
            <w:tcW w:w="1017" w:type="dxa"/>
            <w:shd w:val="clear" w:color="auto" w:fill="8DB3E2" w:themeFill="text2" w:themeFillTint="66"/>
            <w:vAlign w:val="center"/>
          </w:tcPr>
          <w:p w:rsidR="00EF1AFB" w:rsidRPr="00F843E9" w:rsidRDefault="00EF1AFB" w:rsidP="008E512D">
            <w:pPr>
              <w:pStyle w:val="cuadroCabe"/>
              <w:jc w:val="right"/>
            </w:pPr>
            <w:r>
              <w:t>2016</w:t>
            </w:r>
          </w:p>
        </w:tc>
        <w:tc>
          <w:tcPr>
            <w:tcW w:w="1017" w:type="dxa"/>
            <w:shd w:val="clear" w:color="auto" w:fill="8DB3E2" w:themeFill="text2" w:themeFillTint="66"/>
            <w:vAlign w:val="center"/>
          </w:tcPr>
          <w:p w:rsidR="00EF1AFB" w:rsidRPr="00F843E9" w:rsidRDefault="00EF1AFB" w:rsidP="008E512D">
            <w:pPr>
              <w:pStyle w:val="cuadroCabe"/>
              <w:jc w:val="right"/>
            </w:pPr>
            <w:r>
              <w:t>2017</w:t>
            </w:r>
          </w:p>
        </w:tc>
        <w:tc>
          <w:tcPr>
            <w:tcW w:w="1017" w:type="dxa"/>
            <w:shd w:val="clear" w:color="auto" w:fill="8DB3E2" w:themeFill="text2" w:themeFillTint="66"/>
            <w:vAlign w:val="center"/>
          </w:tcPr>
          <w:p w:rsidR="00EF1AFB" w:rsidRPr="00F843E9" w:rsidRDefault="00EF1AFB" w:rsidP="008E512D">
            <w:pPr>
              <w:pStyle w:val="cuadroCabe"/>
              <w:jc w:val="right"/>
            </w:pPr>
            <w:r>
              <w:t>2018</w:t>
            </w:r>
          </w:p>
        </w:tc>
        <w:tc>
          <w:tcPr>
            <w:tcW w:w="1017" w:type="dxa"/>
            <w:shd w:val="clear" w:color="auto" w:fill="8DB3E2" w:themeFill="text2" w:themeFillTint="66"/>
            <w:vAlign w:val="center"/>
          </w:tcPr>
          <w:p w:rsidR="00EF1AFB" w:rsidRPr="00F843E9" w:rsidRDefault="00EF1AFB" w:rsidP="008E512D">
            <w:pPr>
              <w:pStyle w:val="cuadroCabe"/>
              <w:jc w:val="right"/>
            </w:pPr>
            <w:r>
              <w:t>2019</w:t>
            </w:r>
          </w:p>
        </w:tc>
        <w:tc>
          <w:tcPr>
            <w:tcW w:w="1017" w:type="dxa"/>
            <w:shd w:val="clear" w:color="auto" w:fill="8DB3E2" w:themeFill="text2" w:themeFillTint="66"/>
            <w:vAlign w:val="center"/>
          </w:tcPr>
          <w:p w:rsidR="00EF1AFB" w:rsidRPr="00F843E9" w:rsidRDefault="00EF1AFB" w:rsidP="008E512D">
            <w:pPr>
              <w:pStyle w:val="cuadroCabe"/>
              <w:jc w:val="right"/>
            </w:pPr>
            <w:r>
              <w:t>2020</w:t>
            </w:r>
          </w:p>
        </w:tc>
        <w:tc>
          <w:tcPr>
            <w:tcW w:w="1121" w:type="dxa"/>
            <w:shd w:val="clear" w:color="auto" w:fill="8DB3E2" w:themeFill="text2" w:themeFillTint="66"/>
            <w:vAlign w:val="center"/>
          </w:tcPr>
          <w:p w:rsidR="00EF1AFB" w:rsidRPr="00F843E9" w:rsidRDefault="00EF1AFB" w:rsidP="008E512D">
            <w:pPr>
              <w:pStyle w:val="cuadroCabe"/>
              <w:jc w:val="right"/>
            </w:pPr>
            <w:r>
              <w:t>Aldea (%) 2020/2016</w:t>
            </w:r>
          </w:p>
        </w:tc>
        <w:tc>
          <w:tcPr>
            <w:tcW w:w="1121" w:type="dxa"/>
            <w:shd w:val="clear" w:color="auto" w:fill="8DB3E2" w:themeFill="text2" w:themeFillTint="66"/>
            <w:vAlign w:val="center"/>
          </w:tcPr>
          <w:p w:rsidR="00EF1AFB" w:rsidRPr="00F843E9" w:rsidRDefault="00EF1AFB" w:rsidP="008E512D">
            <w:pPr>
              <w:pStyle w:val="cuadroCabe"/>
              <w:jc w:val="right"/>
            </w:pPr>
            <w:r>
              <w:t>Aldea (%) 2020/2019</w:t>
            </w:r>
          </w:p>
        </w:tc>
      </w:tr>
      <w:tr w:rsidR="00EF1AFB" w:rsidRPr="00AE7E16" w:rsidTr="008165C4">
        <w:trPr>
          <w:trHeight w:val="198"/>
        </w:trPr>
        <w:tc>
          <w:tcPr>
            <w:tcW w:w="1550" w:type="dxa"/>
            <w:tcBorders>
              <w:bottom w:val="single" w:sz="2" w:space="0" w:color="auto"/>
            </w:tcBorders>
            <w:vAlign w:val="center"/>
          </w:tcPr>
          <w:p w:rsidR="00EF1AFB" w:rsidRPr="00AE7E16" w:rsidRDefault="00EF1AFB" w:rsidP="008E512D">
            <w:pPr>
              <w:pStyle w:val="cuatexto"/>
              <w:jc w:val="left"/>
            </w:pPr>
            <w:r>
              <w:t>Funts propioak</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rPr>
            </w:pPr>
            <w:r>
              <w:rPr>
                <w:color w:val="000000"/>
              </w:rPr>
              <w:t>342.922</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rPr>
            </w:pPr>
            <w:r>
              <w:rPr>
                <w:color w:val="000000"/>
              </w:rPr>
              <w:t>791.971</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rPr>
            </w:pPr>
            <w:r>
              <w:rPr>
                <w:color w:val="000000"/>
              </w:rPr>
              <w:t>1.083.844</w:t>
            </w:r>
          </w:p>
        </w:tc>
        <w:tc>
          <w:tcPr>
            <w:tcW w:w="1017" w:type="dxa"/>
            <w:tcBorders>
              <w:bottom w:val="single" w:sz="2" w:space="0" w:color="auto"/>
            </w:tcBorders>
            <w:vAlign w:val="center"/>
          </w:tcPr>
          <w:p w:rsidR="00EF1AFB" w:rsidRPr="00AE7E16" w:rsidRDefault="00EF1AFB" w:rsidP="008E512D">
            <w:pPr>
              <w:pStyle w:val="cuatexto"/>
              <w:jc w:val="right"/>
              <w:rPr>
                <w:rFonts w:cs="Calibri"/>
                <w:color w:val="000000"/>
              </w:rPr>
            </w:pPr>
            <w:r>
              <w:rPr>
                <w:color w:val="000000"/>
              </w:rPr>
              <w:t>1.119.299</w:t>
            </w:r>
          </w:p>
        </w:tc>
        <w:tc>
          <w:tcPr>
            <w:tcW w:w="1017" w:type="dxa"/>
            <w:tcBorders>
              <w:bottom w:val="single" w:sz="2" w:space="0" w:color="auto"/>
            </w:tcBorders>
            <w:vAlign w:val="center"/>
          </w:tcPr>
          <w:p w:rsidR="00EF1AFB" w:rsidRPr="00882221" w:rsidRDefault="00EF1AFB" w:rsidP="008E512D">
            <w:pPr>
              <w:pStyle w:val="cuatexto"/>
              <w:jc w:val="right"/>
              <w:rPr>
                <w:rFonts w:cs="Calibri"/>
                <w:color w:val="000000"/>
              </w:rPr>
            </w:pPr>
            <w:r>
              <w:rPr>
                <w:color w:val="000000"/>
              </w:rPr>
              <w:t>1.284.343</w:t>
            </w:r>
          </w:p>
        </w:tc>
        <w:tc>
          <w:tcPr>
            <w:tcW w:w="1121" w:type="dxa"/>
            <w:tcBorders>
              <w:bottom w:val="single" w:sz="2" w:space="0" w:color="auto"/>
            </w:tcBorders>
            <w:vAlign w:val="center"/>
          </w:tcPr>
          <w:p w:rsidR="00EF1AFB" w:rsidRPr="00882221" w:rsidRDefault="00EF1AFB" w:rsidP="008E512D">
            <w:pPr>
              <w:pStyle w:val="cuatexto"/>
              <w:jc w:val="right"/>
              <w:rPr>
                <w:rFonts w:cs="Calibri"/>
                <w:color w:val="000000"/>
              </w:rPr>
            </w:pPr>
            <w:r>
              <w:rPr>
                <w:color w:val="000000"/>
              </w:rPr>
              <w:t>275</w:t>
            </w:r>
          </w:p>
        </w:tc>
        <w:tc>
          <w:tcPr>
            <w:tcW w:w="1121" w:type="dxa"/>
            <w:tcBorders>
              <w:bottom w:val="single" w:sz="2" w:space="0" w:color="auto"/>
            </w:tcBorders>
            <w:vAlign w:val="center"/>
          </w:tcPr>
          <w:p w:rsidR="00EF1AFB" w:rsidRPr="00882221" w:rsidRDefault="00EF1AFB" w:rsidP="008E512D">
            <w:pPr>
              <w:pStyle w:val="cuatexto"/>
              <w:jc w:val="right"/>
              <w:rPr>
                <w:rFonts w:cs="Calibri"/>
                <w:color w:val="000000"/>
              </w:rPr>
            </w:pPr>
            <w:r>
              <w:rPr>
                <w:color w:val="000000"/>
              </w:rPr>
              <w:t>15</w:t>
            </w:r>
          </w:p>
        </w:tc>
      </w:tr>
      <w:tr w:rsidR="00EF1AFB" w:rsidRPr="00AE7E16" w:rsidTr="004F5D8F">
        <w:trPr>
          <w:trHeight w:val="198"/>
        </w:trPr>
        <w:tc>
          <w:tcPr>
            <w:tcW w:w="1550" w:type="dxa"/>
            <w:tcBorders>
              <w:top w:val="single" w:sz="2" w:space="0" w:color="auto"/>
              <w:bottom w:val="single" w:sz="4" w:space="0" w:color="auto"/>
            </w:tcBorders>
            <w:vAlign w:val="center"/>
          </w:tcPr>
          <w:p w:rsidR="00EF1AFB" w:rsidRPr="00AE7E16" w:rsidRDefault="00EF1AFB" w:rsidP="008E512D">
            <w:pPr>
              <w:pStyle w:val="cuatexto"/>
              <w:jc w:val="left"/>
            </w:pPr>
            <w:r>
              <w:t>Diruzaintza</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rPr>
            </w:pPr>
            <w:r>
              <w:rPr>
                <w:color w:val="000000"/>
              </w:rPr>
              <w:t>2.077.806</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rPr>
            </w:pPr>
            <w:r>
              <w:rPr>
                <w:color w:val="000000"/>
              </w:rPr>
              <w:t>2.048.501</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rPr>
            </w:pPr>
            <w:r>
              <w:rPr>
                <w:color w:val="000000"/>
              </w:rPr>
              <w:t>4.844.704</w:t>
            </w:r>
          </w:p>
        </w:tc>
        <w:tc>
          <w:tcPr>
            <w:tcW w:w="1017" w:type="dxa"/>
            <w:tcBorders>
              <w:top w:val="single" w:sz="2" w:space="0" w:color="auto"/>
              <w:bottom w:val="single" w:sz="4" w:space="0" w:color="auto"/>
            </w:tcBorders>
            <w:vAlign w:val="center"/>
          </w:tcPr>
          <w:p w:rsidR="00EF1AFB" w:rsidRPr="00AE7E16" w:rsidRDefault="00EF1AFB" w:rsidP="008E512D">
            <w:pPr>
              <w:pStyle w:val="cuatexto"/>
              <w:jc w:val="right"/>
              <w:rPr>
                <w:rFonts w:cs="Calibri"/>
                <w:color w:val="000000"/>
              </w:rPr>
            </w:pPr>
            <w:r>
              <w:rPr>
                <w:color w:val="000000"/>
              </w:rPr>
              <w:t>5.275.111</w:t>
            </w:r>
          </w:p>
        </w:tc>
        <w:tc>
          <w:tcPr>
            <w:tcW w:w="1017"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rPr>
            </w:pPr>
            <w:r>
              <w:rPr>
                <w:color w:val="000000"/>
              </w:rPr>
              <w:t>7.694.038</w:t>
            </w:r>
          </w:p>
        </w:tc>
        <w:tc>
          <w:tcPr>
            <w:tcW w:w="1121"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rPr>
            </w:pPr>
            <w:r>
              <w:rPr>
                <w:color w:val="000000"/>
              </w:rPr>
              <w:t>270</w:t>
            </w:r>
          </w:p>
        </w:tc>
        <w:tc>
          <w:tcPr>
            <w:tcW w:w="1121" w:type="dxa"/>
            <w:tcBorders>
              <w:top w:val="single" w:sz="2" w:space="0" w:color="auto"/>
              <w:bottom w:val="single" w:sz="4" w:space="0" w:color="auto"/>
            </w:tcBorders>
            <w:vAlign w:val="center"/>
          </w:tcPr>
          <w:p w:rsidR="00EF1AFB" w:rsidRPr="00882221" w:rsidRDefault="00EF1AFB" w:rsidP="008E512D">
            <w:pPr>
              <w:pStyle w:val="cuatexto"/>
              <w:jc w:val="right"/>
              <w:rPr>
                <w:rFonts w:cs="Calibri"/>
                <w:color w:val="000000"/>
              </w:rPr>
            </w:pPr>
            <w:r>
              <w:rPr>
                <w:color w:val="000000"/>
              </w:rPr>
              <w:t>46</w:t>
            </w:r>
          </w:p>
        </w:tc>
      </w:tr>
    </w:tbl>
    <w:p w:rsidR="00EF1AFB" w:rsidRDefault="00EF1AFB" w:rsidP="00015430">
      <w:pPr>
        <w:pStyle w:val="texto"/>
        <w:spacing w:before="240" w:after="120"/>
      </w:pPr>
      <w:r>
        <w:t xml:space="preserve">2020an, Fundazioaren funts propioak 1,28 milioira iritsi ziren, 2016an eta 2019an baino % 275 eta % 15 gehiago hazi ondoren, batez ere finantzaketa handiagoa lortu zelako. </w:t>
      </w:r>
    </w:p>
    <w:p w:rsidR="00EF1AFB" w:rsidRDefault="00EF1AFB" w:rsidP="00EF1AFB">
      <w:pPr>
        <w:pStyle w:val="texto"/>
        <w:spacing w:before="120"/>
        <w:rPr>
          <w:szCs w:val="26"/>
        </w:rPr>
      </w:pPr>
      <w:r>
        <w:t xml:space="preserve">Diruzaintzari dagokionez, 2020an 7,69 milioira iritsi da, eta kopuru hori ere nabarmen igo da, 270 eta 46 milioi euro, 2016. eta 2019. urteekin alderatuta. Igoera hori saiakuntza klinikoei lotutako diru-sarrerek eta urte anitzeko </w:t>
      </w:r>
      <w:proofErr w:type="spellStart"/>
      <w:r>
        <w:t>dirul</w:t>
      </w:r>
      <w:r>
        <w:t>a</w:t>
      </w:r>
      <w:r>
        <w:t>guntza</w:t>
      </w:r>
      <w:proofErr w:type="spellEnd"/>
      <w:r>
        <w:t xml:space="preserve"> batzuen kobrantza aurreratuek eragin dute batez ere.  </w:t>
      </w:r>
    </w:p>
    <w:p w:rsidR="00EF1AFB" w:rsidRPr="00261BB6" w:rsidRDefault="00EF1AFB" w:rsidP="0001500B">
      <w:pPr>
        <w:pStyle w:val="atitulo3"/>
        <w:spacing w:before="240"/>
      </w:pPr>
      <w:r>
        <w:t>Fundazioaren jarduera</w:t>
      </w:r>
    </w:p>
    <w:p w:rsidR="00EF1AFB" w:rsidRDefault="00EF1AFB" w:rsidP="0001500B">
      <w:pPr>
        <w:pStyle w:val="texto"/>
        <w:spacing w:before="240" w:after="240"/>
      </w:pPr>
      <w:r>
        <w:t xml:space="preserve">2016-2020 aldian, honako hau izan zen Fundazioaren jardueraren bilakaera: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298"/>
        <w:gridCol w:w="805"/>
        <w:gridCol w:w="805"/>
        <w:gridCol w:w="805"/>
        <w:gridCol w:w="805"/>
        <w:gridCol w:w="805"/>
        <w:gridCol w:w="1233"/>
        <w:gridCol w:w="1233"/>
      </w:tblGrid>
      <w:tr w:rsidR="00EF1AFB" w:rsidRPr="00665F41" w:rsidTr="008165C4">
        <w:trPr>
          <w:trHeight w:val="255"/>
        </w:trPr>
        <w:tc>
          <w:tcPr>
            <w:tcW w:w="2268" w:type="dxa"/>
            <w:tcBorders>
              <w:bottom w:val="single" w:sz="4" w:space="0" w:color="auto"/>
            </w:tcBorders>
            <w:shd w:val="clear" w:color="auto" w:fill="8DB3E2" w:themeFill="text2" w:themeFillTint="66"/>
            <w:noWrap/>
            <w:vAlign w:val="bottom"/>
            <w:hideMark/>
          </w:tcPr>
          <w:p w:rsidR="00EF1AFB" w:rsidRPr="00665F41" w:rsidRDefault="00EF1AFB" w:rsidP="0001500B">
            <w:pPr>
              <w:pStyle w:val="cuadroCabe"/>
              <w:jc w:val="left"/>
            </w:pP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2016</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2017</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2018</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2019</w:t>
            </w:r>
          </w:p>
        </w:tc>
        <w:tc>
          <w:tcPr>
            <w:tcW w:w="794"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2020</w:t>
            </w:r>
          </w:p>
        </w:tc>
        <w:tc>
          <w:tcPr>
            <w:tcW w:w="1216"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Aldea (%) 2020/2016</w:t>
            </w:r>
          </w:p>
        </w:tc>
        <w:tc>
          <w:tcPr>
            <w:tcW w:w="1216" w:type="dxa"/>
            <w:tcBorders>
              <w:bottom w:val="single" w:sz="4" w:space="0" w:color="auto"/>
            </w:tcBorders>
            <w:shd w:val="clear" w:color="auto" w:fill="8DB3E2" w:themeFill="text2" w:themeFillTint="66"/>
            <w:noWrap/>
            <w:vAlign w:val="center"/>
            <w:hideMark/>
          </w:tcPr>
          <w:p w:rsidR="00EF1AFB" w:rsidRPr="00665F41" w:rsidRDefault="00EF1AFB" w:rsidP="00665F41">
            <w:pPr>
              <w:pStyle w:val="cuadroCabe"/>
              <w:jc w:val="right"/>
            </w:pPr>
            <w:r>
              <w:t>Aldea (%) 2020/2019</w:t>
            </w:r>
          </w:p>
        </w:tc>
      </w:tr>
      <w:tr w:rsidR="00EF1AFB" w:rsidRPr="0001500B" w:rsidTr="008165C4">
        <w:trPr>
          <w:trHeight w:val="198"/>
        </w:trPr>
        <w:tc>
          <w:tcPr>
            <w:tcW w:w="2268" w:type="dxa"/>
            <w:tcBorders>
              <w:bottom w:val="nil"/>
            </w:tcBorders>
            <w:shd w:val="clear" w:color="auto" w:fill="auto"/>
            <w:noWrap/>
            <w:vAlign w:val="bottom"/>
            <w:hideMark/>
          </w:tcPr>
          <w:p w:rsidR="00EF1AFB" w:rsidRPr="0001500B" w:rsidRDefault="00EF1AFB" w:rsidP="0001500B">
            <w:pPr>
              <w:pStyle w:val="cuatexto"/>
              <w:jc w:val="left"/>
              <w:rPr>
                <w:rFonts w:ascii="Arial" w:hAnsi="Arial" w:cs="Arial"/>
                <w:sz w:val="18"/>
                <w:szCs w:val="18"/>
              </w:rPr>
            </w:pPr>
            <w:r>
              <w:rPr>
                <w:rFonts w:ascii="Arial" w:hAnsi="Arial"/>
                <w:sz w:val="18"/>
                <w:szCs w:val="18"/>
              </w:rPr>
              <w:t>Proiektuak:</w:t>
            </w: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rPr>
            </w:pPr>
            <w:r>
              <w:rPr>
                <w:sz w:val="18"/>
                <w:szCs w:val="18"/>
              </w:rPr>
              <w:t xml:space="preserve">Eskatutakoak </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118</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124</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100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120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108</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-8</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-10</w:t>
            </w: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rPr>
            </w:pPr>
            <w:r>
              <w:rPr>
                <w:sz w:val="18"/>
                <w:szCs w:val="18"/>
              </w:rPr>
              <w:t>Emandakoak</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40</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39</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27</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39</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41</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2</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5</w:t>
            </w:r>
          </w:p>
        </w:tc>
      </w:tr>
      <w:tr w:rsidR="00EF1AFB" w:rsidRPr="00E4445C" w:rsidTr="008165C4">
        <w:trPr>
          <w:trHeight w:val="198"/>
        </w:trPr>
        <w:tc>
          <w:tcPr>
            <w:tcW w:w="2268" w:type="dxa"/>
            <w:tcBorders>
              <w:top w:val="nil"/>
              <w:bottom w:val="nil"/>
            </w:tcBorders>
            <w:shd w:val="clear" w:color="auto" w:fill="auto"/>
            <w:noWrap/>
            <w:vAlign w:val="center"/>
          </w:tcPr>
          <w:p w:rsidR="00EF1AFB" w:rsidRPr="000B5988" w:rsidRDefault="00EF1AFB" w:rsidP="0001500B">
            <w:pPr>
              <w:pStyle w:val="cuatexto"/>
              <w:ind w:left="209"/>
              <w:jc w:val="left"/>
              <w:rPr>
                <w:sz w:val="18"/>
                <w:szCs w:val="18"/>
              </w:rPr>
            </w:pPr>
            <w:r>
              <w:rPr>
                <w:sz w:val="18"/>
                <w:szCs w:val="18"/>
              </w:rPr>
              <w:t>Emandakoak/eskatutakoak (%)</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34</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31</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27</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33</w:t>
            </w:r>
          </w:p>
        </w:tc>
        <w:tc>
          <w:tcPr>
            <w:tcW w:w="794"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38</w:t>
            </w:r>
          </w:p>
        </w:tc>
        <w:tc>
          <w:tcPr>
            <w:tcW w:w="1216"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12</w:t>
            </w:r>
          </w:p>
        </w:tc>
        <w:tc>
          <w:tcPr>
            <w:tcW w:w="1216" w:type="dxa"/>
            <w:tcBorders>
              <w:top w:val="nil"/>
              <w:bottom w:val="nil"/>
            </w:tcBorders>
            <w:shd w:val="clear" w:color="auto" w:fill="auto"/>
            <w:noWrap/>
            <w:vAlign w:val="center"/>
          </w:tcPr>
          <w:p w:rsidR="00EF1AFB" w:rsidRPr="000B5988" w:rsidRDefault="00EF1AFB" w:rsidP="00665F41">
            <w:pPr>
              <w:pStyle w:val="cuatexto"/>
              <w:jc w:val="right"/>
              <w:rPr>
                <w:rFonts w:cs="Calibri"/>
                <w:sz w:val="18"/>
                <w:szCs w:val="18"/>
              </w:rPr>
            </w:pPr>
            <w:r>
              <w:rPr>
                <w:sz w:val="18"/>
                <w:szCs w:val="18"/>
              </w:rPr>
              <w:t>17</w:t>
            </w:r>
          </w:p>
        </w:tc>
      </w:tr>
      <w:tr w:rsidR="00EF1AFB" w:rsidRPr="00E4445C" w:rsidTr="008165C4">
        <w:trPr>
          <w:trHeight w:val="198"/>
        </w:trPr>
        <w:tc>
          <w:tcPr>
            <w:tcW w:w="2268" w:type="dxa"/>
            <w:tcBorders>
              <w:top w:val="nil"/>
              <w:bottom w:val="single" w:sz="2" w:space="0" w:color="auto"/>
            </w:tcBorders>
            <w:shd w:val="clear" w:color="auto" w:fill="auto"/>
            <w:noWrap/>
            <w:vAlign w:val="bottom"/>
            <w:hideMark/>
          </w:tcPr>
          <w:p w:rsidR="00EF1AFB" w:rsidRPr="000B5988" w:rsidRDefault="00EF1AFB" w:rsidP="0001500B">
            <w:pPr>
              <w:pStyle w:val="cuatexto"/>
              <w:ind w:left="209"/>
              <w:jc w:val="left"/>
              <w:rPr>
                <w:sz w:val="18"/>
                <w:szCs w:val="18"/>
              </w:rPr>
            </w:pPr>
            <w:r>
              <w:rPr>
                <w:sz w:val="18"/>
                <w:szCs w:val="18"/>
              </w:rPr>
              <w:t>Indardunak</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76</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115</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94</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115</w:t>
            </w:r>
          </w:p>
        </w:tc>
        <w:tc>
          <w:tcPr>
            <w:tcW w:w="794"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129</w:t>
            </w:r>
          </w:p>
        </w:tc>
        <w:tc>
          <w:tcPr>
            <w:tcW w:w="1216"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70</w:t>
            </w:r>
          </w:p>
        </w:tc>
        <w:tc>
          <w:tcPr>
            <w:tcW w:w="1216" w:type="dxa"/>
            <w:tcBorders>
              <w:top w:val="nil"/>
              <w:bottom w:val="single" w:sz="2"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12</w:t>
            </w:r>
          </w:p>
        </w:tc>
      </w:tr>
      <w:tr w:rsidR="00EF1AFB" w:rsidRPr="0001500B" w:rsidTr="008165C4">
        <w:trPr>
          <w:trHeight w:val="198"/>
        </w:trPr>
        <w:tc>
          <w:tcPr>
            <w:tcW w:w="2268" w:type="dxa"/>
            <w:tcBorders>
              <w:top w:val="single" w:sz="2" w:space="0" w:color="auto"/>
              <w:bottom w:val="nil"/>
            </w:tcBorders>
            <w:shd w:val="clear" w:color="auto" w:fill="auto"/>
            <w:noWrap/>
            <w:vAlign w:val="bottom"/>
            <w:hideMark/>
          </w:tcPr>
          <w:p w:rsidR="00EF1AFB" w:rsidRPr="0001500B" w:rsidRDefault="00EF1AFB" w:rsidP="0001500B">
            <w:pPr>
              <w:pStyle w:val="cuatexto"/>
              <w:jc w:val="left"/>
              <w:rPr>
                <w:rFonts w:ascii="Arial" w:hAnsi="Arial" w:cs="Arial"/>
                <w:sz w:val="18"/>
                <w:szCs w:val="18"/>
              </w:rPr>
            </w:pPr>
            <w:r>
              <w:rPr>
                <w:rFonts w:ascii="Arial" w:hAnsi="Arial"/>
                <w:sz w:val="18"/>
                <w:szCs w:val="18"/>
              </w:rPr>
              <w:t>Entsegu klinikoak:</w:t>
            </w: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794"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c>
          <w:tcPr>
            <w:tcW w:w="1216" w:type="dxa"/>
            <w:tcBorders>
              <w:top w:val="single" w:sz="2" w:space="0" w:color="auto"/>
              <w:bottom w:val="nil"/>
            </w:tcBorders>
            <w:shd w:val="clear" w:color="auto" w:fill="auto"/>
            <w:noWrap/>
            <w:vAlign w:val="bottom"/>
            <w:hideMark/>
          </w:tcPr>
          <w:p w:rsidR="00EF1AFB" w:rsidRPr="0001500B" w:rsidRDefault="00EF1AFB" w:rsidP="00665F41">
            <w:pPr>
              <w:pStyle w:val="cuatexto"/>
              <w:jc w:val="right"/>
              <w:rPr>
                <w:rFonts w:ascii="Arial" w:hAnsi="Arial" w:cs="Arial"/>
                <w:sz w:val="18"/>
                <w:szCs w:val="18"/>
                <w:lang w:val="es-ES" w:eastAsia="es-ES"/>
              </w:rPr>
            </w:pPr>
          </w:p>
        </w:tc>
      </w:tr>
      <w:tr w:rsidR="00EF1AFB" w:rsidRPr="00E4445C" w:rsidTr="008165C4">
        <w:trPr>
          <w:trHeight w:val="198"/>
        </w:trPr>
        <w:tc>
          <w:tcPr>
            <w:tcW w:w="2268" w:type="dxa"/>
            <w:tcBorders>
              <w:top w:val="nil"/>
              <w:bottom w:val="nil"/>
            </w:tcBorders>
            <w:shd w:val="clear" w:color="auto" w:fill="auto"/>
            <w:noWrap/>
            <w:vAlign w:val="bottom"/>
            <w:hideMark/>
          </w:tcPr>
          <w:p w:rsidR="00EF1AFB" w:rsidRPr="000B5988" w:rsidRDefault="00EF1AFB" w:rsidP="0001500B">
            <w:pPr>
              <w:pStyle w:val="cuatexto"/>
              <w:ind w:left="209"/>
              <w:jc w:val="left"/>
              <w:rPr>
                <w:sz w:val="18"/>
                <w:szCs w:val="18"/>
              </w:rPr>
            </w:pPr>
            <w:r>
              <w:rPr>
                <w:sz w:val="18"/>
                <w:szCs w:val="18"/>
              </w:rPr>
              <w:t>Hasitakoak</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95</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75</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81</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82</w:t>
            </w:r>
          </w:p>
        </w:tc>
        <w:tc>
          <w:tcPr>
            <w:tcW w:w="794"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80</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-16</w:t>
            </w:r>
          </w:p>
        </w:tc>
        <w:tc>
          <w:tcPr>
            <w:tcW w:w="1216" w:type="dxa"/>
            <w:tcBorders>
              <w:top w:val="nil"/>
              <w:bottom w:val="nil"/>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-2</w:t>
            </w:r>
          </w:p>
        </w:tc>
      </w:tr>
      <w:tr w:rsidR="00EF1AFB" w:rsidRPr="00E4445C" w:rsidTr="008165C4">
        <w:trPr>
          <w:trHeight w:val="198"/>
        </w:trPr>
        <w:tc>
          <w:tcPr>
            <w:tcW w:w="2268" w:type="dxa"/>
            <w:tcBorders>
              <w:top w:val="nil"/>
              <w:bottom w:val="single" w:sz="4" w:space="0" w:color="auto"/>
            </w:tcBorders>
            <w:shd w:val="clear" w:color="auto" w:fill="auto"/>
            <w:noWrap/>
            <w:vAlign w:val="bottom"/>
            <w:hideMark/>
          </w:tcPr>
          <w:p w:rsidR="00EF1AFB" w:rsidRPr="000B5988" w:rsidRDefault="00EF1AFB" w:rsidP="0001500B">
            <w:pPr>
              <w:pStyle w:val="cuatexto"/>
              <w:ind w:left="209"/>
              <w:jc w:val="left"/>
              <w:rPr>
                <w:sz w:val="18"/>
                <w:szCs w:val="18"/>
              </w:rPr>
            </w:pPr>
            <w:r>
              <w:rPr>
                <w:sz w:val="18"/>
                <w:szCs w:val="18"/>
              </w:rPr>
              <w:t>Indardunak</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100</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139</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161</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202</w:t>
            </w:r>
          </w:p>
        </w:tc>
        <w:tc>
          <w:tcPr>
            <w:tcW w:w="794"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217</w:t>
            </w:r>
          </w:p>
        </w:tc>
        <w:tc>
          <w:tcPr>
            <w:tcW w:w="1216"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117</w:t>
            </w:r>
          </w:p>
        </w:tc>
        <w:tc>
          <w:tcPr>
            <w:tcW w:w="1216" w:type="dxa"/>
            <w:tcBorders>
              <w:top w:val="nil"/>
              <w:bottom w:val="single" w:sz="4" w:space="0" w:color="auto"/>
            </w:tcBorders>
            <w:shd w:val="clear" w:color="auto" w:fill="auto"/>
            <w:noWrap/>
            <w:vAlign w:val="bottom"/>
            <w:hideMark/>
          </w:tcPr>
          <w:p w:rsidR="00EF1AFB" w:rsidRPr="000B5988" w:rsidRDefault="00EF1AFB" w:rsidP="00665F41">
            <w:pPr>
              <w:pStyle w:val="cuatexto"/>
              <w:jc w:val="right"/>
              <w:rPr>
                <w:rFonts w:cs="Calibri"/>
                <w:sz w:val="18"/>
                <w:szCs w:val="18"/>
              </w:rPr>
            </w:pPr>
            <w:r>
              <w:rPr>
                <w:sz w:val="18"/>
                <w:szCs w:val="18"/>
              </w:rPr>
              <w:t>7</w:t>
            </w:r>
          </w:p>
        </w:tc>
      </w:tr>
    </w:tbl>
    <w:p w:rsidR="00EF1AFB" w:rsidRDefault="00EF1AFB" w:rsidP="00EF1AFB">
      <w:pPr>
        <w:pStyle w:val="texto"/>
        <w:spacing w:before="240"/>
        <w:rPr>
          <w:szCs w:val="26"/>
        </w:rPr>
      </w:pPr>
      <w:r>
        <w:t xml:space="preserve">2020an, Fundazioak 41 proiekturentzako finantzaketa lortu zuen, aztertutako aldiko gainerako urteetan izandakoaren antzekoa, 2018an izan ezik, orduan 27 proiekturentzako laguntza izan baitzen. Lortutako proiektuen ehuneko handiena eskatutakoen artean lortu da, eta balio handiena 2020an lortu da (ehuneko 38). 2020koa da, halaber, proiektu gehien lantzen ari den urtea, 129 proiekturekin ari baita, 2016an eta 2019an baino % 70 eta % 12 gehiago, hurrenez </w:t>
      </w:r>
      <w:proofErr w:type="spellStart"/>
      <w:r>
        <w:t>hurren</w:t>
      </w:r>
      <w:proofErr w:type="spellEnd"/>
      <w:r>
        <w:t xml:space="preserve">. </w:t>
      </w:r>
    </w:p>
    <w:p w:rsidR="00EF1AFB" w:rsidRDefault="00EF1AFB" w:rsidP="00EF1AFB">
      <w:pPr>
        <w:pStyle w:val="texto"/>
        <w:spacing w:before="120"/>
        <w:rPr>
          <w:szCs w:val="26"/>
        </w:rPr>
      </w:pPr>
      <w:r>
        <w:t>Bestetik, Fundazioak entsegu klinikoak ere egiten ditu. 2020an 80 entsegu hasi ziren (kasu honetan, kopurua 2016koa eta 2019koa baino ehuneko 16 tx</w:t>
      </w:r>
      <w:r>
        <w:t>i</w:t>
      </w:r>
      <w:r>
        <w:t>kiagoa eta ehuneko bi txikiagoa) eta 217 indarrean zeuden; zenbateko hori a</w:t>
      </w:r>
      <w:r>
        <w:t>z</w:t>
      </w:r>
      <w:r>
        <w:t xml:space="preserve">tertutako aldiko baliorik handiena da. </w:t>
      </w:r>
    </w:p>
    <w:p w:rsidR="00EF1AFB" w:rsidRPr="00413E50" w:rsidRDefault="00EF1AFB" w:rsidP="00A05D6E">
      <w:pPr>
        <w:pStyle w:val="atitulo3"/>
        <w:spacing w:before="240"/>
      </w:pPr>
      <w:r>
        <w:lastRenderedPageBreak/>
        <w:t xml:space="preserve">Fundazioaren </w:t>
      </w:r>
      <w:proofErr w:type="spellStart"/>
      <w:r>
        <w:t>auditoretzari</w:t>
      </w:r>
      <w:proofErr w:type="spellEnd"/>
      <w:r>
        <w:t xml:space="preserve"> eta legezkotasunaren gaineko prozedura adostuei buruzko txostenak</w:t>
      </w:r>
    </w:p>
    <w:p w:rsidR="00EF1AFB" w:rsidRDefault="00EF1AFB" w:rsidP="00EF1AFB">
      <w:pPr>
        <w:pStyle w:val="texto"/>
        <w:rPr>
          <w:szCs w:val="26"/>
        </w:rPr>
      </w:pPr>
      <w:r>
        <w:t>2016-2020 aldian, kontuei buruzko txostenen iritzia ez zen aldatu edo ald</w:t>
      </w:r>
      <w:r>
        <w:t>e</w:t>
      </w:r>
      <w:r>
        <w:t xml:space="preserve">koa izan zen urte guztietan, salbuespenik gabe, 2017an izan ezik; izan ere, 2017an salbuespen bat adierazi zen, balantzeko partidetan 0,17 milioi euroko </w:t>
      </w:r>
      <w:proofErr w:type="spellStart"/>
      <w:r>
        <w:t>dirulaguntzak</w:t>
      </w:r>
      <w:proofErr w:type="spellEnd"/>
      <w:r>
        <w:t xml:space="preserve"> behar bezala aurkeztu eta esleitzeari dagokionez. </w:t>
      </w:r>
    </w:p>
    <w:p w:rsidR="00EF1AFB" w:rsidRDefault="00EF1AFB" w:rsidP="00EF1AFB">
      <w:pPr>
        <w:pStyle w:val="texto"/>
        <w:rPr>
          <w:szCs w:val="26"/>
        </w:rPr>
      </w:pPr>
      <w:r>
        <w:t xml:space="preserve">Bestalde, 2017. urteaz geroztik, </w:t>
      </w:r>
      <w:proofErr w:type="spellStart"/>
      <w:r>
        <w:t>auditoretza-enpresa</w:t>
      </w:r>
      <w:proofErr w:type="spellEnd"/>
      <w:r>
        <w:t xml:space="preserve"> pribatuek legezkotasuna berrikusteko adostutako prozedurei buruzko txosten bat egiten da, Ekonomia eta Ogasun Departamentuko Finantza Kontrol Iraunkorreko eta Auditoretzako Zerbitzuak gainbegiratzen duena. </w:t>
      </w:r>
    </w:p>
    <w:p w:rsidR="00EF1AFB" w:rsidRPr="004807F9" w:rsidRDefault="00EF1AFB" w:rsidP="00EF1AFB">
      <w:pPr>
        <w:pStyle w:val="texto"/>
        <w:rPr>
          <w:szCs w:val="26"/>
        </w:rPr>
      </w:pPr>
      <w:r>
        <w:t xml:space="preserve">2017an eta 2018an, berrikuspenaren emaitza aldekoa izan zen, baina ohar bat jaso zen, langileen berrezarpen-tasa eta egonkortze-tasa, hurrenez </w:t>
      </w:r>
      <w:proofErr w:type="spellStart"/>
      <w:r>
        <w:t>hurren</w:t>
      </w:r>
      <w:proofErr w:type="spellEnd"/>
      <w:r>
        <w:t>, apl</w:t>
      </w:r>
      <w:r>
        <w:t>i</w:t>
      </w:r>
      <w:r>
        <w:t>katzean araudia ez aplikatzeari buruz; 2019an, ordea, ondorioa aldekoa izan zen. Txosten hau idazteko unean, amaitzeke dago 2020ko berrikuspena.</w:t>
      </w:r>
    </w:p>
    <w:p w:rsidR="00EF1AFB" w:rsidRPr="00AD3E89" w:rsidRDefault="00226C80" w:rsidP="00AD3E89">
      <w:pPr>
        <w:pStyle w:val="atitulo2"/>
      </w:pPr>
      <w:bookmarkStart w:id="23" w:name="_Toc73013238"/>
      <w:bookmarkStart w:id="24" w:name="_Toc82513845"/>
      <w:r>
        <w:t xml:space="preserve">IV.2. </w:t>
      </w:r>
      <w:bookmarkEnd w:id="22"/>
      <w:r>
        <w:t xml:space="preserve">Kontuen Ganberak Miguel </w:t>
      </w:r>
      <w:proofErr w:type="spellStart"/>
      <w:r>
        <w:t>Servet</w:t>
      </w:r>
      <w:proofErr w:type="spellEnd"/>
      <w:r>
        <w:t xml:space="preserve"> Fundazioari buruz 2016ko ira</w:t>
      </w:r>
      <w:r>
        <w:t>i</w:t>
      </w:r>
      <w:r>
        <w:t>lean emandako txosteneko gomendioen betetze-mailaren jarraipena.</w:t>
      </w:r>
      <w:bookmarkEnd w:id="23"/>
      <w:bookmarkEnd w:id="24"/>
      <w:r>
        <w:t xml:space="preserve"> </w:t>
      </w:r>
    </w:p>
    <w:p w:rsidR="00EF1AFB" w:rsidRDefault="00EF1AFB" w:rsidP="00EF1AFB">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szCs w:val="26"/>
        </w:rPr>
      </w:pPr>
      <w:r>
        <w:t>2016ko irailean, Kontuen Ganberak Fundazioari buruzko txosten bat egin zuen. Txosten horren ondorio nagusiak txosten honekin batera doan eransk</w:t>
      </w:r>
      <w:r>
        <w:t>i</w:t>
      </w:r>
      <w:r>
        <w:t xml:space="preserve">nean daude zehaztuta. </w:t>
      </w:r>
    </w:p>
    <w:p w:rsidR="00EF1AFB" w:rsidRDefault="00EF1AFB" w:rsidP="00EF1AF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t xml:space="preserve">Txostenak hamabi gomendio zituen; gomendio bakoitzaren betetze-maila irizpide hauen arabera kalifikatu dugu: </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984"/>
        <w:gridCol w:w="6805"/>
      </w:tblGrid>
      <w:tr w:rsidR="00EF1AFB" w:rsidTr="00826DEE">
        <w:trPr>
          <w:trHeight w:val="255"/>
        </w:trPr>
        <w:tc>
          <w:tcPr>
            <w:tcW w:w="1984" w:type="dxa"/>
            <w:shd w:val="clear" w:color="auto" w:fill="8DB3E2" w:themeFill="text2" w:themeFillTint="66"/>
            <w:vAlign w:val="center"/>
          </w:tcPr>
          <w:p w:rsidR="00EF1AFB" w:rsidRPr="00D55FC9" w:rsidRDefault="00EF1AFB" w:rsidP="00A05D6E">
            <w:pPr>
              <w:pStyle w:val="cuadroCabe"/>
              <w:jc w:val="left"/>
            </w:pPr>
            <w:r>
              <w:t>Kategoria</w:t>
            </w:r>
          </w:p>
        </w:tc>
        <w:tc>
          <w:tcPr>
            <w:tcW w:w="6805" w:type="dxa"/>
            <w:shd w:val="clear" w:color="auto" w:fill="8DB3E2" w:themeFill="text2" w:themeFillTint="66"/>
            <w:vAlign w:val="center"/>
          </w:tcPr>
          <w:p w:rsidR="00EF1AFB" w:rsidRPr="00D55FC9" w:rsidRDefault="00EF1AFB" w:rsidP="002509BE">
            <w:pPr>
              <w:pStyle w:val="cuadroCabe"/>
            </w:pPr>
            <w:r>
              <w:t xml:space="preserve"> Deskribapena</w:t>
            </w:r>
          </w:p>
        </w:tc>
      </w:tr>
      <w:tr w:rsidR="00EF1AFB" w:rsidRPr="00826DEE" w:rsidTr="00D647A2">
        <w:trPr>
          <w:trHeight w:val="198"/>
        </w:trPr>
        <w:tc>
          <w:tcPr>
            <w:tcW w:w="1984" w:type="dxa"/>
            <w:tcBorders>
              <w:bottom w:val="single" w:sz="2" w:space="0" w:color="auto"/>
            </w:tcBorders>
            <w:vAlign w:val="center"/>
          </w:tcPr>
          <w:p w:rsidR="00EF1AFB" w:rsidRPr="00826DEE" w:rsidRDefault="00EF1AFB" w:rsidP="00A05D6E">
            <w:pPr>
              <w:pStyle w:val="cuatexto"/>
              <w:jc w:val="left"/>
              <w:rPr>
                <w:szCs w:val="20"/>
              </w:rPr>
            </w:pPr>
            <w:r>
              <w:t>Osoan edo funtsean aplikatua</w:t>
            </w:r>
          </w:p>
        </w:tc>
        <w:tc>
          <w:tcPr>
            <w:tcW w:w="6805" w:type="dxa"/>
            <w:tcBorders>
              <w:bottom w:val="single" w:sz="2" w:space="0" w:color="auto"/>
            </w:tcBorders>
            <w:vAlign w:val="center"/>
          </w:tcPr>
          <w:p w:rsidR="00EF1AFB" w:rsidRPr="00826DEE" w:rsidRDefault="00EF1AFB" w:rsidP="002509BE">
            <w:pPr>
              <w:pStyle w:val="cuatexto"/>
              <w:rPr>
                <w:szCs w:val="20"/>
              </w:rPr>
            </w:pPr>
            <w:r>
              <w:t xml:space="preserve">Baldin eta zuzentze-neurriak </w:t>
            </w:r>
            <w:proofErr w:type="spellStart"/>
            <w:r>
              <w:t>–zentzuzkoak</w:t>
            </w:r>
            <w:proofErr w:type="spellEnd"/>
            <w:r>
              <w:t xml:space="preserve"> eta </w:t>
            </w:r>
            <w:proofErr w:type="spellStart"/>
            <w:r>
              <w:t>proportzionalak–</w:t>
            </w:r>
            <w:proofErr w:type="spellEnd"/>
            <w:r>
              <w:t xml:space="preserve"> hartu badira, horri buruzko behar adinako ebidentzia egonik, modua ematen dutenak irizteko ezen gomendioa eraginkorra izan dela eta ez dela ebazkizun geratu munta nabarmeneko inolako gairik.</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rPr>
            </w:pPr>
            <w:r>
              <w:t xml:space="preserve">Partzialki aplikatua </w:t>
            </w:r>
          </w:p>
          <w:p w:rsidR="00EF1AFB" w:rsidRPr="00826DEE" w:rsidRDefault="00EF1AFB" w:rsidP="00A05D6E">
            <w:pPr>
              <w:pStyle w:val="cuatexto"/>
              <w:jc w:val="left"/>
              <w:rPr>
                <w:szCs w:val="20"/>
              </w:rPr>
            </w:pP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rPr>
            </w:pPr>
            <w:r>
              <w:t>Baldin gomendioa aintzat hartu bada, akatsak, ahuleziak edo gabeziak zuzentzeko urratsak egin dira, baina hasierako fasean baino ez, haien parte batean bakarrik edo alderdiren batean baino ez, eta, ondorioz, gomendioa moduz bete izandakotzat jo ezin izanik.</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rPr>
            </w:pPr>
            <w:r>
              <w:t>Aplikatu gabea</w:t>
            </w: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rPr>
            </w:pPr>
            <w:r>
              <w:t>Ez bada egin akatsak, ahuleziak edo gabeziak zuzentzeko jarduketarik, edo eginiko jarduketak ez badira aski edo ez badira egokiro egin, halako moldez non gomend</w:t>
            </w:r>
            <w:r>
              <w:t>i</w:t>
            </w:r>
            <w:r>
              <w:t>oak aplikatu gabe jarraitzen duen.</w:t>
            </w:r>
          </w:p>
        </w:tc>
      </w:tr>
      <w:tr w:rsidR="00EF1AFB" w:rsidRPr="00826DEE" w:rsidTr="00D647A2">
        <w:trPr>
          <w:trHeight w:val="198"/>
        </w:trPr>
        <w:tc>
          <w:tcPr>
            <w:tcW w:w="1984" w:type="dxa"/>
            <w:tcBorders>
              <w:top w:val="single" w:sz="2" w:space="0" w:color="auto"/>
              <w:bottom w:val="single" w:sz="2" w:space="0" w:color="auto"/>
            </w:tcBorders>
            <w:vAlign w:val="center"/>
          </w:tcPr>
          <w:p w:rsidR="00EF1AFB" w:rsidRPr="00826DEE" w:rsidRDefault="00EF1AFB" w:rsidP="00A05D6E">
            <w:pPr>
              <w:pStyle w:val="cuatexto"/>
              <w:jc w:val="left"/>
              <w:rPr>
                <w:szCs w:val="20"/>
              </w:rPr>
            </w:pPr>
            <w:r>
              <w:t xml:space="preserve">Baliogabea egungo egoeran. </w:t>
            </w:r>
          </w:p>
          <w:p w:rsidR="00EF1AFB" w:rsidRPr="00826DEE" w:rsidRDefault="00EF1AFB" w:rsidP="00A05D6E">
            <w:pPr>
              <w:pStyle w:val="cuatexto"/>
              <w:jc w:val="left"/>
              <w:rPr>
                <w:szCs w:val="20"/>
              </w:rPr>
            </w:pPr>
          </w:p>
        </w:tc>
        <w:tc>
          <w:tcPr>
            <w:tcW w:w="6805" w:type="dxa"/>
            <w:tcBorders>
              <w:top w:val="single" w:sz="2" w:space="0" w:color="auto"/>
              <w:bottom w:val="single" w:sz="2" w:space="0" w:color="auto"/>
            </w:tcBorders>
            <w:vAlign w:val="center"/>
          </w:tcPr>
          <w:p w:rsidR="00EF1AFB" w:rsidRPr="00826DEE" w:rsidRDefault="00EF1AFB" w:rsidP="002509BE">
            <w:pPr>
              <w:pStyle w:val="cuatexto"/>
              <w:rPr>
                <w:szCs w:val="20"/>
              </w:rPr>
            </w:pPr>
            <w:r>
              <w:t>Txostena egin zenean balioduna eta egokia izan arren, egungo testuinguruan ezin aplikatuzkoa den gomendioa, horretarako moduko zirkunstantziarik ez dagoenez edo txostena egin zen uneko egokiera bera gertatzen ez denez.</w:t>
            </w:r>
          </w:p>
        </w:tc>
      </w:tr>
      <w:tr w:rsidR="00EF1AFB" w:rsidRPr="00826DEE" w:rsidTr="00D647A2">
        <w:trPr>
          <w:trHeight w:val="198"/>
        </w:trPr>
        <w:tc>
          <w:tcPr>
            <w:tcW w:w="1984" w:type="dxa"/>
            <w:tcBorders>
              <w:top w:val="single" w:sz="2" w:space="0" w:color="auto"/>
            </w:tcBorders>
            <w:vAlign w:val="center"/>
          </w:tcPr>
          <w:p w:rsidR="00EF1AFB" w:rsidRPr="00826DEE" w:rsidRDefault="00EF1AFB" w:rsidP="00A05D6E">
            <w:pPr>
              <w:pStyle w:val="cuatexto"/>
              <w:jc w:val="left"/>
              <w:rPr>
                <w:szCs w:val="20"/>
              </w:rPr>
            </w:pPr>
            <w:r>
              <w:t>Egiaztatu gabea</w:t>
            </w:r>
          </w:p>
        </w:tc>
        <w:tc>
          <w:tcPr>
            <w:tcW w:w="6805" w:type="dxa"/>
            <w:tcBorders>
              <w:top w:val="single" w:sz="2" w:space="0" w:color="auto"/>
            </w:tcBorders>
            <w:vAlign w:val="center"/>
          </w:tcPr>
          <w:p w:rsidR="00EF1AFB" w:rsidRPr="00826DEE" w:rsidRDefault="00EF1AFB" w:rsidP="002509BE">
            <w:pPr>
              <w:pStyle w:val="cuatexto"/>
              <w:rPr>
                <w:szCs w:val="20"/>
              </w:rPr>
            </w:pPr>
            <w:r>
              <w:t xml:space="preserve">Gomendio bat, zeinak froga gehigarriak beharko bailituzke azaldutakoa ziurtatzeko, are </w:t>
            </w:r>
            <w:proofErr w:type="spellStart"/>
            <w:r>
              <w:t>enteak</w:t>
            </w:r>
            <w:proofErr w:type="spellEnd"/>
            <w:r>
              <w:t xml:space="preserve"> aplikatu egin badu ere. </w:t>
            </w:r>
          </w:p>
        </w:tc>
      </w:tr>
    </w:tbl>
    <w:p w:rsidR="00015430" w:rsidRDefault="00015430" w:rsidP="000B5988">
      <w:pPr>
        <w:pStyle w:val="texto"/>
        <w:tabs>
          <w:tab w:val="left" w:pos="284"/>
        </w:tabs>
        <w:spacing w:before="240" w:after="120"/>
        <w:jc w:val="left"/>
        <w:rPr>
          <w:szCs w:val="26"/>
        </w:rPr>
      </w:pPr>
    </w:p>
    <w:p w:rsidR="00015430" w:rsidRDefault="00015430">
      <w:pPr>
        <w:spacing w:after="0"/>
        <w:ind w:firstLine="0"/>
        <w:jc w:val="left"/>
        <w:rPr>
          <w:spacing w:val="6"/>
          <w:sz w:val="26"/>
          <w:szCs w:val="26"/>
        </w:rPr>
      </w:pPr>
      <w:r>
        <w:br w:type="page"/>
      </w:r>
    </w:p>
    <w:p w:rsidR="00EF1AFB" w:rsidRPr="000E2F86" w:rsidRDefault="00EF1AFB" w:rsidP="000B5988">
      <w:pPr>
        <w:pStyle w:val="texto"/>
        <w:tabs>
          <w:tab w:val="left" w:pos="284"/>
        </w:tabs>
        <w:spacing w:before="240" w:after="120"/>
        <w:jc w:val="left"/>
        <w:rPr>
          <w:szCs w:val="26"/>
        </w:rPr>
      </w:pPr>
      <w:r>
        <w:lastRenderedPageBreak/>
        <w:t>Jarraian, Kontuen Ganberaren 2016ko iraileko txostenean jasotako gomendio bakoitzerako lortutako emaitzak azalduko ditugu:</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proofErr w:type="spellStart"/>
      <w:r>
        <w:rPr>
          <w:i/>
          <w:szCs w:val="26"/>
        </w:rPr>
        <w:t>Navarrabiomedek</w:t>
      </w:r>
      <w:proofErr w:type="spellEnd"/>
      <w:r>
        <w:rPr>
          <w:i/>
          <w:szCs w:val="26"/>
        </w:rPr>
        <w:t xml:space="preserve"> egiten duen osasun ikerketa publikorako plan estrat</w:t>
      </w:r>
      <w:r>
        <w:rPr>
          <w:i/>
          <w:szCs w:val="26"/>
        </w:rPr>
        <w:t>e</w:t>
      </w:r>
      <w:r>
        <w:rPr>
          <w:i/>
          <w:szCs w:val="26"/>
        </w:rPr>
        <w:t xml:space="preserve">giko bat egitea, zeinak, besteak </w:t>
      </w:r>
      <w:proofErr w:type="spellStart"/>
      <w:r>
        <w:rPr>
          <w:i/>
          <w:szCs w:val="26"/>
        </w:rPr>
        <w:t>beste</w:t>
      </w:r>
      <w:proofErr w:type="spellEnd"/>
      <w:r>
        <w:rPr>
          <w:i/>
          <w:szCs w:val="26"/>
        </w:rPr>
        <w:t>, ikerketaren helburuak, ikerketaren er</w:t>
      </w:r>
      <w:r>
        <w:rPr>
          <w:i/>
          <w:szCs w:val="26"/>
        </w:rPr>
        <w:t>e</w:t>
      </w:r>
      <w:r>
        <w:rPr>
          <w:i/>
          <w:szCs w:val="26"/>
        </w:rPr>
        <w:t>dua eta zertarakoa, eredu horretarako behar den egitura finkoa eta haren f</w:t>
      </w:r>
      <w:r>
        <w:rPr>
          <w:i/>
          <w:szCs w:val="26"/>
        </w:rPr>
        <w:t>i</w:t>
      </w:r>
      <w:r>
        <w:rPr>
          <w:i/>
          <w:szCs w:val="26"/>
        </w:rPr>
        <w:t>nantzaketa ezarriko baititu.</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Plan estrategikoa egitean, beste laguntza-arlo batzuekin batera, kontuan hartu beharra dago osasun publikoaren eta oinarrizko osasun laguntzaren a</w:t>
      </w:r>
      <w:r>
        <w:rPr>
          <w:i/>
          <w:szCs w:val="26"/>
        </w:rPr>
        <w:t>r</w:t>
      </w:r>
      <w:r>
        <w:rPr>
          <w:i/>
          <w:szCs w:val="26"/>
        </w:rPr>
        <w:t>loetan ikertzeko aukera eta komenigarritasuna, bai eta, Nafarroako Uniberts</w:t>
      </w:r>
      <w:r>
        <w:rPr>
          <w:i/>
          <w:szCs w:val="26"/>
        </w:rPr>
        <w:t>i</w:t>
      </w:r>
      <w:r>
        <w:rPr>
          <w:i/>
          <w:szCs w:val="26"/>
        </w:rPr>
        <w:t>tate Publikoarekin sinatutako hitzarmenaren ondoren, arlo teknologikoetan ere, ingeniaritza-eskolarekiko koordinazioari esker.</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 xml:space="preserve">Plan estrategikoak jaso beharra dauka Fundazioan jatorri desberdinetako langileek </w:t>
      </w:r>
      <w:proofErr w:type="spellStart"/>
      <w:r>
        <w:rPr>
          <w:i/>
          <w:szCs w:val="26"/>
        </w:rPr>
        <w:t>lan</w:t>
      </w:r>
      <w:proofErr w:type="spellEnd"/>
      <w:r>
        <w:rPr>
          <w:i/>
          <w:szCs w:val="26"/>
        </w:rPr>
        <w:t xml:space="preserve"> egiten dutela (Fundaziokoak, </w:t>
      </w:r>
      <w:proofErr w:type="spellStart"/>
      <w:r>
        <w:rPr>
          <w:i/>
          <w:szCs w:val="26"/>
        </w:rPr>
        <w:t>NUPekoak</w:t>
      </w:r>
      <w:proofErr w:type="spellEnd"/>
      <w:r>
        <w:rPr>
          <w:i/>
          <w:szCs w:val="26"/>
        </w:rPr>
        <w:t xml:space="preserve">, </w:t>
      </w:r>
      <w:proofErr w:type="spellStart"/>
      <w:r>
        <w:rPr>
          <w:i/>
          <w:szCs w:val="26"/>
        </w:rPr>
        <w:t>Osasunbidea-Nafarroako</w:t>
      </w:r>
      <w:proofErr w:type="spellEnd"/>
      <w:r>
        <w:rPr>
          <w:i/>
          <w:szCs w:val="26"/>
        </w:rPr>
        <w:t xml:space="preserve"> Osasun Zerbitzuko laguntzako langileak, egiturazko edo proiektu</w:t>
      </w:r>
      <w:r>
        <w:rPr>
          <w:i/>
          <w:szCs w:val="26"/>
        </w:rPr>
        <w:t>e</w:t>
      </w:r>
      <w:r>
        <w:rPr>
          <w:i/>
          <w:szCs w:val="26"/>
        </w:rPr>
        <w:t xml:space="preserve">tako langileak, </w:t>
      </w:r>
      <w:proofErr w:type="spellStart"/>
      <w:r>
        <w:rPr>
          <w:i/>
          <w:szCs w:val="26"/>
        </w:rPr>
        <w:t>IdiSNAkoak</w:t>
      </w:r>
      <w:proofErr w:type="spellEnd"/>
      <w:r>
        <w:rPr>
          <w:i/>
          <w:szCs w:val="26"/>
        </w:rPr>
        <w:t xml:space="preserve"> eta abar), eta lan-baldintza desberdinak dituztela; hori dela eta, ahal den neurrian, alderdi horiek arautu behar dira.</w:t>
      </w:r>
    </w:p>
    <w:p w:rsidR="00EF1AFB" w:rsidRDefault="00EF1AFB" w:rsidP="00EF1AFB">
      <w:pPr>
        <w:pStyle w:val="texto"/>
        <w:tabs>
          <w:tab w:val="left" w:pos="284"/>
          <w:tab w:val="num" w:pos="1948"/>
        </w:tabs>
        <w:spacing w:before="120"/>
        <w:rPr>
          <w:szCs w:val="26"/>
        </w:rPr>
      </w:pPr>
      <w:r>
        <w:t xml:space="preserve">Hiru gomendio hauek erabat edo nabarmenki aplikatu dira. Plan estrategikoa 2017ko abenduan onetsi zen, eta gomendioetan aipatutako alderdi ia guztiak jaso zituen. </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Ikerketak legegintzaldi politikoek izaten duten iraupenaz haratago doazen epeak behar ditu; hori dela eta, komenigarria izanen litzateke metodo batzuk ezartzea ikerlanen egonkortasuna bermatuko dutenak ikerketa-erritmoei egok</w:t>
      </w:r>
      <w:r>
        <w:rPr>
          <w:i/>
          <w:szCs w:val="26"/>
        </w:rPr>
        <w:t>i</w:t>
      </w:r>
      <w:r>
        <w:rPr>
          <w:i/>
          <w:szCs w:val="26"/>
        </w:rPr>
        <w:t>tutako planekin.</w:t>
      </w:r>
    </w:p>
    <w:p w:rsidR="00EF1AFB" w:rsidRDefault="00EF1AFB" w:rsidP="00EF1AFB">
      <w:pPr>
        <w:pStyle w:val="texto"/>
        <w:tabs>
          <w:tab w:val="clear" w:pos="2835"/>
          <w:tab w:val="clear" w:pos="3969"/>
          <w:tab w:val="clear" w:pos="5103"/>
          <w:tab w:val="clear" w:pos="6237"/>
          <w:tab w:val="clear" w:pos="7371"/>
        </w:tabs>
        <w:rPr>
          <w:i/>
          <w:szCs w:val="26"/>
        </w:rPr>
      </w:pPr>
      <w:r>
        <w:t>Gomendio hau erabat aplikatu da. 2018an egindako estatutu-aldaketan, z</w:t>
      </w:r>
      <w:r>
        <w:t>u</w:t>
      </w:r>
      <w:r>
        <w:t>zendariaren kargua sei urterako izatea jaso zen, eta beste hiru urtez luzatu ahal izatea; horrek bermatzen du lanpostuan egonkortasun handiagoa izatea.</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proofErr w:type="spellStart"/>
      <w:r>
        <w:rPr>
          <w:i/>
          <w:szCs w:val="26"/>
        </w:rPr>
        <w:t>IdiSNAren</w:t>
      </w:r>
      <w:proofErr w:type="spellEnd"/>
      <w:r>
        <w:rPr>
          <w:i/>
          <w:szCs w:val="26"/>
        </w:rPr>
        <w:t xml:space="preserve"> erregulazioa osatzea, batez ere gai administratiboei, </w:t>
      </w:r>
      <w:proofErr w:type="spellStart"/>
      <w:r>
        <w:rPr>
          <w:i/>
          <w:szCs w:val="26"/>
        </w:rPr>
        <w:t>akredit</w:t>
      </w:r>
      <w:r>
        <w:rPr>
          <w:i/>
          <w:szCs w:val="26"/>
        </w:rPr>
        <w:t>a</w:t>
      </w:r>
      <w:r>
        <w:rPr>
          <w:i/>
          <w:szCs w:val="26"/>
        </w:rPr>
        <w:t>zio</w:t>
      </w:r>
      <w:proofErr w:type="spellEnd"/>
      <w:r>
        <w:rPr>
          <w:i/>
          <w:szCs w:val="26"/>
        </w:rPr>
        <w:t xml:space="preserve"> prozesua amaitzeari eta Nafarroako Unibertsitate Publikoaren integraz</w:t>
      </w:r>
      <w:r>
        <w:rPr>
          <w:i/>
          <w:szCs w:val="26"/>
        </w:rPr>
        <w:t>i</w:t>
      </w:r>
      <w:r>
        <w:rPr>
          <w:i/>
          <w:szCs w:val="26"/>
        </w:rPr>
        <w:t>oari dagokienez.</w:t>
      </w:r>
    </w:p>
    <w:p w:rsidR="00EF1AFB" w:rsidRDefault="00EF1AFB" w:rsidP="00EF1AFB">
      <w:pPr>
        <w:pStyle w:val="texto"/>
        <w:tabs>
          <w:tab w:val="clear" w:pos="2835"/>
          <w:tab w:val="clear" w:pos="3969"/>
          <w:tab w:val="clear" w:pos="5103"/>
          <w:tab w:val="clear" w:pos="6237"/>
          <w:tab w:val="clear" w:pos="7371"/>
        </w:tabs>
        <w:rPr>
          <w:i/>
          <w:szCs w:val="26"/>
        </w:rPr>
      </w:pPr>
      <w:r>
        <w:t>Gomendio hau erabat aplikatu da. 2017ko maiatzean, Nafarroako Uniberts</w:t>
      </w:r>
      <w:r>
        <w:t>i</w:t>
      </w:r>
      <w:r>
        <w:t xml:space="preserve">tate Publikoa </w:t>
      </w:r>
      <w:proofErr w:type="spellStart"/>
      <w:r>
        <w:t>IdiSNAn</w:t>
      </w:r>
      <w:proofErr w:type="spellEnd"/>
      <w:r>
        <w:t xml:space="preserve"> sartu zen, eta horrek behin betiko egituratzea eman zion institutuari. Zientzia, Berrikuntza eta Unibertsitate Ministerioak osasun-ikerketako institutuko </w:t>
      </w:r>
      <w:proofErr w:type="spellStart"/>
      <w:r>
        <w:t>akreditazioa</w:t>
      </w:r>
      <w:proofErr w:type="spellEnd"/>
      <w:r>
        <w:t xml:space="preserve"> eman zion </w:t>
      </w:r>
      <w:proofErr w:type="spellStart"/>
      <w:r>
        <w:t>IdiSNAri</w:t>
      </w:r>
      <w:proofErr w:type="spellEnd"/>
      <w:r>
        <w:t xml:space="preserve"> 2019ko urtarrilean, m</w:t>
      </w:r>
      <w:r>
        <w:t>i</w:t>
      </w:r>
      <w:r>
        <w:t>nistro-agindu baten bidez.</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 xml:space="preserve">Behar diren jarduketak egitea </w:t>
      </w:r>
      <w:proofErr w:type="spellStart"/>
      <w:r>
        <w:rPr>
          <w:i/>
          <w:szCs w:val="26"/>
        </w:rPr>
        <w:t>Navarrabiomed</w:t>
      </w:r>
      <w:proofErr w:type="spellEnd"/>
      <w:r>
        <w:rPr>
          <w:i/>
          <w:szCs w:val="26"/>
        </w:rPr>
        <w:t xml:space="preserve"> Osasun Departamentuaren multzoan sar dadin espezialitateetako eta oinarrizko osasun laguntzako lang</w:t>
      </w:r>
      <w:r>
        <w:rPr>
          <w:i/>
          <w:szCs w:val="26"/>
        </w:rPr>
        <w:t>i</w:t>
      </w:r>
      <w:r>
        <w:rPr>
          <w:i/>
          <w:szCs w:val="26"/>
        </w:rPr>
        <w:t>leen lanean laguntzen duen eta lan hori osatzen duen “zerbitzu” gisa.</w:t>
      </w:r>
    </w:p>
    <w:p w:rsidR="00EF1AFB" w:rsidRPr="001D1C27" w:rsidRDefault="00EF1AFB" w:rsidP="00EF1AFB">
      <w:pPr>
        <w:pStyle w:val="texto"/>
        <w:tabs>
          <w:tab w:val="clear" w:pos="2835"/>
          <w:tab w:val="clear" w:pos="3969"/>
          <w:tab w:val="clear" w:pos="5103"/>
          <w:tab w:val="clear" w:pos="6237"/>
          <w:tab w:val="clear" w:pos="7371"/>
        </w:tabs>
        <w:rPr>
          <w:szCs w:val="26"/>
        </w:rPr>
      </w:pPr>
      <w:r>
        <w:t>Gomendio hau erabat aplikatu da. Gomendio horrekin Fundazioaren fina</w:t>
      </w:r>
      <w:r>
        <w:t>n</w:t>
      </w:r>
      <w:r>
        <w:t>tzaketaren egonkortasuna lortu nahi zen; izan ere, Ganberaren txostenaren a</w:t>
      </w:r>
      <w:r>
        <w:t>u</w:t>
      </w:r>
      <w:r>
        <w:lastRenderedPageBreak/>
        <w:t>rretik, Fundazioak jasotzen zuen finantzaketa hainbat departamentutatik zet</w:t>
      </w:r>
      <w:r>
        <w:t>o</w:t>
      </w:r>
      <w:r>
        <w:t>rren, baina finantzaketa-eredua aldatu egin da eta transferentzia bakarra egiten zaio Fundazioari Osasun Departamentutik.</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Aztertzea ea osasun langileen kasuan zuzen aplikatzen ari ote diren ikerk</w:t>
      </w:r>
      <w:r>
        <w:rPr>
          <w:i/>
          <w:szCs w:val="26"/>
        </w:rPr>
        <w:t>e</w:t>
      </w:r>
      <w:r>
        <w:rPr>
          <w:i/>
          <w:szCs w:val="26"/>
        </w:rPr>
        <w:t xml:space="preserve">tarako estimulu edo pizgarriak, lanbide-karrera edo ordainsariak bezalakoen eraginetarako, zeren eta, esate baterako, araudiak ez baitu aukerarik ematen ikerketa-lanengatik osagarriak jasotzeko, baina </w:t>
      </w:r>
      <w:proofErr w:type="spellStart"/>
      <w:r>
        <w:rPr>
          <w:i/>
          <w:szCs w:val="26"/>
        </w:rPr>
        <w:t>bai</w:t>
      </w:r>
      <w:proofErr w:type="spellEnd"/>
      <w:r>
        <w:rPr>
          <w:i/>
          <w:szCs w:val="26"/>
        </w:rPr>
        <w:t xml:space="preserve"> saiakuntza klinikoak eg</w:t>
      </w:r>
      <w:r>
        <w:rPr>
          <w:i/>
          <w:szCs w:val="26"/>
        </w:rPr>
        <w:t>i</w:t>
      </w:r>
      <w:r>
        <w:rPr>
          <w:i/>
          <w:szCs w:val="26"/>
        </w:rPr>
        <w:t>teagatik.</w:t>
      </w:r>
    </w:p>
    <w:p w:rsidR="00EF1AFB" w:rsidRPr="001D1C27" w:rsidRDefault="0005556A" w:rsidP="00EF1AFB">
      <w:pPr>
        <w:pStyle w:val="texto"/>
        <w:tabs>
          <w:tab w:val="clear" w:pos="2835"/>
          <w:tab w:val="clear" w:pos="3969"/>
          <w:tab w:val="clear" w:pos="5103"/>
          <w:tab w:val="clear" w:pos="6237"/>
          <w:tab w:val="clear" w:pos="7371"/>
        </w:tabs>
        <w:rPr>
          <w:szCs w:val="26"/>
        </w:rPr>
      </w:pPr>
      <w:r>
        <w:t xml:space="preserve">Gomendio hori </w:t>
      </w:r>
      <w:proofErr w:type="spellStart"/>
      <w:r>
        <w:t>NFKAren</w:t>
      </w:r>
      <w:proofErr w:type="spellEnd"/>
      <w:r>
        <w:t xml:space="preserve"> eskumena bada ere, Fundazioaren Patronatuak onetsi zuen jarduna ebaluatzeko sistema bat ezartzea. Sistema horretan, zazpi soldata-banda ezartzen dira, lortutako merezimenduen eta antzinatasunaren arabera. Sistema hori 2021ean hasi da aplikatzen.</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Oro har, ulertzen dugu ezen, bai ingurumen-arrazoiengatik, bai etorkiz</w:t>
      </w:r>
      <w:r>
        <w:rPr>
          <w:i/>
          <w:szCs w:val="26"/>
        </w:rPr>
        <w:t>u</w:t>
      </w:r>
      <w:r>
        <w:rPr>
          <w:i/>
          <w:szCs w:val="26"/>
        </w:rPr>
        <w:t>neko mantentze-kostuei begira, kalifikazio energetikoari dagokiona kontuan hartu beharreko faktore gisa aintzatetsi behar dela Administrazioak eraikin b</w:t>
      </w:r>
      <w:r>
        <w:rPr>
          <w:i/>
          <w:szCs w:val="26"/>
        </w:rPr>
        <w:t>e</w:t>
      </w:r>
      <w:r>
        <w:rPr>
          <w:i/>
          <w:szCs w:val="26"/>
        </w:rPr>
        <w:t>rriak egiten dituenean.</w:t>
      </w:r>
    </w:p>
    <w:p w:rsidR="00EF1AFB" w:rsidRPr="001B5916" w:rsidRDefault="00EF1AFB" w:rsidP="00EF1AFB">
      <w:pPr>
        <w:pStyle w:val="texto"/>
        <w:tabs>
          <w:tab w:val="clear" w:pos="2835"/>
          <w:tab w:val="clear" w:pos="3969"/>
          <w:tab w:val="clear" w:pos="5103"/>
          <w:tab w:val="clear" w:pos="6237"/>
          <w:tab w:val="clear" w:pos="7371"/>
        </w:tabs>
        <w:rPr>
          <w:szCs w:val="26"/>
        </w:rPr>
      </w:pPr>
      <w:r>
        <w:t xml:space="preserve">Gomendio hori ez da egiaztatu, zeren eta, oro har, </w:t>
      </w:r>
      <w:proofErr w:type="spellStart"/>
      <w:r>
        <w:t>NFKAri</w:t>
      </w:r>
      <w:proofErr w:type="spellEnd"/>
      <w:r>
        <w:t xml:space="preserve"> zuzenduta ba</w:t>
      </w:r>
      <w:r>
        <w:t>i</w:t>
      </w:r>
      <w:r>
        <w:t xml:space="preserve">tzegoen; hori dela eta, lan honen irismenetik kanpo geratzen da. </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Aztertzea zein den Fundazioaren kudeaketarako hitzarmen egokiena, ko</w:t>
      </w:r>
      <w:r>
        <w:rPr>
          <w:i/>
          <w:szCs w:val="26"/>
        </w:rPr>
        <w:t>n</w:t>
      </w:r>
      <w:r>
        <w:rPr>
          <w:i/>
          <w:szCs w:val="26"/>
        </w:rPr>
        <w:t>tuan izanda lan mota desberdinak, lan baldintzak eta langileek jatorria; eta h</w:t>
      </w:r>
      <w:r>
        <w:rPr>
          <w:i/>
          <w:szCs w:val="26"/>
        </w:rPr>
        <w:t>i</w:t>
      </w:r>
      <w:r>
        <w:rPr>
          <w:i/>
          <w:szCs w:val="26"/>
        </w:rPr>
        <w:t>tzarmen hori langile guztiei aplikatzeko aukera jasotzea.</w:t>
      </w:r>
    </w:p>
    <w:p w:rsidR="00EF1AFB" w:rsidRPr="001B5916" w:rsidRDefault="00EF1AFB" w:rsidP="00EF1AFB">
      <w:pPr>
        <w:pStyle w:val="texto"/>
        <w:tabs>
          <w:tab w:val="clear" w:pos="2835"/>
          <w:tab w:val="clear" w:pos="3969"/>
          <w:tab w:val="clear" w:pos="5103"/>
          <w:tab w:val="clear" w:pos="6237"/>
          <w:tab w:val="clear" w:pos="7371"/>
        </w:tabs>
        <w:rPr>
          <w:szCs w:val="26"/>
        </w:rPr>
      </w:pPr>
      <w:r>
        <w:t>Gomendio hau erabat aplikatu da. Fundazioaren Patronatuak berariazko plan bat landu du Fundazioarentzat, eta bertan jaso ditu gomendioak aipatutako el</w:t>
      </w:r>
      <w:r>
        <w:t>e</w:t>
      </w:r>
      <w:r>
        <w:t>mentuak. 2021ean hasi da aplikatzen gomendio hori.</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iCs/>
          <w:szCs w:val="26"/>
        </w:rPr>
        <w:t>Idatzizko prozedura batzuk ezartzea, Patronatuak onetsiak, non hainbat arlotako betebeharrak jasoko baitira: publizitatea, hautapen-organoen os</w:t>
      </w:r>
      <w:r>
        <w:rPr>
          <w:i/>
          <w:iCs/>
          <w:szCs w:val="26"/>
        </w:rPr>
        <w:t>a</w:t>
      </w:r>
      <w:r>
        <w:rPr>
          <w:i/>
          <w:iCs/>
          <w:szCs w:val="26"/>
        </w:rPr>
        <w:t>keta, hautatze-sistemak eta abar. Ildo bereko iritzia eman zuen Arartekoak 2014ko martxoaren 25eko ebazpenean.</w:t>
      </w:r>
    </w:p>
    <w:p w:rsidR="00EF1AFB" w:rsidRDefault="00EF1AFB" w:rsidP="00EF1AFB">
      <w:pPr>
        <w:pStyle w:val="texto"/>
        <w:tabs>
          <w:tab w:val="clear" w:pos="2835"/>
          <w:tab w:val="clear" w:pos="3969"/>
          <w:tab w:val="clear" w:pos="5103"/>
          <w:tab w:val="clear" w:pos="6237"/>
          <w:tab w:val="clear" w:pos="7371"/>
        </w:tabs>
        <w:rPr>
          <w:b/>
          <w:color w:val="FF0000"/>
          <w:szCs w:val="26"/>
        </w:rPr>
      </w:pPr>
      <w:r>
        <w:t>Gomendio hau partzialki aplikatu da. Egiaztatu dugu Patronatuak kontrat</w:t>
      </w:r>
      <w:r>
        <w:t>a</w:t>
      </w:r>
      <w:r>
        <w:t>zio-prozedura batzuk onetsi eta ezarri dituela; hala ere, hurrengo atalean zeha</w:t>
      </w:r>
      <w:r>
        <w:t>z</w:t>
      </w:r>
      <w:r>
        <w:t>ten dugun laginaren berrikuspenetik ondoriozta dezakegu enplegu-eskaintzen publizitatea ez dela nahikoa, hautaketa-batzordea ez dagoela bost kidez osatuta, Arartekoak bere ebazpenean adierazten zuen bezala, eta ez dela hautagaien ga</w:t>
      </w:r>
      <w:r>
        <w:t>i</w:t>
      </w:r>
      <w:r>
        <w:t>tasuna baliozkotzeko proba gehigarririk egiten.</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iCs/>
          <w:szCs w:val="26"/>
        </w:rPr>
        <w:t>Kasuko kontratazio prozedura izapidetzea legeak ezarritako mugak gaind</w:t>
      </w:r>
      <w:r>
        <w:rPr>
          <w:i/>
          <w:iCs/>
          <w:szCs w:val="26"/>
        </w:rPr>
        <w:t>i</w:t>
      </w:r>
      <w:r>
        <w:rPr>
          <w:i/>
          <w:iCs/>
          <w:szCs w:val="26"/>
        </w:rPr>
        <w:t>tzen dituzten ohiko zerbitzuetan.</w:t>
      </w:r>
      <w:r>
        <w:rPr>
          <w:i/>
          <w:szCs w:val="26"/>
        </w:rPr>
        <w:t xml:space="preserve"> </w:t>
      </w:r>
    </w:p>
    <w:p w:rsidR="00EF1AFB" w:rsidRPr="0091454A"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Bestelako zerbitzu eta material suntsigarriko horniduretan, aztertzea k</w:t>
      </w:r>
      <w:r>
        <w:rPr>
          <w:i/>
          <w:szCs w:val="26"/>
        </w:rPr>
        <w:t>a</w:t>
      </w:r>
      <w:r>
        <w:rPr>
          <w:i/>
          <w:szCs w:val="26"/>
        </w:rPr>
        <w:t>suko kontratazio-prozedura izapide daitekeen, haietan urteko gastua aurreiku</w:t>
      </w:r>
      <w:r>
        <w:rPr>
          <w:i/>
          <w:szCs w:val="26"/>
        </w:rPr>
        <w:t>s</w:t>
      </w:r>
      <w:r>
        <w:rPr>
          <w:i/>
          <w:szCs w:val="26"/>
        </w:rPr>
        <w:lastRenderedPageBreak/>
        <w:t>ten eta zentralizatzen zaila baita eta, gainera, fundazioetarako araudian ez</w:t>
      </w:r>
      <w:r>
        <w:rPr>
          <w:i/>
          <w:szCs w:val="26"/>
        </w:rPr>
        <w:t>a</w:t>
      </w:r>
      <w:r>
        <w:rPr>
          <w:i/>
          <w:szCs w:val="26"/>
        </w:rPr>
        <w:t xml:space="preserve">rritako muga, 15.000 eurokoa, gainditzen baita berez. </w:t>
      </w:r>
    </w:p>
    <w:p w:rsidR="00EF1AFB" w:rsidRDefault="00EF1AFB" w:rsidP="005031C2">
      <w:pPr>
        <w:pStyle w:val="texto"/>
        <w:tabs>
          <w:tab w:val="clear" w:pos="2835"/>
          <w:tab w:val="clear" w:pos="3969"/>
          <w:tab w:val="clear" w:pos="5103"/>
          <w:tab w:val="clear" w:pos="6237"/>
          <w:tab w:val="clear" w:pos="7371"/>
        </w:tabs>
        <w:spacing w:before="120" w:after="240"/>
        <w:rPr>
          <w:bCs/>
          <w:iCs/>
        </w:rPr>
      </w:pPr>
      <w:bookmarkStart w:id="25" w:name="_Toc41485561"/>
      <w:r>
        <w:t>Aurreko bi gomendioak osorik aplikatu dira beren zenbatekoagatik hala e</w:t>
      </w:r>
      <w:r>
        <w:t>s</w:t>
      </w:r>
      <w:r>
        <w:t>katzen zuten lizitazio guztietan.</w:t>
      </w:r>
    </w:p>
    <w:p w:rsidR="00EF1AFB" w:rsidRPr="00AE4498" w:rsidRDefault="00EF1AFB" w:rsidP="005031C2">
      <w:pPr>
        <w:pStyle w:val="atitulo2"/>
        <w:spacing w:before="240"/>
      </w:pPr>
      <w:bookmarkStart w:id="26" w:name="_Toc73013239"/>
      <w:bookmarkStart w:id="27" w:name="_Toc82513846"/>
      <w:r>
        <w:t>IV.3. Legezkotasunaren berrikuspena langileen eta ondasun eta zerb</w:t>
      </w:r>
      <w:r>
        <w:t>i</w:t>
      </w:r>
      <w:r>
        <w:t>tzuen kontratazioan</w:t>
      </w:r>
      <w:bookmarkEnd w:id="26"/>
      <w:bookmarkEnd w:id="27"/>
    </w:p>
    <w:p w:rsidR="00EF1AFB" w:rsidRPr="00B32308" w:rsidRDefault="00EF1AFB" w:rsidP="00EF1AFB">
      <w:pPr>
        <w:pStyle w:val="texto"/>
        <w:tabs>
          <w:tab w:val="left" w:pos="284"/>
        </w:tabs>
        <w:spacing w:after="120"/>
      </w:pPr>
      <w:r>
        <w:t xml:space="preserve">Langileen, ondasun arrunten eta zerbitzuen kontratazioen lagin bat berrikusi dugu. </w:t>
      </w:r>
    </w:p>
    <w:p w:rsidR="00EF1AFB" w:rsidRDefault="00EF1AFB" w:rsidP="00EF1AFB">
      <w:pPr>
        <w:pStyle w:val="texto"/>
        <w:tabs>
          <w:tab w:val="left" w:pos="284"/>
        </w:tabs>
        <w:spacing w:after="120"/>
      </w:pPr>
      <w:r>
        <w:t xml:space="preserve">Zehazki, langileak hautatzeko 11 prozesu berrikusi dira 2018-2020 aldian, eta horietan egiaztatu da enplegu-eskaintzen publizitatea, oro har, web-orrian eta sare sozialetan egiten dela, eta gaitasun-printzipioa </w:t>
      </w:r>
      <w:r>
        <w:rPr>
          <w:i/>
          <w:iCs/>
        </w:rPr>
        <w:t xml:space="preserve">curriculum </w:t>
      </w:r>
      <w:proofErr w:type="spellStart"/>
      <w:r>
        <w:rPr>
          <w:i/>
          <w:iCs/>
        </w:rPr>
        <w:t>vitae</w:t>
      </w:r>
      <w:r>
        <w:t>an</w:t>
      </w:r>
      <w:proofErr w:type="spellEnd"/>
      <w:r>
        <w:t xml:space="preserve"> eta elkarrizketa pertsonal batean aurkeztutako betekizunak baloratuz aplikatzen dela, idatzizko probarik egin gabe.</w:t>
      </w:r>
    </w:p>
    <w:p w:rsidR="00EF1AFB" w:rsidRDefault="00EF1AFB" w:rsidP="00EF1AFB">
      <w:pPr>
        <w:pStyle w:val="texto"/>
        <w:tabs>
          <w:tab w:val="left" w:pos="284"/>
        </w:tabs>
        <w:spacing w:after="120"/>
      </w:pPr>
      <w:r>
        <w:t>Bestalde, ondasun arrunten eta zerbitzuen bost kontraturen lizitazioa eta e</w:t>
      </w:r>
      <w:r>
        <w:t>s</w:t>
      </w:r>
      <w:r>
        <w:t>leipena aztertu ditugu. Egindako azterketatik ondoriozta dezakegu, oro har, aplikatu beharreko araudia betetzen dela, baina honako alderdi hauek aipatuko ditugu:</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t>Lizitatzaileei esleitutako puntuazioei eusten dien txosten teknikorik ez dago.</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t>Kontratazio-mahaiak egindako ekitaldiei buruzko akta guztiak ez daude j</w:t>
      </w:r>
      <w:r>
        <w:t>a</w:t>
      </w:r>
      <w:r>
        <w:t>sota.</w:t>
      </w:r>
    </w:p>
    <w:p w:rsidR="00EF1AFB" w:rsidRPr="000B5988"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szCs w:val="26"/>
        </w:rPr>
      </w:pPr>
      <w:r>
        <w:t>Nafarroako Kontratazioaren Atarian ez dira kontratazio-mahaiaren aktak argitaratzen.</w:t>
      </w:r>
    </w:p>
    <w:p w:rsidR="00EF1AFB" w:rsidRDefault="00EF1AFB" w:rsidP="00EF1AFB">
      <w:pPr>
        <w:pStyle w:val="texto"/>
        <w:tabs>
          <w:tab w:val="left" w:pos="284"/>
        </w:tabs>
        <w:spacing w:after="120"/>
      </w:pPr>
      <w:r>
        <w:t>Gure gomendioak:</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Lizitatzaileei esleitutako puntuazioak justifikatzen dituzten txosten tekn</w:t>
      </w:r>
      <w:r>
        <w:rPr>
          <w:i/>
          <w:szCs w:val="26"/>
        </w:rPr>
        <w:t>i</w:t>
      </w:r>
      <w:r>
        <w:rPr>
          <w:i/>
          <w:szCs w:val="26"/>
        </w:rPr>
        <w:t>koak egitea.</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Kontratazio-mahaiak egindako ekitaldiei buruzko akta guztiak egitea.</w:t>
      </w:r>
    </w:p>
    <w:p w:rsidR="00EF1AFB" w:rsidRDefault="00EF1AF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Mahaiaren aktak argitaratzea Nafarroako Kontratazioaren Atarian.</w:t>
      </w:r>
    </w:p>
    <w:p w:rsidR="003322DB" w:rsidRPr="00825A64" w:rsidRDefault="003322DB"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Eskainitako lanpostuetarako izangaien gaitasuna baloratzeko proba geh</w:t>
      </w:r>
      <w:r>
        <w:rPr>
          <w:i/>
          <w:szCs w:val="26"/>
        </w:rPr>
        <w:t>i</w:t>
      </w:r>
      <w:r>
        <w:rPr>
          <w:i/>
          <w:szCs w:val="26"/>
        </w:rPr>
        <w:t>garriak egitea.</w:t>
      </w:r>
    </w:p>
    <w:p w:rsidR="003322DB" w:rsidRPr="00825A64" w:rsidRDefault="00825A64" w:rsidP="00D3362A">
      <w:pPr>
        <w:pStyle w:val="texto"/>
        <w:numPr>
          <w:ilvl w:val="0"/>
          <w:numId w:val="1"/>
        </w:numPr>
        <w:tabs>
          <w:tab w:val="clear" w:pos="1948"/>
          <w:tab w:val="clear" w:pos="2835"/>
          <w:tab w:val="clear" w:pos="3969"/>
          <w:tab w:val="clear" w:pos="5103"/>
          <w:tab w:val="clear" w:pos="6237"/>
          <w:tab w:val="clear" w:pos="7371"/>
          <w:tab w:val="left" w:pos="198"/>
          <w:tab w:val="left" w:pos="480"/>
          <w:tab w:val="num" w:pos="600"/>
          <w:tab w:val="num" w:pos="720"/>
          <w:tab w:val="num" w:pos="1080"/>
          <w:tab w:val="num" w:pos="2204"/>
          <w:tab w:val="num" w:pos="2760"/>
        </w:tabs>
        <w:ind w:left="0" w:firstLine="290"/>
        <w:rPr>
          <w:i/>
          <w:szCs w:val="26"/>
        </w:rPr>
      </w:pPr>
      <w:r>
        <w:rPr>
          <w:i/>
          <w:szCs w:val="26"/>
        </w:rPr>
        <w:t xml:space="preserve">Lanpostuen eskaintzen publizitatea zabaltzea. </w:t>
      </w:r>
    </w:p>
    <w:p w:rsidR="00EF1AFB" w:rsidRPr="00AE4498" w:rsidRDefault="00EF1AFB" w:rsidP="00A52E61">
      <w:pPr>
        <w:pStyle w:val="atitulo2"/>
        <w:spacing w:before="240"/>
      </w:pPr>
      <w:bookmarkStart w:id="28" w:name="_Toc73013240"/>
      <w:bookmarkStart w:id="29" w:name="_Toc82513847"/>
      <w:r>
        <w:t xml:space="preserve">IV.4. </w:t>
      </w:r>
      <w:bookmarkEnd w:id="25"/>
      <w:r>
        <w:t>Amaierako konklusioa</w:t>
      </w:r>
      <w:bookmarkEnd w:id="28"/>
      <w:bookmarkEnd w:id="29"/>
      <w:r>
        <w:t xml:space="preserve"> </w:t>
      </w:r>
    </w:p>
    <w:p w:rsidR="00EF1AFB" w:rsidRDefault="00EF1AFB" w:rsidP="00EF1AFB">
      <w:pPr>
        <w:pStyle w:val="texto"/>
        <w:tabs>
          <w:tab w:val="left" w:pos="284"/>
        </w:tabs>
        <w:spacing w:after="120"/>
      </w:pPr>
      <w:r>
        <w:t xml:space="preserve">Fundazioa </w:t>
      </w:r>
      <w:proofErr w:type="spellStart"/>
      <w:r>
        <w:t>NFKAri</w:t>
      </w:r>
      <w:proofErr w:type="spellEnd"/>
      <w:r>
        <w:t xml:space="preserve"> laguntza zientifiko eta teknikoa ematen dion erakundea da, osasun-arloko ikerketa eta berrikuntza sortu, sustatu, bultzatu eta garatzeko. Fundazioak 129 proiektu eta 217 entsegu kliniko egin zituen 2020an. </w:t>
      </w:r>
    </w:p>
    <w:p w:rsidR="00EF1AFB" w:rsidRDefault="00EF1AFB" w:rsidP="00EF1AFB">
      <w:pPr>
        <w:pStyle w:val="texto"/>
        <w:tabs>
          <w:tab w:val="left" w:pos="284"/>
        </w:tabs>
        <w:spacing w:after="120"/>
      </w:pPr>
      <w:r>
        <w:lastRenderedPageBreak/>
        <w:t>2020an, Fundazioaren gastuak 6,70 milioikoak izan ziren, eta horietatik 4,21 milioi (ehuneko 63) langile-gastuei zegozkien; ekitaldi honetako abenduaren 31n, 119 pertsonak lan egiten zuten Fundazioan, eta horietatik 66 (ehuneko 55) ikerketa-proiektu zehatzetarako kontratatu ziren. Erakunde horrek 8,4 milioi euroko finantzaketa lortu zuen; horietatik, 5,14 milioi ikerketa-jardueratik d</w:t>
      </w:r>
      <w:r>
        <w:t>a</w:t>
      </w:r>
      <w:r>
        <w:t xml:space="preserve">toz, eta 3,50 milioi, berriz, </w:t>
      </w:r>
      <w:proofErr w:type="spellStart"/>
      <w:r>
        <w:t>NFKAtik</w:t>
      </w:r>
      <w:proofErr w:type="spellEnd"/>
      <w:r>
        <w:t xml:space="preserve">. 2016. urtearekin alderatuta, gastuek eta diru-sarrerek goranzko joera antzekoa izan dute, ehuneko 41 eta 40 igo baitira, hurrenez </w:t>
      </w:r>
      <w:proofErr w:type="spellStart"/>
      <w:r>
        <w:t>hurren</w:t>
      </w:r>
      <w:proofErr w:type="spellEnd"/>
      <w:r>
        <w:t>.</w:t>
      </w:r>
    </w:p>
    <w:p w:rsidR="00EF1AFB" w:rsidRDefault="00EF1AFB" w:rsidP="00EF1AFB">
      <w:pPr>
        <w:pStyle w:val="texto"/>
        <w:tabs>
          <w:tab w:val="left" w:pos="284"/>
        </w:tabs>
        <w:spacing w:after="120"/>
      </w:pPr>
      <w:r>
        <w:t xml:space="preserve">Fundazioaren finantza-egoera nabarmen hobetu da aztertutako aldian, eta nabarmen handitu dira funts propioak (ehuneko 275), diruzaintza (ehuneko 270) eta jasotako finantzaketa (ehuneko 137), bai egiturazkoa (ehuneko 159), bai hainbat erakundetatik datorren ikerketara bideratutakoa (ehuneko 124). </w:t>
      </w:r>
    </w:p>
    <w:p w:rsidR="00EF1AFB" w:rsidRDefault="00EF1AFB" w:rsidP="00EF1AFB">
      <w:pPr>
        <w:pStyle w:val="texto"/>
        <w:tabs>
          <w:tab w:val="left" w:pos="284"/>
        </w:tabs>
        <w:spacing w:after="120"/>
      </w:pPr>
      <w:r>
        <w:t xml:space="preserve">Fundazioaren 2020ko urteko kontuak </w:t>
      </w:r>
      <w:proofErr w:type="spellStart"/>
      <w:r>
        <w:t>auditatuak</w:t>
      </w:r>
      <w:proofErr w:type="spellEnd"/>
      <w:r>
        <w:t xml:space="preserve"> izan dira, eta auditoreek a</w:t>
      </w:r>
      <w:r>
        <w:t>l</w:t>
      </w:r>
      <w:r>
        <w:t xml:space="preserve">deko iritzia eman dute. </w:t>
      </w:r>
    </w:p>
    <w:p w:rsidR="00EF1AFB" w:rsidRDefault="00EF1AFB" w:rsidP="00EF1AFB">
      <w:pPr>
        <w:pStyle w:val="texto"/>
        <w:tabs>
          <w:tab w:val="left" w:pos="284"/>
        </w:tabs>
        <w:spacing w:after="120"/>
      </w:pPr>
      <w:r>
        <w:t>Kontuen Ganberak 2016an Fundazioari buruzko txosten bat argitaratu zuen, 12 gomendiorekin. Egiaztatu dugu ezen 12 gomendioetatik 11 ezarri direla, z</w:t>
      </w:r>
      <w:r>
        <w:t>e</w:t>
      </w:r>
      <w:r>
        <w:t>ren eta horietako bakoitzaren hartzailea NFKA baitzen, eta ez dira lan honen norainokoan sartu; halere, oraindik ere betetzeke geratu da alderdiren bat lang</w:t>
      </w:r>
      <w:r>
        <w:t>i</w:t>
      </w:r>
      <w:r>
        <w:t xml:space="preserve">leen kontratazioen kasuan. </w:t>
      </w:r>
    </w:p>
    <w:p w:rsidR="002B1330" w:rsidRDefault="002B1330" w:rsidP="002B1330">
      <w:pPr>
        <w:pStyle w:val="texto"/>
      </w:pPr>
      <w:r>
        <w:t>Auditore Karen Moreno Orduña andrea izan da txosten hau egitearen ardur</w:t>
      </w:r>
      <w:r>
        <w:t>a</w:t>
      </w:r>
      <w:r>
        <w:t>dun, eta berak proposatuta egin da, araudi indardunak ezarritako izapideak bete ondoren.</w:t>
      </w:r>
    </w:p>
    <w:p w:rsidR="004E0459" w:rsidRDefault="004E0459" w:rsidP="002B1330">
      <w:pPr>
        <w:pStyle w:val="texto"/>
      </w:pPr>
    </w:p>
    <w:p w:rsidR="002B1330" w:rsidRPr="003702EC" w:rsidRDefault="002B1330" w:rsidP="002B1330">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2021eko ekainaren 24an</w:t>
      </w:r>
    </w:p>
    <w:p w:rsidR="002B1330" w:rsidRPr="003702EC" w:rsidRDefault="002B1330" w:rsidP="002B1330">
      <w:pPr>
        <w:pStyle w:val="texto"/>
        <w:tabs>
          <w:tab w:val="clear" w:pos="2835"/>
          <w:tab w:val="clear" w:pos="3969"/>
          <w:tab w:val="clear" w:pos="5103"/>
          <w:tab w:val="clear" w:pos="6237"/>
          <w:tab w:val="clear" w:pos="7371"/>
        </w:tabs>
        <w:spacing w:after="80"/>
        <w:ind w:firstLine="0"/>
        <w:jc w:val="center"/>
        <w:rPr>
          <w:rFonts w:cs="Arial"/>
        </w:rPr>
      </w:pPr>
      <w:r>
        <w:t>Lehendakaria,</w:t>
      </w:r>
    </w:p>
    <w:p w:rsidR="002B1330" w:rsidRPr="003702EC" w:rsidRDefault="002B1330" w:rsidP="002B1330">
      <w:pPr>
        <w:pStyle w:val="texto"/>
        <w:tabs>
          <w:tab w:val="clear" w:pos="2835"/>
          <w:tab w:val="clear" w:pos="3969"/>
          <w:tab w:val="clear" w:pos="5103"/>
          <w:tab w:val="clear" w:pos="6237"/>
          <w:tab w:val="clear" w:pos="7371"/>
        </w:tabs>
        <w:spacing w:after="80"/>
        <w:ind w:firstLine="0"/>
        <w:jc w:val="center"/>
        <w:rPr>
          <w:rFonts w:cs="Arial"/>
          <w:i/>
        </w:rP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EF1AFB" w:rsidRDefault="00EF1AFB" w:rsidP="00EF1AFB">
      <w:pPr>
        <w:pStyle w:val="texto"/>
        <w:jc w:val="center"/>
        <w:sectPr w:rsidR="00EF1AFB" w:rsidSect="002509BE">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EF1AFB" w:rsidRDefault="00EF1AFB" w:rsidP="00EF1AFB">
      <w:pPr>
        <w:pStyle w:val="texto"/>
        <w:jc w:val="center"/>
      </w:pPr>
    </w:p>
    <w:p w:rsidR="00EF1AFB" w:rsidRDefault="00EF1AFB" w:rsidP="00EF1AFB">
      <w:pPr>
        <w:pStyle w:val="atitulo1"/>
        <w:jc w:val="right"/>
        <w:rPr>
          <w:rFonts w:eastAsiaTheme="minorHAnsi"/>
          <w:sz w:val="36"/>
          <w:szCs w:val="36"/>
        </w:rPr>
      </w:pPr>
    </w:p>
    <w:p w:rsidR="00EF1AFB" w:rsidRDefault="00EF1AFB" w:rsidP="00EF1AFB">
      <w:pPr>
        <w:pStyle w:val="atitulo1"/>
        <w:jc w:val="right"/>
        <w:rPr>
          <w:rFonts w:eastAsiaTheme="minorHAnsi"/>
          <w:sz w:val="36"/>
          <w:szCs w:val="36"/>
        </w:rPr>
      </w:pPr>
    </w:p>
    <w:p w:rsidR="005B54EC" w:rsidRDefault="005B54EC" w:rsidP="00EF1AFB">
      <w:pPr>
        <w:pStyle w:val="atitulo1"/>
        <w:jc w:val="right"/>
        <w:rPr>
          <w:rFonts w:eastAsiaTheme="minorHAnsi"/>
          <w:sz w:val="36"/>
          <w:szCs w:val="36"/>
        </w:rPr>
      </w:pPr>
    </w:p>
    <w:p w:rsidR="00EF1AFB" w:rsidRDefault="00EF1AFB" w:rsidP="00D43D82">
      <w:pPr>
        <w:pStyle w:val="atitulo1"/>
        <w:jc w:val="right"/>
        <w:rPr>
          <w:rFonts w:eastAsiaTheme="minorHAnsi"/>
          <w:sz w:val="36"/>
          <w:szCs w:val="36"/>
        </w:rPr>
        <w:sectPr w:rsidR="00EF1AFB" w:rsidSect="002509BE">
          <w:pgSz w:w="11907" w:h="16840" w:code="9"/>
          <w:pgMar w:top="2109" w:right="1559" w:bottom="1644" w:left="1559" w:header="369" w:footer="136" w:gutter="0"/>
          <w:cols w:space="720"/>
          <w:docGrid w:linePitch="360"/>
        </w:sectPr>
      </w:pPr>
      <w:bookmarkStart w:id="30" w:name="_Toc73013241"/>
      <w:bookmarkStart w:id="31" w:name="_Toc82513848"/>
      <w:r>
        <w:rPr>
          <w:sz w:val="36"/>
          <w:szCs w:val="36"/>
        </w:rPr>
        <w:t>Eranskina</w:t>
      </w:r>
      <w:bookmarkEnd w:id="30"/>
      <w:bookmarkEnd w:id="31"/>
    </w:p>
    <w:p w:rsidR="00EF1AFB" w:rsidRPr="00D712E5" w:rsidRDefault="00A52E61" w:rsidP="00D712E5">
      <w:pPr>
        <w:pStyle w:val="atitulo2"/>
      </w:pPr>
      <w:bookmarkStart w:id="32" w:name="_Toc41485566"/>
      <w:bookmarkStart w:id="33" w:name="_Toc73013242"/>
      <w:bookmarkStart w:id="34" w:name="_Toc82513849"/>
      <w:r>
        <w:lastRenderedPageBreak/>
        <w:t xml:space="preserve">Eranskina. </w:t>
      </w:r>
      <w:bookmarkEnd w:id="32"/>
      <w:r>
        <w:t xml:space="preserve">Kontuen Ganberak Miguel </w:t>
      </w:r>
      <w:proofErr w:type="spellStart"/>
      <w:r>
        <w:t>Servet-Navarrabiomed</w:t>
      </w:r>
      <w:proofErr w:type="spellEnd"/>
      <w:r>
        <w:t xml:space="preserve"> Fundazioari buruz 2016ko irailean emandako txosteneko gomendioen betetze-mailaren txosteneko konklusioak.</w:t>
      </w:r>
      <w:bookmarkEnd w:id="6"/>
      <w:bookmarkEnd w:id="7"/>
      <w:bookmarkEnd w:id="8"/>
      <w:bookmarkEnd w:id="9"/>
      <w:bookmarkEnd w:id="10"/>
      <w:bookmarkEnd w:id="11"/>
      <w:bookmarkEnd w:id="33"/>
      <w:bookmarkEnd w:id="34"/>
    </w:p>
    <w:p w:rsidR="00EF1AFB" w:rsidRPr="009C7A6F" w:rsidRDefault="00EF1AFB" w:rsidP="007D2678">
      <w:pPr>
        <w:tabs>
          <w:tab w:val="center" w:pos="2835"/>
          <w:tab w:val="center" w:pos="3969"/>
          <w:tab w:val="center" w:pos="5103"/>
          <w:tab w:val="center" w:pos="6237"/>
          <w:tab w:val="center" w:pos="7371"/>
        </w:tabs>
        <w:ind w:firstLine="0"/>
        <w:rPr>
          <w:spacing w:val="6"/>
          <w:sz w:val="26"/>
          <w:szCs w:val="26"/>
        </w:rPr>
      </w:pPr>
      <w:r>
        <w:rPr>
          <w:sz w:val="26"/>
          <w:szCs w:val="26"/>
        </w:rPr>
        <w:t>Eginiko lanean oinarriturik, honako ondorio hauek atera ditugu:</w:t>
      </w:r>
    </w:p>
    <w:p w:rsidR="00EF1AFB" w:rsidRPr="005C34EF" w:rsidRDefault="00EF1AFB" w:rsidP="00F123F9">
      <w:pPr>
        <w:pStyle w:val="atitulo3"/>
        <w:spacing w:before="240"/>
      </w:pPr>
      <w:r>
        <w:t>Antolamendua.</w:t>
      </w:r>
    </w:p>
    <w:p w:rsidR="00EF1AFB" w:rsidRPr="009C7A6F" w:rsidRDefault="00EF1AFB" w:rsidP="000F738A">
      <w:pPr>
        <w:pStyle w:val="texto"/>
      </w:pPr>
      <w:r>
        <w:rPr>
          <w:b/>
          <w:bCs/>
        </w:rPr>
        <w:t>1.a)</w:t>
      </w:r>
      <w:r>
        <w:t xml:space="preserve"> Azken urte hauetan, Nafarroako Gobernuak osasun arloari buruzko ikerketa bultzatu du, Nafarroako etorkizun ekonomikoaren zutabeetako bat izan dadin. Horri dagokionez, alderdi esanguratsuenen artean aipa daiteke </w:t>
      </w:r>
      <w:proofErr w:type="spellStart"/>
      <w:r>
        <w:t>Navarr</w:t>
      </w:r>
      <w:r>
        <w:t>a</w:t>
      </w:r>
      <w:r>
        <w:t>biomeden</w:t>
      </w:r>
      <w:proofErr w:type="spellEnd"/>
      <w:r>
        <w:t xml:space="preserve"> sorrera, </w:t>
      </w:r>
      <w:proofErr w:type="spellStart"/>
      <w:r>
        <w:t>IdiSNA</w:t>
      </w:r>
      <w:proofErr w:type="spellEnd"/>
      <w:r>
        <w:t xml:space="preserve"> abian jartzeko akordioak eta ospitalearen barrutian ikerketa-zentroaren egoitza izanen zen eraikina egin izana. </w:t>
      </w:r>
    </w:p>
    <w:p w:rsidR="00EF1AFB" w:rsidRPr="009C7A6F" w:rsidRDefault="00EF1AFB" w:rsidP="000F738A">
      <w:pPr>
        <w:pStyle w:val="texto"/>
      </w:pPr>
      <w:r>
        <w:rPr>
          <w:b/>
          <w:bCs/>
        </w:rPr>
        <w:t>2.a)</w:t>
      </w:r>
      <w:r>
        <w:t xml:space="preserve"> Hainbat plan orokor badaude ere, </w:t>
      </w:r>
      <w:proofErr w:type="spellStart"/>
      <w:r>
        <w:t>Navarrabiomeden</w:t>
      </w:r>
      <w:proofErr w:type="spellEnd"/>
      <w:r>
        <w:t xml:space="preserve"> sorrerak eta ezarp</w:t>
      </w:r>
      <w:r>
        <w:t>e</w:t>
      </w:r>
      <w:r>
        <w:t xml:space="preserve">nak </w:t>
      </w:r>
      <w:proofErr w:type="spellStart"/>
      <w:r>
        <w:t>ez</w:t>
      </w:r>
      <w:proofErr w:type="spellEnd"/>
      <w:r>
        <w:t xml:space="preserve"> du plan estrategiko berekirik izan. Izan ere, horrek berarekin ekarri du ikerketaren helburu batzuk ez izatea; hain zuzen ere, finkatutako irizpide b</w:t>
      </w:r>
      <w:r>
        <w:t>a</w:t>
      </w:r>
      <w:r>
        <w:t>tzuk, haien gainean funtzionamendurako gutxieneko egitura bat eraiki ahal iz</w:t>
      </w:r>
      <w:r>
        <w:t>a</w:t>
      </w:r>
      <w:r>
        <w:t>teko, eta haiek finantzatzeko modua falta izan dira.</w:t>
      </w:r>
    </w:p>
    <w:p w:rsidR="00EF1AFB" w:rsidRPr="009C7A6F" w:rsidRDefault="00EF1AFB" w:rsidP="004751FE">
      <w:pPr>
        <w:pStyle w:val="texto"/>
        <w:spacing w:before="240" w:after="240"/>
      </w:pPr>
      <w:r>
        <w:rPr>
          <w:b/>
          <w:bCs/>
        </w:rPr>
        <w:t>3.a)</w:t>
      </w:r>
      <w:r>
        <w:t xml:space="preserve"> Aurrekontu-ahalegin handiena eraikina egitea izan da, 21,1 milioiko kostua izan baitu. Proiektuak aurreikusten zuen, eraikina aldi baterako biltegi gisa erabiltzea, eta laborategia ezarri da bertan; beraz, honako hau da haren egungo erabilera:</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970"/>
        <w:gridCol w:w="2257"/>
        <w:gridCol w:w="2562"/>
      </w:tblGrid>
      <w:tr w:rsidR="00EF1AFB" w:rsidRPr="009C7A6F" w:rsidTr="00DE3988">
        <w:trPr>
          <w:trHeight w:val="255"/>
          <w:jc w:val="center"/>
        </w:trPr>
        <w:tc>
          <w:tcPr>
            <w:tcW w:w="3970" w:type="dxa"/>
            <w:shd w:val="clear" w:color="auto" w:fill="8DB3E2" w:themeFill="text2" w:themeFillTint="66"/>
            <w:vAlign w:val="center"/>
          </w:tcPr>
          <w:p w:rsidR="00EF1AFB" w:rsidRPr="009C7A6F" w:rsidRDefault="00EF1AFB" w:rsidP="00943A26">
            <w:pPr>
              <w:pStyle w:val="cuadroCabe"/>
              <w:jc w:val="left"/>
            </w:pPr>
            <w:r>
              <w:t>Erabilera</w:t>
            </w:r>
          </w:p>
        </w:tc>
        <w:tc>
          <w:tcPr>
            <w:tcW w:w="2257" w:type="dxa"/>
            <w:shd w:val="clear" w:color="auto" w:fill="8DB3E2" w:themeFill="text2" w:themeFillTint="66"/>
            <w:vAlign w:val="center"/>
          </w:tcPr>
          <w:p w:rsidR="00EF1AFB" w:rsidRPr="00DE3988" w:rsidRDefault="00EF1AFB" w:rsidP="00DE3988">
            <w:pPr>
              <w:pStyle w:val="cuadroCabe"/>
              <w:jc w:val="right"/>
            </w:pPr>
            <w:r>
              <w:t>Metro koadroak</w:t>
            </w:r>
          </w:p>
        </w:tc>
        <w:tc>
          <w:tcPr>
            <w:tcW w:w="2562" w:type="dxa"/>
            <w:shd w:val="clear" w:color="auto" w:fill="8DB3E2" w:themeFill="text2" w:themeFillTint="66"/>
            <w:vAlign w:val="center"/>
          </w:tcPr>
          <w:p w:rsidR="00EF1AFB" w:rsidRPr="00DE3988" w:rsidRDefault="00EF1AFB" w:rsidP="00DE3988">
            <w:pPr>
              <w:pStyle w:val="cuadroCabe"/>
              <w:jc w:val="right"/>
            </w:pPr>
            <w:r>
              <w:t>Ehunekoa</w:t>
            </w:r>
          </w:p>
        </w:tc>
      </w:tr>
      <w:tr w:rsidR="00EF1AFB" w:rsidRPr="009C7A6F" w:rsidTr="00DE3988">
        <w:trPr>
          <w:trHeight w:val="198"/>
          <w:jc w:val="center"/>
        </w:trPr>
        <w:tc>
          <w:tcPr>
            <w:tcW w:w="3970" w:type="dxa"/>
            <w:tcBorders>
              <w:bottom w:val="single" w:sz="2" w:space="0" w:color="auto"/>
            </w:tcBorders>
            <w:vAlign w:val="center"/>
          </w:tcPr>
          <w:p w:rsidR="00EF1AFB" w:rsidRPr="009C7A6F" w:rsidRDefault="00EF1AFB" w:rsidP="00943A26">
            <w:pPr>
              <w:pStyle w:val="cuatexto"/>
              <w:jc w:val="left"/>
            </w:pPr>
            <w:proofErr w:type="spellStart"/>
            <w:r>
              <w:t>Navarrabiomed</w:t>
            </w:r>
            <w:proofErr w:type="spellEnd"/>
          </w:p>
        </w:tc>
        <w:tc>
          <w:tcPr>
            <w:tcW w:w="2257" w:type="dxa"/>
            <w:tcBorders>
              <w:bottom w:val="single" w:sz="2" w:space="0" w:color="auto"/>
            </w:tcBorders>
            <w:vAlign w:val="center"/>
          </w:tcPr>
          <w:p w:rsidR="00EF1AFB" w:rsidRPr="009C7A6F" w:rsidRDefault="00EF1AFB" w:rsidP="00943A26">
            <w:pPr>
              <w:pStyle w:val="cuatexto"/>
              <w:jc w:val="right"/>
            </w:pPr>
            <w:r>
              <w:t>3.972</w:t>
            </w:r>
          </w:p>
        </w:tc>
        <w:tc>
          <w:tcPr>
            <w:tcW w:w="2562" w:type="dxa"/>
            <w:tcBorders>
              <w:bottom w:val="single" w:sz="2" w:space="0" w:color="auto"/>
            </w:tcBorders>
            <w:vAlign w:val="center"/>
          </w:tcPr>
          <w:p w:rsidR="00EF1AFB" w:rsidRPr="009C7A6F" w:rsidRDefault="00EF1AFB" w:rsidP="00943A26">
            <w:pPr>
              <w:pStyle w:val="cuatexto"/>
              <w:jc w:val="right"/>
            </w:pPr>
            <w:r>
              <w:t>34</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pPr>
            <w:r>
              <w:t>Laborategia</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pPr>
            <w:r>
              <w:t>2.637</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pPr>
            <w:r>
              <w:t>22</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pPr>
            <w:r>
              <w:t>Biltegia</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pPr>
            <w:r>
              <w:t>2.379</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pPr>
            <w:r>
              <w:t>20</w:t>
            </w:r>
          </w:p>
        </w:tc>
      </w:tr>
      <w:tr w:rsidR="00EF1AFB" w:rsidRPr="009C7A6F" w:rsidTr="00DE3988">
        <w:trPr>
          <w:trHeight w:val="198"/>
          <w:jc w:val="center"/>
        </w:trPr>
        <w:tc>
          <w:tcPr>
            <w:tcW w:w="3970" w:type="dxa"/>
            <w:tcBorders>
              <w:top w:val="single" w:sz="2" w:space="0" w:color="auto"/>
              <w:bottom w:val="single" w:sz="2" w:space="0" w:color="auto"/>
            </w:tcBorders>
            <w:vAlign w:val="center"/>
          </w:tcPr>
          <w:p w:rsidR="00EF1AFB" w:rsidRPr="009C7A6F" w:rsidRDefault="00EF1AFB" w:rsidP="00943A26">
            <w:pPr>
              <w:pStyle w:val="cuatexto"/>
              <w:jc w:val="left"/>
            </w:pPr>
            <w:r>
              <w:t>Liburutegia</w:t>
            </w:r>
          </w:p>
        </w:tc>
        <w:tc>
          <w:tcPr>
            <w:tcW w:w="2257" w:type="dxa"/>
            <w:tcBorders>
              <w:top w:val="single" w:sz="2" w:space="0" w:color="auto"/>
              <w:bottom w:val="single" w:sz="2" w:space="0" w:color="auto"/>
            </w:tcBorders>
            <w:vAlign w:val="center"/>
          </w:tcPr>
          <w:p w:rsidR="00EF1AFB" w:rsidRPr="009C7A6F" w:rsidRDefault="00EF1AFB" w:rsidP="00943A26">
            <w:pPr>
              <w:pStyle w:val="cuatexto"/>
              <w:jc w:val="right"/>
            </w:pPr>
            <w:r>
              <w:t>375</w:t>
            </w:r>
          </w:p>
        </w:tc>
        <w:tc>
          <w:tcPr>
            <w:tcW w:w="2562" w:type="dxa"/>
            <w:tcBorders>
              <w:top w:val="single" w:sz="2" w:space="0" w:color="auto"/>
              <w:bottom w:val="single" w:sz="2" w:space="0" w:color="auto"/>
            </w:tcBorders>
            <w:vAlign w:val="center"/>
          </w:tcPr>
          <w:p w:rsidR="00EF1AFB" w:rsidRPr="009C7A6F" w:rsidRDefault="00EF1AFB" w:rsidP="00943A26">
            <w:pPr>
              <w:pStyle w:val="cuatexto"/>
              <w:jc w:val="right"/>
            </w:pPr>
            <w:r>
              <w:t>3</w:t>
            </w:r>
          </w:p>
        </w:tc>
      </w:tr>
      <w:tr w:rsidR="00EF1AFB" w:rsidRPr="009C7A6F" w:rsidTr="00DE3988">
        <w:trPr>
          <w:trHeight w:val="198"/>
          <w:jc w:val="center"/>
        </w:trPr>
        <w:tc>
          <w:tcPr>
            <w:tcW w:w="3970" w:type="dxa"/>
            <w:tcBorders>
              <w:top w:val="single" w:sz="2" w:space="0" w:color="auto"/>
            </w:tcBorders>
            <w:vAlign w:val="center"/>
          </w:tcPr>
          <w:p w:rsidR="00EF1AFB" w:rsidRPr="009C7A6F" w:rsidRDefault="00EF1AFB" w:rsidP="00943A26">
            <w:pPr>
              <w:pStyle w:val="cuatexto"/>
              <w:jc w:val="left"/>
            </w:pPr>
            <w:r>
              <w:t>Komunak</w:t>
            </w:r>
          </w:p>
        </w:tc>
        <w:tc>
          <w:tcPr>
            <w:tcW w:w="2257" w:type="dxa"/>
            <w:tcBorders>
              <w:top w:val="single" w:sz="2" w:space="0" w:color="auto"/>
            </w:tcBorders>
            <w:vAlign w:val="center"/>
          </w:tcPr>
          <w:p w:rsidR="00EF1AFB" w:rsidRPr="009C7A6F" w:rsidRDefault="00EF1AFB" w:rsidP="00943A26">
            <w:pPr>
              <w:pStyle w:val="cuatexto"/>
              <w:jc w:val="right"/>
            </w:pPr>
            <w:r>
              <w:t>2.402</w:t>
            </w:r>
          </w:p>
        </w:tc>
        <w:tc>
          <w:tcPr>
            <w:tcW w:w="2562" w:type="dxa"/>
            <w:tcBorders>
              <w:top w:val="single" w:sz="2" w:space="0" w:color="auto"/>
            </w:tcBorders>
            <w:vAlign w:val="center"/>
          </w:tcPr>
          <w:p w:rsidR="00EF1AFB" w:rsidRPr="009C7A6F" w:rsidRDefault="00EF1AFB" w:rsidP="00943A26">
            <w:pPr>
              <w:pStyle w:val="cuatexto"/>
              <w:jc w:val="right"/>
            </w:pPr>
            <w:r>
              <w:t>21</w:t>
            </w:r>
          </w:p>
        </w:tc>
      </w:tr>
      <w:tr w:rsidR="00EF1AFB" w:rsidRPr="009C7A6F" w:rsidTr="00DE3988">
        <w:trPr>
          <w:trHeight w:val="255"/>
          <w:jc w:val="center"/>
        </w:trPr>
        <w:tc>
          <w:tcPr>
            <w:tcW w:w="3970" w:type="dxa"/>
            <w:shd w:val="clear" w:color="auto" w:fill="8DB3E2" w:themeFill="text2" w:themeFillTint="66"/>
            <w:vAlign w:val="center"/>
          </w:tcPr>
          <w:p w:rsidR="00EF1AFB" w:rsidRPr="009C7A6F" w:rsidRDefault="00EF1AFB" w:rsidP="00943A26">
            <w:pPr>
              <w:pStyle w:val="cuadroCabe"/>
              <w:jc w:val="left"/>
            </w:pPr>
            <w:r>
              <w:t>Guztira</w:t>
            </w:r>
          </w:p>
        </w:tc>
        <w:tc>
          <w:tcPr>
            <w:tcW w:w="2257" w:type="dxa"/>
            <w:shd w:val="clear" w:color="auto" w:fill="8DB3E2" w:themeFill="text2" w:themeFillTint="66"/>
            <w:vAlign w:val="center"/>
          </w:tcPr>
          <w:p w:rsidR="00EF1AFB" w:rsidRPr="009C7A6F" w:rsidRDefault="00EF1AFB" w:rsidP="00943A26">
            <w:pPr>
              <w:pStyle w:val="cuadroCabe"/>
              <w:jc w:val="right"/>
            </w:pPr>
            <w:r>
              <w:t>11.765</w:t>
            </w:r>
          </w:p>
        </w:tc>
        <w:tc>
          <w:tcPr>
            <w:tcW w:w="2562" w:type="dxa"/>
            <w:shd w:val="clear" w:color="auto" w:fill="8DB3E2" w:themeFill="text2" w:themeFillTint="66"/>
            <w:vAlign w:val="center"/>
          </w:tcPr>
          <w:p w:rsidR="00EF1AFB" w:rsidRPr="009C7A6F" w:rsidRDefault="00EF1AFB" w:rsidP="00943A26">
            <w:pPr>
              <w:pStyle w:val="cuadroCabe"/>
              <w:jc w:val="right"/>
            </w:pPr>
            <w:r>
              <w:t>100</w:t>
            </w:r>
          </w:p>
        </w:tc>
      </w:tr>
    </w:tbl>
    <w:p w:rsidR="00EF1AFB" w:rsidRPr="009C7A6F" w:rsidRDefault="00EF1AFB" w:rsidP="00EF1AFB">
      <w:pPr>
        <w:tabs>
          <w:tab w:val="center" w:pos="2835"/>
          <w:tab w:val="center" w:pos="3969"/>
          <w:tab w:val="center" w:pos="5103"/>
          <w:tab w:val="center" w:pos="6237"/>
          <w:tab w:val="center" w:pos="7371"/>
        </w:tabs>
        <w:spacing w:before="240"/>
        <w:ind w:firstLine="284"/>
        <w:rPr>
          <w:spacing w:val="6"/>
          <w:sz w:val="26"/>
          <w:szCs w:val="24"/>
        </w:rPr>
      </w:pPr>
      <w:r>
        <w:rPr>
          <w:sz w:val="26"/>
          <w:szCs w:val="24"/>
        </w:rPr>
        <w:t>Esanguratsua da eraikinaren kalifikazio energetikoa "G" dela, hau da, efizientzia txikienekoa.</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6"/>
        </w:rPr>
      </w:pPr>
      <w:r>
        <w:rPr>
          <w:b/>
          <w:bCs/>
          <w:sz w:val="26"/>
          <w:szCs w:val="26"/>
        </w:rPr>
        <w:t>4.a)</w:t>
      </w:r>
      <w:r>
        <w:rPr>
          <w:sz w:val="26"/>
          <w:szCs w:val="26"/>
        </w:rPr>
        <w:t xml:space="preserve"> Nafarroak ez du ikerketarako institutu ziurtaturik. Osasun Departamentuaren eta Nafarroako Unibertsitatearen arteko lankidetza da Nafarroak osasun ikerket</w:t>
      </w:r>
      <w:r>
        <w:rPr>
          <w:sz w:val="26"/>
          <w:szCs w:val="26"/>
        </w:rPr>
        <w:t>a</w:t>
      </w:r>
      <w:r>
        <w:rPr>
          <w:sz w:val="26"/>
          <w:szCs w:val="26"/>
        </w:rPr>
        <w:t xml:space="preserve">rako zentro ziurtatu bat edukitzea bermatzeko modua, hartara Carlos III.a zentroak osasun ikerketarako ematen dituen funtsak errazago eskuratu ahal izateko. </w:t>
      </w:r>
      <w:r>
        <w:rPr>
          <w:sz w:val="26"/>
        </w:rPr>
        <w:t xml:space="preserve">Hori dela eta, exijitzen diren baldintzak betetzen ez direnez, 2014an, </w:t>
      </w:r>
      <w:proofErr w:type="spellStart"/>
      <w:r>
        <w:rPr>
          <w:sz w:val="26"/>
        </w:rPr>
        <w:t>IdiSNA</w:t>
      </w:r>
      <w:proofErr w:type="spellEnd"/>
      <w:r>
        <w:rPr>
          <w:sz w:val="26"/>
        </w:rPr>
        <w:t xml:space="preserve"> aktibatu da, eta institutu horrek ziurtagiria eskatu du, aldez aurretiko </w:t>
      </w:r>
      <w:proofErr w:type="spellStart"/>
      <w:r>
        <w:rPr>
          <w:sz w:val="26"/>
        </w:rPr>
        <w:t>auditoretza</w:t>
      </w:r>
      <w:proofErr w:type="spellEnd"/>
      <w:r>
        <w:rPr>
          <w:sz w:val="26"/>
        </w:rPr>
        <w:t xml:space="preserve"> gainditu du eta zenbait proiektutarako finantzaketa lortu du 2015erako.</w:t>
      </w:r>
    </w:p>
    <w:p w:rsidR="00943A26" w:rsidRPr="009C7A6F" w:rsidRDefault="00EF1AFB" w:rsidP="00943A26">
      <w:pPr>
        <w:tabs>
          <w:tab w:val="center" w:pos="2835"/>
          <w:tab w:val="center" w:pos="3969"/>
          <w:tab w:val="center" w:pos="5103"/>
          <w:tab w:val="center" w:pos="6237"/>
          <w:tab w:val="center" w:pos="7371"/>
        </w:tabs>
        <w:spacing w:before="240" w:after="240"/>
        <w:ind w:firstLine="284"/>
        <w:rPr>
          <w:spacing w:val="6"/>
          <w:sz w:val="26"/>
          <w:szCs w:val="24"/>
        </w:rPr>
      </w:pPr>
      <w:r>
        <w:rPr>
          <w:sz w:val="26"/>
        </w:rPr>
        <w:t>Eredu konplexu horrek, non batera baitaude ikerketa publikoko zentroa, Unibe</w:t>
      </w:r>
      <w:r>
        <w:rPr>
          <w:sz w:val="26"/>
        </w:rPr>
        <w:t>r</w:t>
      </w:r>
      <w:r>
        <w:rPr>
          <w:sz w:val="26"/>
        </w:rPr>
        <w:t xml:space="preserve">tsitatearen zentro pribatua eta </w:t>
      </w:r>
      <w:proofErr w:type="spellStart"/>
      <w:r>
        <w:rPr>
          <w:sz w:val="26"/>
        </w:rPr>
        <w:t>IdiSNAren</w:t>
      </w:r>
      <w:proofErr w:type="spellEnd"/>
      <w:r>
        <w:rPr>
          <w:sz w:val="26"/>
        </w:rPr>
        <w:t xml:space="preserve"> bitartezko batera biltzea, funtzionamend</w:t>
      </w:r>
      <w:r>
        <w:rPr>
          <w:sz w:val="26"/>
        </w:rPr>
        <w:t>u</w:t>
      </w:r>
      <w:r>
        <w:rPr>
          <w:sz w:val="26"/>
        </w:rPr>
        <w:t>rako akordio eta hitzarmen batzuk badauzka, nahiz eta gure ustez oraindik ere def</w:t>
      </w:r>
      <w:r>
        <w:rPr>
          <w:sz w:val="26"/>
        </w:rPr>
        <w:t>i</w:t>
      </w:r>
      <w:r>
        <w:rPr>
          <w:sz w:val="26"/>
        </w:rPr>
        <w:lastRenderedPageBreak/>
        <w:t>nitzeko eta zehazteko gelditu diren funtzionamendurako prozedura administrat</w:t>
      </w:r>
      <w:r>
        <w:rPr>
          <w:sz w:val="26"/>
        </w:rPr>
        <w:t>i</w:t>
      </w:r>
      <w:r>
        <w:rPr>
          <w:sz w:val="26"/>
        </w:rPr>
        <w:t>boak.</w:t>
      </w:r>
    </w:p>
    <w:p w:rsidR="00EF1AFB" w:rsidRPr="009C7A6F" w:rsidRDefault="00EF1AFB" w:rsidP="00F123F9">
      <w:pPr>
        <w:pStyle w:val="atitulo3"/>
      </w:pPr>
      <w:r>
        <w:t>Fundazioaren kontuak eta finantzaketa</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rPr>
      </w:pPr>
      <w:r>
        <w:rPr>
          <w:b/>
          <w:bCs/>
          <w:sz w:val="26"/>
          <w:szCs w:val="24"/>
        </w:rPr>
        <w:t>5.a)</w:t>
      </w:r>
      <w:r>
        <w:rPr>
          <w:sz w:val="26"/>
          <w:szCs w:val="24"/>
        </w:rPr>
        <w:t xml:space="preserve"> Miguel </w:t>
      </w:r>
      <w:proofErr w:type="spellStart"/>
      <w:r>
        <w:rPr>
          <w:sz w:val="26"/>
          <w:szCs w:val="24"/>
        </w:rPr>
        <w:t>Servet</w:t>
      </w:r>
      <w:proofErr w:type="spellEnd"/>
      <w:r>
        <w:rPr>
          <w:sz w:val="26"/>
          <w:szCs w:val="24"/>
        </w:rPr>
        <w:t xml:space="preserve"> </w:t>
      </w:r>
      <w:proofErr w:type="spellStart"/>
      <w:r>
        <w:rPr>
          <w:sz w:val="26"/>
          <w:szCs w:val="24"/>
        </w:rPr>
        <w:t>Navarrabiomed</w:t>
      </w:r>
      <w:proofErr w:type="spellEnd"/>
      <w:r>
        <w:rPr>
          <w:sz w:val="26"/>
          <w:szCs w:val="24"/>
        </w:rPr>
        <w:t xml:space="preserve"> Fundazioaren kontuak kanpoko enpresa batek </w:t>
      </w:r>
      <w:proofErr w:type="spellStart"/>
      <w:r>
        <w:rPr>
          <w:sz w:val="26"/>
          <w:szCs w:val="24"/>
        </w:rPr>
        <w:t>auditatzen</w:t>
      </w:r>
      <w:proofErr w:type="spellEnd"/>
      <w:r>
        <w:rPr>
          <w:sz w:val="26"/>
          <w:szCs w:val="24"/>
        </w:rPr>
        <w:t xml:space="preserve"> ditu, eta aldeko iritzia ematen du urtero.</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6"/>
        </w:rPr>
      </w:pPr>
      <w:r>
        <w:rPr>
          <w:b/>
          <w:bCs/>
          <w:sz w:val="26"/>
          <w:szCs w:val="26"/>
        </w:rPr>
        <w:t>6.a)</w:t>
      </w:r>
      <w:r>
        <w:rPr>
          <w:sz w:val="26"/>
          <w:szCs w:val="26"/>
        </w:rPr>
        <w:t xml:space="preserve"> Orokorrean, Miguel </w:t>
      </w:r>
      <w:proofErr w:type="spellStart"/>
      <w:r>
        <w:rPr>
          <w:sz w:val="26"/>
          <w:szCs w:val="26"/>
        </w:rPr>
        <w:t>Servet</w:t>
      </w:r>
      <w:proofErr w:type="spellEnd"/>
      <w:r>
        <w:rPr>
          <w:sz w:val="26"/>
          <w:szCs w:val="26"/>
        </w:rPr>
        <w:t xml:space="preserve"> Fundazioaren jarduera aplikatzekoa zaion ara</w:t>
      </w:r>
      <w:r>
        <w:rPr>
          <w:sz w:val="26"/>
          <w:szCs w:val="26"/>
        </w:rPr>
        <w:t>u</w:t>
      </w:r>
      <w:r>
        <w:rPr>
          <w:sz w:val="26"/>
          <w:szCs w:val="26"/>
        </w:rPr>
        <w:t>diaren arabera egiten da.</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rPr>
      </w:pPr>
      <w:r>
        <w:rPr>
          <w:b/>
          <w:bCs/>
          <w:sz w:val="26"/>
          <w:szCs w:val="24"/>
        </w:rPr>
        <w:t>7.a)</w:t>
      </w:r>
      <w:r>
        <w:rPr>
          <w:sz w:val="26"/>
          <w:szCs w:val="24"/>
        </w:rPr>
        <w:t xml:space="preserve"> 2015ean, lehenengo aldiz, galerak izan ziren, 486.707 eurokoak. </w:t>
      </w:r>
      <w:r>
        <w:rPr>
          <w:szCs w:val="24"/>
        </w:rPr>
        <w:t xml:space="preserve">Emaitza hori gertatzen da nagusiki ikerketarako jasotako </w:t>
      </w:r>
      <w:proofErr w:type="spellStart"/>
      <w:r>
        <w:rPr>
          <w:szCs w:val="24"/>
        </w:rPr>
        <w:t>dirulaguntzek</w:t>
      </w:r>
      <w:proofErr w:type="spellEnd"/>
      <w:r>
        <w:rPr>
          <w:szCs w:val="24"/>
        </w:rPr>
        <w:t xml:space="preserve"> finantzatzen ez dituzten gastuek egiturazko fina</w:t>
      </w:r>
      <w:r>
        <w:rPr>
          <w:szCs w:val="24"/>
        </w:rPr>
        <w:t>n</w:t>
      </w:r>
      <w:r>
        <w:rPr>
          <w:szCs w:val="24"/>
        </w:rPr>
        <w:t>tzaketaren zenbatekoak (Osasun Departamentuaren ekarpena eta egiturazko gastuetarako proiektuak) gaind</w:t>
      </w:r>
      <w:r>
        <w:rPr>
          <w:szCs w:val="24"/>
        </w:rPr>
        <w:t>i</w:t>
      </w:r>
      <w:r>
        <w:rPr>
          <w:szCs w:val="24"/>
        </w:rPr>
        <w:t>tzen dituztelako.</w:t>
      </w:r>
    </w:p>
    <w:p w:rsidR="00EF1AFB" w:rsidRPr="009C7A6F" w:rsidRDefault="00EF1AFB" w:rsidP="00EF1AFB">
      <w:pPr>
        <w:tabs>
          <w:tab w:val="center" w:pos="2835"/>
          <w:tab w:val="center" w:pos="3969"/>
          <w:tab w:val="center" w:pos="5103"/>
          <w:tab w:val="center" w:pos="6237"/>
          <w:tab w:val="center" w:pos="7371"/>
        </w:tabs>
        <w:ind w:firstLine="284"/>
        <w:rPr>
          <w:spacing w:val="6"/>
          <w:sz w:val="26"/>
          <w:szCs w:val="24"/>
        </w:rPr>
      </w:pPr>
      <w:r>
        <w:rPr>
          <w:sz w:val="26"/>
          <w:szCs w:val="24"/>
        </w:rPr>
        <w:t xml:space="preserve">Horri dagokionez, esan beharra daukagu ezen 2009tik 2014ra Miguel </w:t>
      </w:r>
      <w:proofErr w:type="spellStart"/>
      <w:r>
        <w:rPr>
          <w:sz w:val="26"/>
          <w:szCs w:val="24"/>
        </w:rPr>
        <w:t>Servet</w:t>
      </w:r>
      <w:proofErr w:type="spellEnd"/>
      <w:r>
        <w:rPr>
          <w:sz w:val="26"/>
          <w:szCs w:val="24"/>
        </w:rPr>
        <w:t xml:space="preserve"> Fundazioak Europako Gizarte Funtsetik heldu diren diru-sarrerak kontabilizatu d</w:t>
      </w:r>
      <w:r>
        <w:rPr>
          <w:sz w:val="26"/>
          <w:szCs w:val="24"/>
        </w:rPr>
        <w:t>i</w:t>
      </w:r>
      <w:r>
        <w:rPr>
          <w:sz w:val="26"/>
          <w:szCs w:val="24"/>
        </w:rPr>
        <w:t xml:space="preserve">tuela, 831.103 eurokoak; 2015erako aurreikusitakoetatik, berriz, ez du ezer ere jaso kontzeptu hori dela-eta, </w:t>
      </w:r>
      <w:proofErr w:type="spellStart"/>
      <w:r>
        <w:rPr>
          <w:sz w:val="26"/>
          <w:szCs w:val="24"/>
        </w:rPr>
        <w:t>eta</w:t>
      </w:r>
      <w:proofErr w:type="spellEnd"/>
      <w:r>
        <w:rPr>
          <w:sz w:val="26"/>
          <w:szCs w:val="24"/>
        </w:rPr>
        <w:t xml:space="preserve"> horixe da ekitaldiko galeren arrazoi nagusia.</w:t>
      </w:r>
    </w:p>
    <w:p w:rsidR="00EF1AFB" w:rsidRPr="009C7A6F" w:rsidRDefault="00EF1AFB" w:rsidP="00EF1AFB">
      <w:pPr>
        <w:tabs>
          <w:tab w:val="center" w:pos="2835"/>
          <w:tab w:val="center" w:pos="3969"/>
          <w:tab w:val="center" w:pos="5103"/>
          <w:tab w:val="center" w:pos="6237"/>
          <w:tab w:val="center" w:pos="7371"/>
        </w:tabs>
        <w:spacing w:before="120" w:after="240"/>
        <w:ind w:firstLine="284"/>
        <w:rPr>
          <w:spacing w:val="6"/>
          <w:sz w:val="26"/>
          <w:szCs w:val="24"/>
        </w:rPr>
      </w:pPr>
      <w:r>
        <w:rPr>
          <w:sz w:val="26"/>
          <w:szCs w:val="24"/>
        </w:rPr>
        <w:t xml:space="preserve">2015eko abenduaren 31n erabilgarri dauden baliabide garbiak, </w:t>
      </w:r>
      <w:proofErr w:type="spellStart"/>
      <w:r>
        <w:rPr>
          <w:sz w:val="26"/>
          <w:szCs w:val="24"/>
        </w:rPr>
        <w:t>diruzaintza-gerakinaren</w:t>
      </w:r>
      <w:proofErr w:type="spellEnd"/>
      <w:r>
        <w:rPr>
          <w:sz w:val="26"/>
          <w:szCs w:val="24"/>
        </w:rPr>
        <w:t xml:space="preserve"> egoera-orri bat eginez lortutakoak 167.264 euro negatiboak dira; horrek esan nahi du 2015ean ikerketarako bideratzekoa zen diruzaintza-aurrerakina egit</w:t>
      </w:r>
      <w:r>
        <w:rPr>
          <w:sz w:val="26"/>
          <w:szCs w:val="24"/>
        </w:rPr>
        <w:t>u</w:t>
      </w:r>
      <w:r>
        <w:rPr>
          <w:sz w:val="26"/>
          <w:szCs w:val="24"/>
        </w:rPr>
        <w:t>razko gastuak finantzatzeko erabili dela, proiektuei egoztekoak zaizkien kostuez g</w:t>
      </w:r>
      <w:r>
        <w:rPr>
          <w:sz w:val="26"/>
          <w:szCs w:val="24"/>
        </w:rPr>
        <w:t>o</w:t>
      </w:r>
      <w:r>
        <w:rPr>
          <w:sz w:val="26"/>
          <w:szCs w:val="24"/>
        </w:rPr>
        <w:t>rako portzentajean erabili ere.</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b/>
          <w:bCs/>
          <w:sz w:val="26"/>
          <w:szCs w:val="24"/>
        </w:rPr>
        <w:t>8.a)</w:t>
      </w:r>
      <w:r>
        <w:rPr>
          <w:sz w:val="26"/>
          <w:szCs w:val="24"/>
        </w:rPr>
        <w:t xml:space="preserve"> Ondare garbia positiboa bada ere, funts berekiak negatiboak dira 2015ean, ekitaldiko emaitzaren ondorioz eta aurreko urteetako emaitzetan egindako doiku</w:t>
      </w:r>
      <w:r>
        <w:rPr>
          <w:sz w:val="26"/>
          <w:szCs w:val="24"/>
        </w:rPr>
        <w:t>n</w:t>
      </w:r>
      <w:r>
        <w:rPr>
          <w:sz w:val="26"/>
          <w:szCs w:val="24"/>
        </w:rPr>
        <w:t>tzen ondorioz. Egoera hori zuzendu egin beharko litzateke.</w:t>
      </w:r>
    </w:p>
    <w:p w:rsidR="00EF1AFB" w:rsidRDefault="00EF1AFB" w:rsidP="00EF1AFB">
      <w:pPr>
        <w:tabs>
          <w:tab w:val="center" w:pos="2835"/>
          <w:tab w:val="center" w:pos="3969"/>
          <w:tab w:val="center" w:pos="5103"/>
          <w:tab w:val="center" w:pos="6237"/>
          <w:tab w:val="center" w:pos="7371"/>
        </w:tabs>
        <w:ind w:firstLine="284"/>
        <w:rPr>
          <w:spacing w:val="6"/>
          <w:sz w:val="26"/>
          <w:szCs w:val="26"/>
        </w:rPr>
      </w:pPr>
      <w:r>
        <w:rPr>
          <w:b/>
          <w:bCs/>
          <w:sz w:val="26"/>
        </w:rPr>
        <w:t>9.a)</w:t>
      </w:r>
      <w:r>
        <w:rPr>
          <w:sz w:val="26"/>
        </w:rPr>
        <w:t xml:space="preserve"> Miguel </w:t>
      </w:r>
      <w:proofErr w:type="spellStart"/>
      <w:r>
        <w:rPr>
          <w:sz w:val="26"/>
        </w:rPr>
        <w:t>Servet</w:t>
      </w:r>
      <w:proofErr w:type="spellEnd"/>
      <w:r>
        <w:rPr>
          <w:sz w:val="26"/>
        </w:rPr>
        <w:t xml:space="preserve"> Fundazioaren guztizko gastu korronteak (langileak eta erosk</w:t>
      </w:r>
      <w:r>
        <w:rPr>
          <w:sz w:val="26"/>
        </w:rPr>
        <w:t>e</w:t>
      </w:r>
      <w:r>
        <w:rPr>
          <w:sz w:val="26"/>
        </w:rPr>
        <w:t>tak) 3,7 milioikoak izan ziren 2015ean; horrek esan nahi du 2009ko gastuekin ald</w:t>
      </w:r>
      <w:r>
        <w:rPr>
          <w:sz w:val="26"/>
        </w:rPr>
        <w:t>e</w:t>
      </w:r>
      <w:r>
        <w:rPr>
          <w:sz w:val="26"/>
        </w:rPr>
        <w:t>ratuta ehuneko 191ko igoera gertatu dela.</w:t>
      </w:r>
      <w:r>
        <w:rPr>
          <w:sz w:val="26"/>
          <w:szCs w:val="26"/>
        </w:rPr>
        <w:t xml:space="preserve"> </w:t>
      </w: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B174E2" w:rsidRDefault="00B174E2" w:rsidP="00EF1AFB">
      <w:pPr>
        <w:tabs>
          <w:tab w:val="center" w:pos="2835"/>
          <w:tab w:val="center" w:pos="3969"/>
          <w:tab w:val="center" w:pos="5103"/>
          <w:tab w:val="center" w:pos="6237"/>
          <w:tab w:val="center" w:pos="7371"/>
        </w:tabs>
        <w:ind w:firstLine="284"/>
        <w:rPr>
          <w:spacing w:val="6"/>
          <w:sz w:val="26"/>
          <w:szCs w:val="26"/>
        </w:rPr>
      </w:pPr>
    </w:p>
    <w:p w:rsidR="00EF1AFB" w:rsidRPr="009C7A6F" w:rsidRDefault="00EF1AFB" w:rsidP="004751FE">
      <w:pPr>
        <w:tabs>
          <w:tab w:val="center" w:pos="2835"/>
          <w:tab w:val="center" w:pos="3969"/>
          <w:tab w:val="center" w:pos="5103"/>
          <w:tab w:val="center" w:pos="6237"/>
          <w:tab w:val="center" w:pos="7371"/>
        </w:tabs>
        <w:spacing w:before="240" w:after="240"/>
        <w:ind w:firstLine="284"/>
        <w:rPr>
          <w:spacing w:val="6"/>
          <w:sz w:val="26"/>
          <w:szCs w:val="24"/>
        </w:rPr>
      </w:pPr>
      <w:r>
        <w:rPr>
          <w:b/>
          <w:sz w:val="26"/>
          <w:szCs w:val="26"/>
        </w:rPr>
        <w:t>10.a)</w:t>
      </w:r>
      <w:r>
        <w:rPr>
          <w:sz w:val="26"/>
        </w:rPr>
        <w:t xml:space="preserve"> Fundazioaren egituraren finantzaketa hurrengo taulatik ondorioztatzen dena izan da 2015ean:</w:t>
      </w:r>
    </w:p>
    <w:tbl>
      <w:tblPr>
        <w:tblStyle w:val="Tablaconcuadrcula1"/>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1227"/>
        <w:gridCol w:w="1681"/>
        <w:gridCol w:w="1637"/>
        <w:gridCol w:w="1128"/>
      </w:tblGrid>
      <w:tr w:rsidR="00EF1AFB" w:rsidRPr="009C7A6F" w:rsidTr="00F30E02">
        <w:trPr>
          <w:trHeight w:val="255"/>
        </w:trPr>
        <w:tc>
          <w:tcPr>
            <w:tcW w:w="3544" w:type="dxa"/>
            <w:shd w:val="clear" w:color="auto" w:fill="8DB3E2" w:themeFill="text2" w:themeFillTint="66"/>
            <w:vAlign w:val="center"/>
          </w:tcPr>
          <w:p w:rsidR="00EF1AFB" w:rsidRPr="009C7A6F" w:rsidRDefault="00EF1AFB" w:rsidP="00943A26">
            <w:pPr>
              <w:pStyle w:val="cuadroCabe"/>
              <w:jc w:val="left"/>
            </w:pPr>
            <w:r>
              <w:t>Gastuak</w:t>
            </w:r>
          </w:p>
        </w:tc>
        <w:tc>
          <w:tcPr>
            <w:tcW w:w="463" w:type="dxa"/>
            <w:shd w:val="clear" w:color="auto" w:fill="8DB3E2" w:themeFill="text2" w:themeFillTint="66"/>
            <w:vAlign w:val="center"/>
          </w:tcPr>
          <w:p w:rsidR="00EF1AFB" w:rsidRPr="009C7A6F" w:rsidRDefault="00EF1AFB" w:rsidP="00943A26">
            <w:pPr>
              <w:pStyle w:val="cuadroCabe"/>
              <w:jc w:val="right"/>
            </w:pPr>
          </w:p>
        </w:tc>
        <w:tc>
          <w:tcPr>
            <w:tcW w:w="1793" w:type="dxa"/>
            <w:shd w:val="clear" w:color="auto" w:fill="8DB3E2" w:themeFill="text2" w:themeFillTint="66"/>
            <w:vAlign w:val="center"/>
          </w:tcPr>
          <w:p w:rsidR="00EF1AFB" w:rsidRPr="009C7A6F" w:rsidRDefault="00EF1AFB" w:rsidP="00943A26">
            <w:pPr>
              <w:pStyle w:val="cuadroCabe"/>
              <w:jc w:val="right"/>
            </w:pPr>
            <w:r>
              <w:t xml:space="preserve">Finantzaketa </w:t>
            </w:r>
          </w:p>
        </w:tc>
        <w:tc>
          <w:tcPr>
            <w:tcW w:w="1793" w:type="dxa"/>
            <w:shd w:val="clear" w:color="auto" w:fill="8DB3E2" w:themeFill="text2" w:themeFillTint="66"/>
            <w:vAlign w:val="center"/>
          </w:tcPr>
          <w:p w:rsidR="00EF1AFB" w:rsidRPr="009C7A6F" w:rsidRDefault="00EF1AFB" w:rsidP="00943A26">
            <w:pPr>
              <w:pStyle w:val="cuadroCabe"/>
              <w:jc w:val="right"/>
            </w:pPr>
          </w:p>
        </w:tc>
        <w:tc>
          <w:tcPr>
            <w:tcW w:w="1196" w:type="dxa"/>
            <w:shd w:val="clear" w:color="auto" w:fill="8DB3E2" w:themeFill="text2" w:themeFillTint="66"/>
            <w:vAlign w:val="center"/>
          </w:tcPr>
          <w:p w:rsidR="00EF1AFB" w:rsidRPr="009C7A6F" w:rsidRDefault="00EF1AFB" w:rsidP="00943A26">
            <w:pPr>
              <w:pStyle w:val="cuadroCabe"/>
              <w:jc w:val="right"/>
            </w:pPr>
          </w:p>
        </w:tc>
      </w:tr>
      <w:tr w:rsidR="00B174E2" w:rsidRPr="00B174E2" w:rsidTr="00F30E02">
        <w:trPr>
          <w:trHeight w:val="255"/>
        </w:trPr>
        <w:tc>
          <w:tcPr>
            <w:tcW w:w="3544" w:type="dxa"/>
            <w:shd w:val="clear" w:color="auto" w:fill="8DB3E2" w:themeFill="text2" w:themeFillTint="66"/>
            <w:vAlign w:val="center"/>
          </w:tcPr>
          <w:p w:rsidR="00B174E2" w:rsidRPr="00B174E2" w:rsidRDefault="00B174E2" w:rsidP="00B174E2">
            <w:pPr>
              <w:pStyle w:val="cuatexto"/>
              <w:jc w:val="left"/>
              <w:rPr>
                <w:rFonts w:ascii="Arial" w:hAnsi="Arial" w:cs="Arial"/>
                <w:sz w:val="18"/>
                <w:szCs w:val="18"/>
              </w:rPr>
            </w:pPr>
            <w:r>
              <w:rPr>
                <w:rFonts w:ascii="Arial" w:hAnsi="Arial"/>
                <w:sz w:val="18"/>
                <w:szCs w:val="18"/>
              </w:rPr>
              <w:t>Kontzeptua</w:t>
            </w:r>
          </w:p>
        </w:tc>
        <w:tc>
          <w:tcPr>
            <w:tcW w:w="46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Zenbatekoa</w:t>
            </w:r>
          </w:p>
        </w:tc>
        <w:tc>
          <w:tcPr>
            <w:tcW w:w="179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Nafarroako G</w:t>
            </w:r>
            <w:r>
              <w:rPr>
                <w:rFonts w:ascii="Arial" w:hAnsi="Arial"/>
                <w:sz w:val="18"/>
                <w:szCs w:val="18"/>
              </w:rPr>
              <w:t>o</w:t>
            </w:r>
            <w:r>
              <w:rPr>
                <w:rFonts w:ascii="Arial" w:hAnsi="Arial"/>
                <w:sz w:val="18"/>
                <w:szCs w:val="18"/>
              </w:rPr>
              <w:lastRenderedPageBreak/>
              <w:t xml:space="preserve">bernua </w:t>
            </w:r>
          </w:p>
          <w:p w:rsidR="00B174E2" w:rsidRPr="00B174E2" w:rsidRDefault="00B174E2" w:rsidP="00B174E2">
            <w:pPr>
              <w:pStyle w:val="cuatexto"/>
              <w:jc w:val="right"/>
              <w:rPr>
                <w:rFonts w:ascii="Arial" w:hAnsi="Arial" w:cs="Arial"/>
                <w:sz w:val="18"/>
                <w:szCs w:val="18"/>
              </w:rPr>
            </w:pPr>
          </w:p>
        </w:tc>
        <w:tc>
          <w:tcPr>
            <w:tcW w:w="1793"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lastRenderedPageBreak/>
              <w:t xml:space="preserve">Ekarpenak </w:t>
            </w:r>
          </w:p>
          <w:p w:rsidR="00B174E2" w:rsidRPr="00B174E2" w:rsidRDefault="00B174E2" w:rsidP="00B174E2">
            <w:pPr>
              <w:pStyle w:val="cuatexto"/>
              <w:jc w:val="right"/>
              <w:rPr>
                <w:rFonts w:ascii="Arial" w:hAnsi="Arial" w:cs="Arial"/>
                <w:sz w:val="18"/>
                <w:szCs w:val="18"/>
              </w:rPr>
            </w:pPr>
            <w:r>
              <w:rPr>
                <w:rFonts w:ascii="Arial" w:hAnsi="Arial"/>
                <w:sz w:val="18"/>
                <w:szCs w:val="18"/>
              </w:rPr>
              <w:lastRenderedPageBreak/>
              <w:t xml:space="preserve"> Proiektuak</w:t>
            </w:r>
          </w:p>
        </w:tc>
        <w:tc>
          <w:tcPr>
            <w:tcW w:w="1196" w:type="dxa"/>
            <w:shd w:val="clear" w:color="auto" w:fill="8DB3E2" w:themeFill="text2" w:themeFillTint="66"/>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lastRenderedPageBreak/>
              <w:t xml:space="preserve">Saldoa </w:t>
            </w:r>
          </w:p>
        </w:tc>
      </w:tr>
      <w:tr w:rsidR="00B174E2" w:rsidRPr="009C7A6F" w:rsidTr="00726A18">
        <w:trPr>
          <w:trHeight w:val="198"/>
        </w:trPr>
        <w:tc>
          <w:tcPr>
            <w:tcW w:w="3544" w:type="dxa"/>
            <w:tcBorders>
              <w:top w:val="single" w:sz="2" w:space="0" w:color="auto"/>
              <w:bottom w:val="single" w:sz="2" w:space="0" w:color="auto"/>
            </w:tcBorders>
            <w:vAlign w:val="center"/>
          </w:tcPr>
          <w:p w:rsidR="00B174E2" w:rsidRPr="009C7A6F" w:rsidRDefault="00B174E2" w:rsidP="00B174E2">
            <w:pPr>
              <w:pStyle w:val="cuatexto"/>
              <w:jc w:val="left"/>
            </w:pPr>
            <w:r>
              <w:lastRenderedPageBreak/>
              <w:t>Langileak</w:t>
            </w:r>
          </w:p>
        </w:tc>
        <w:tc>
          <w:tcPr>
            <w:tcW w:w="463" w:type="dxa"/>
            <w:tcBorders>
              <w:top w:val="single" w:sz="2" w:space="0" w:color="auto"/>
              <w:bottom w:val="single" w:sz="2" w:space="0" w:color="auto"/>
            </w:tcBorders>
            <w:vAlign w:val="center"/>
          </w:tcPr>
          <w:p w:rsidR="00B174E2" w:rsidRPr="009C7A6F" w:rsidRDefault="00B174E2" w:rsidP="00B174E2">
            <w:pPr>
              <w:pStyle w:val="cuatexto"/>
              <w:jc w:val="right"/>
            </w:pPr>
            <w:r>
              <w:t>1.437.389</w:t>
            </w:r>
          </w:p>
        </w:tc>
        <w:tc>
          <w:tcPr>
            <w:tcW w:w="1793" w:type="dxa"/>
            <w:tcBorders>
              <w:top w:val="single" w:sz="2" w:space="0" w:color="auto"/>
              <w:bottom w:val="single" w:sz="2" w:space="0" w:color="auto"/>
            </w:tcBorders>
            <w:vAlign w:val="center"/>
          </w:tcPr>
          <w:p w:rsidR="00B174E2" w:rsidRPr="009C7A6F" w:rsidRDefault="00B174E2" w:rsidP="00B174E2">
            <w:pPr>
              <w:pStyle w:val="cuatexto"/>
              <w:ind w:left="55"/>
              <w:jc w:val="right"/>
            </w:pP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2" w:space="0" w:color="auto"/>
            </w:tcBorders>
            <w:vAlign w:val="center"/>
          </w:tcPr>
          <w:p w:rsidR="00B174E2" w:rsidRPr="009C7A6F" w:rsidRDefault="00B174E2" w:rsidP="00B174E2">
            <w:pPr>
              <w:pStyle w:val="cuatexto"/>
              <w:jc w:val="right"/>
            </w:pPr>
          </w:p>
        </w:tc>
      </w:tr>
      <w:tr w:rsidR="00B174E2" w:rsidRPr="009C7A6F" w:rsidTr="00687EB6">
        <w:trPr>
          <w:trHeight w:val="198"/>
        </w:trPr>
        <w:tc>
          <w:tcPr>
            <w:tcW w:w="3544" w:type="dxa"/>
            <w:tcBorders>
              <w:top w:val="single" w:sz="2" w:space="0" w:color="auto"/>
              <w:bottom w:val="single" w:sz="2" w:space="0" w:color="auto"/>
            </w:tcBorders>
            <w:vAlign w:val="center"/>
          </w:tcPr>
          <w:p w:rsidR="00B174E2" w:rsidRPr="009C7A6F" w:rsidRDefault="00B174E2" w:rsidP="00B174E2">
            <w:pPr>
              <w:pStyle w:val="cuatexto"/>
              <w:jc w:val="left"/>
            </w:pPr>
            <w:r>
              <w:t>Funtzionamendua</w:t>
            </w:r>
          </w:p>
        </w:tc>
        <w:tc>
          <w:tcPr>
            <w:tcW w:w="463" w:type="dxa"/>
            <w:tcBorders>
              <w:top w:val="single" w:sz="2" w:space="0" w:color="auto"/>
              <w:bottom w:val="single" w:sz="2" w:space="0" w:color="auto"/>
            </w:tcBorders>
            <w:vAlign w:val="center"/>
          </w:tcPr>
          <w:p w:rsidR="00B174E2" w:rsidRPr="009C7A6F" w:rsidRDefault="00B174E2" w:rsidP="00B174E2">
            <w:pPr>
              <w:pStyle w:val="cuatexto"/>
              <w:jc w:val="right"/>
            </w:pPr>
            <w:r>
              <w:t>384.122</w:t>
            </w: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793" w:type="dxa"/>
            <w:tcBorders>
              <w:top w:val="single" w:sz="2" w:space="0" w:color="auto"/>
              <w:bottom w:val="single" w:sz="2"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2" w:space="0" w:color="auto"/>
            </w:tcBorders>
            <w:vAlign w:val="center"/>
          </w:tcPr>
          <w:p w:rsidR="00B174E2" w:rsidRPr="009C7A6F" w:rsidRDefault="00B174E2" w:rsidP="00B174E2">
            <w:pPr>
              <w:pStyle w:val="cuatexto"/>
              <w:jc w:val="right"/>
            </w:pPr>
          </w:p>
        </w:tc>
      </w:tr>
      <w:tr w:rsidR="00B174E2" w:rsidRPr="00B174E2" w:rsidTr="00687EB6">
        <w:trPr>
          <w:trHeight w:val="198"/>
        </w:trPr>
        <w:tc>
          <w:tcPr>
            <w:tcW w:w="3544" w:type="dxa"/>
            <w:tcBorders>
              <w:top w:val="single" w:sz="2" w:space="0" w:color="auto"/>
              <w:bottom w:val="single" w:sz="2" w:space="0" w:color="auto"/>
            </w:tcBorders>
            <w:vAlign w:val="center"/>
          </w:tcPr>
          <w:p w:rsidR="00B174E2" w:rsidRPr="00B174E2" w:rsidRDefault="00B174E2" w:rsidP="00B174E2">
            <w:pPr>
              <w:pStyle w:val="cuatexto"/>
              <w:jc w:val="left"/>
              <w:rPr>
                <w:rFonts w:ascii="Arial" w:hAnsi="Arial" w:cs="Arial"/>
                <w:sz w:val="18"/>
                <w:szCs w:val="18"/>
              </w:rPr>
            </w:pPr>
            <w:proofErr w:type="spellStart"/>
            <w:r>
              <w:rPr>
                <w:rFonts w:ascii="Arial" w:hAnsi="Arial"/>
                <w:sz w:val="18"/>
                <w:szCs w:val="18"/>
              </w:rPr>
              <w:t>Navarrabiomedek</w:t>
            </w:r>
            <w:proofErr w:type="spellEnd"/>
            <w:r>
              <w:rPr>
                <w:rFonts w:ascii="Arial" w:hAnsi="Arial"/>
                <w:sz w:val="18"/>
                <w:szCs w:val="18"/>
              </w:rPr>
              <w:t xml:space="preserve"> ordaindut</w:t>
            </w:r>
            <w:r>
              <w:rPr>
                <w:rFonts w:ascii="Arial" w:hAnsi="Arial"/>
                <w:sz w:val="18"/>
                <w:szCs w:val="18"/>
              </w:rPr>
              <w:t>a</w:t>
            </w:r>
            <w:r>
              <w:rPr>
                <w:rFonts w:ascii="Arial" w:hAnsi="Arial"/>
                <w:sz w:val="18"/>
                <w:szCs w:val="18"/>
              </w:rPr>
              <w:t>koak, guztira</w:t>
            </w:r>
          </w:p>
        </w:tc>
        <w:tc>
          <w:tcPr>
            <w:tcW w:w="46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1.821.511</w:t>
            </w:r>
          </w:p>
        </w:tc>
        <w:tc>
          <w:tcPr>
            <w:tcW w:w="179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985.000</w:t>
            </w:r>
          </w:p>
        </w:tc>
        <w:tc>
          <w:tcPr>
            <w:tcW w:w="1793"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299.105</w:t>
            </w:r>
          </w:p>
        </w:tc>
        <w:tc>
          <w:tcPr>
            <w:tcW w:w="1196" w:type="dxa"/>
            <w:tcBorders>
              <w:top w:val="single" w:sz="2" w:space="0" w:color="auto"/>
              <w:bottom w:val="single" w:sz="2" w:space="0" w:color="auto"/>
            </w:tcBorders>
            <w:vAlign w:val="center"/>
          </w:tcPr>
          <w:p w:rsidR="00B174E2" w:rsidRPr="00B174E2" w:rsidRDefault="00B174E2" w:rsidP="00B174E2">
            <w:pPr>
              <w:pStyle w:val="cuatexto"/>
              <w:jc w:val="right"/>
              <w:rPr>
                <w:rFonts w:ascii="Arial" w:hAnsi="Arial" w:cs="Arial"/>
                <w:sz w:val="18"/>
                <w:szCs w:val="18"/>
              </w:rPr>
            </w:pPr>
            <w:r>
              <w:rPr>
                <w:rFonts w:ascii="Arial" w:hAnsi="Arial"/>
                <w:sz w:val="18"/>
                <w:szCs w:val="18"/>
              </w:rPr>
              <w:t>-537.406</w:t>
            </w:r>
          </w:p>
        </w:tc>
      </w:tr>
      <w:tr w:rsidR="00B174E2" w:rsidRPr="009C7A6F" w:rsidTr="00726A18">
        <w:trPr>
          <w:trHeight w:val="198"/>
        </w:trPr>
        <w:tc>
          <w:tcPr>
            <w:tcW w:w="3544" w:type="dxa"/>
            <w:tcBorders>
              <w:top w:val="single" w:sz="2" w:space="0" w:color="auto"/>
              <w:bottom w:val="single" w:sz="4" w:space="0" w:color="auto"/>
            </w:tcBorders>
            <w:vAlign w:val="center"/>
          </w:tcPr>
          <w:p w:rsidR="00B174E2" w:rsidRPr="009C7A6F" w:rsidRDefault="00B174E2" w:rsidP="00B174E2">
            <w:pPr>
              <w:pStyle w:val="cuatexto"/>
              <w:jc w:val="left"/>
            </w:pPr>
            <w:r>
              <w:t xml:space="preserve">Funtzionamendua. </w:t>
            </w:r>
            <w:proofErr w:type="spellStart"/>
            <w:r>
              <w:t>O-NOZek</w:t>
            </w:r>
            <w:proofErr w:type="spellEnd"/>
            <w:r>
              <w:t xml:space="preserve"> ordai</w:t>
            </w:r>
            <w:r>
              <w:t>n</w:t>
            </w:r>
            <w:r>
              <w:t>dutakoak</w:t>
            </w:r>
          </w:p>
        </w:tc>
        <w:tc>
          <w:tcPr>
            <w:tcW w:w="463" w:type="dxa"/>
            <w:tcBorders>
              <w:top w:val="single" w:sz="2" w:space="0" w:color="auto"/>
              <w:bottom w:val="single" w:sz="4" w:space="0" w:color="auto"/>
            </w:tcBorders>
            <w:vAlign w:val="center"/>
          </w:tcPr>
          <w:p w:rsidR="00B174E2" w:rsidRPr="009C7A6F" w:rsidRDefault="00B174E2" w:rsidP="00B174E2">
            <w:pPr>
              <w:pStyle w:val="cuatexto"/>
              <w:jc w:val="right"/>
            </w:pPr>
            <w:r>
              <w:t>142.675</w:t>
            </w:r>
          </w:p>
        </w:tc>
        <w:tc>
          <w:tcPr>
            <w:tcW w:w="1793" w:type="dxa"/>
            <w:tcBorders>
              <w:top w:val="single" w:sz="2" w:space="0" w:color="auto"/>
              <w:bottom w:val="single" w:sz="4" w:space="0" w:color="auto"/>
            </w:tcBorders>
            <w:vAlign w:val="center"/>
          </w:tcPr>
          <w:p w:rsidR="00B174E2" w:rsidRPr="009C7A6F" w:rsidRDefault="00B174E2" w:rsidP="00B174E2">
            <w:pPr>
              <w:pStyle w:val="cuatexto"/>
              <w:jc w:val="right"/>
            </w:pPr>
            <w:r>
              <w:t>142.675</w:t>
            </w:r>
          </w:p>
        </w:tc>
        <w:tc>
          <w:tcPr>
            <w:tcW w:w="1793" w:type="dxa"/>
            <w:tcBorders>
              <w:top w:val="single" w:sz="2" w:space="0" w:color="auto"/>
              <w:bottom w:val="single" w:sz="4" w:space="0" w:color="auto"/>
            </w:tcBorders>
            <w:vAlign w:val="center"/>
          </w:tcPr>
          <w:p w:rsidR="00B174E2" w:rsidRPr="009C7A6F" w:rsidRDefault="00B174E2" w:rsidP="00B174E2">
            <w:pPr>
              <w:pStyle w:val="cuatexto"/>
              <w:jc w:val="right"/>
            </w:pPr>
          </w:p>
        </w:tc>
        <w:tc>
          <w:tcPr>
            <w:tcW w:w="1196" w:type="dxa"/>
            <w:tcBorders>
              <w:top w:val="single" w:sz="2" w:space="0" w:color="auto"/>
              <w:bottom w:val="single" w:sz="4" w:space="0" w:color="auto"/>
            </w:tcBorders>
            <w:vAlign w:val="center"/>
          </w:tcPr>
          <w:p w:rsidR="00B174E2" w:rsidRPr="009C7A6F" w:rsidRDefault="00B174E2" w:rsidP="00B174E2">
            <w:pPr>
              <w:pStyle w:val="cuatexto"/>
              <w:jc w:val="right"/>
            </w:pPr>
            <w:r>
              <w:t>0</w:t>
            </w:r>
          </w:p>
        </w:tc>
      </w:tr>
      <w:tr w:rsidR="00B174E2" w:rsidRPr="009C7A6F" w:rsidTr="00F30E02">
        <w:trPr>
          <w:trHeight w:val="255"/>
        </w:trPr>
        <w:tc>
          <w:tcPr>
            <w:tcW w:w="3544" w:type="dxa"/>
            <w:shd w:val="clear" w:color="auto" w:fill="8DB3E2" w:themeFill="text2" w:themeFillTint="66"/>
            <w:vAlign w:val="center"/>
          </w:tcPr>
          <w:p w:rsidR="00B174E2" w:rsidRPr="009C7A6F" w:rsidRDefault="00B174E2" w:rsidP="00B174E2">
            <w:pPr>
              <w:pStyle w:val="cuadroCabe"/>
              <w:jc w:val="left"/>
            </w:pPr>
            <w:r>
              <w:t>Guztira</w:t>
            </w:r>
          </w:p>
        </w:tc>
        <w:tc>
          <w:tcPr>
            <w:tcW w:w="463" w:type="dxa"/>
            <w:shd w:val="clear" w:color="auto" w:fill="8DB3E2" w:themeFill="text2" w:themeFillTint="66"/>
            <w:vAlign w:val="center"/>
          </w:tcPr>
          <w:p w:rsidR="00B174E2" w:rsidRPr="009C7A6F" w:rsidRDefault="00B174E2" w:rsidP="00B174E2">
            <w:pPr>
              <w:pStyle w:val="cuadroCabe"/>
              <w:jc w:val="right"/>
            </w:pPr>
            <w:r>
              <w:t>1.964.186</w:t>
            </w:r>
          </w:p>
        </w:tc>
        <w:tc>
          <w:tcPr>
            <w:tcW w:w="1793" w:type="dxa"/>
            <w:shd w:val="clear" w:color="auto" w:fill="8DB3E2" w:themeFill="text2" w:themeFillTint="66"/>
            <w:vAlign w:val="center"/>
          </w:tcPr>
          <w:p w:rsidR="00B174E2" w:rsidRPr="009C7A6F" w:rsidRDefault="00B174E2" w:rsidP="00B174E2">
            <w:pPr>
              <w:pStyle w:val="cuadroCabe"/>
              <w:jc w:val="right"/>
            </w:pPr>
            <w:r>
              <w:t>1.127.675</w:t>
            </w:r>
          </w:p>
        </w:tc>
        <w:tc>
          <w:tcPr>
            <w:tcW w:w="1793" w:type="dxa"/>
            <w:shd w:val="clear" w:color="auto" w:fill="8DB3E2" w:themeFill="text2" w:themeFillTint="66"/>
            <w:vAlign w:val="center"/>
          </w:tcPr>
          <w:p w:rsidR="00B174E2" w:rsidRPr="009C7A6F" w:rsidRDefault="00B174E2" w:rsidP="00B174E2">
            <w:pPr>
              <w:pStyle w:val="cuadroCabe"/>
              <w:jc w:val="right"/>
            </w:pPr>
            <w:r>
              <w:t>299.105</w:t>
            </w:r>
          </w:p>
        </w:tc>
        <w:tc>
          <w:tcPr>
            <w:tcW w:w="1196" w:type="dxa"/>
            <w:shd w:val="clear" w:color="auto" w:fill="8DB3E2" w:themeFill="text2" w:themeFillTint="66"/>
            <w:vAlign w:val="center"/>
          </w:tcPr>
          <w:p w:rsidR="00B174E2" w:rsidRPr="009C7A6F" w:rsidRDefault="00B174E2" w:rsidP="00B174E2">
            <w:pPr>
              <w:pStyle w:val="cuadroCabe"/>
              <w:jc w:val="right"/>
            </w:pPr>
            <w:r>
              <w:t>-537.406</w:t>
            </w:r>
          </w:p>
        </w:tc>
      </w:tr>
    </w:tbl>
    <w:p w:rsidR="00EF1AFB" w:rsidRPr="009C7A6F" w:rsidRDefault="00EF1AFB" w:rsidP="00B174E2">
      <w:pPr>
        <w:pStyle w:val="texto"/>
        <w:spacing w:before="240" w:after="240"/>
      </w:pPr>
      <w:r>
        <w:t>Ikusten da 2015ean egiturarako finantzaketa ez dela nahikoa izan gastu h</w:t>
      </w:r>
      <w:r>
        <w:t>o</w:t>
      </w:r>
      <w:r>
        <w:t>riei aurre egiteko.</w:t>
      </w:r>
    </w:p>
    <w:p w:rsidR="00EF1AFB" w:rsidRDefault="00EF1AFB" w:rsidP="007D1427">
      <w:pPr>
        <w:pStyle w:val="texto"/>
        <w:spacing w:before="240" w:after="240"/>
      </w:pPr>
      <w:r>
        <w:rPr>
          <w:b/>
        </w:rPr>
        <w:t xml:space="preserve">11.a) </w:t>
      </w:r>
      <w:r>
        <w:t xml:space="preserve">2012-2015 aldian, Osasun Departamentuak honako gastu-zenbateko hauek izan ditu osasun ikerketaren arloa dela-eta: </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756"/>
        <w:gridCol w:w="352"/>
        <w:gridCol w:w="1750"/>
        <w:gridCol w:w="1823"/>
      </w:tblGrid>
      <w:tr w:rsidR="00DC79FA" w:rsidRPr="009C7A6F" w:rsidTr="00DC79FA">
        <w:trPr>
          <w:trHeight w:val="255"/>
        </w:trPr>
        <w:tc>
          <w:tcPr>
            <w:tcW w:w="4756" w:type="dxa"/>
            <w:shd w:val="clear" w:color="auto" w:fill="8DB3E2" w:themeFill="text2" w:themeFillTint="66"/>
            <w:vAlign w:val="center"/>
          </w:tcPr>
          <w:p w:rsidR="00DC79FA" w:rsidRPr="009C7A6F" w:rsidRDefault="00DC79FA" w:rsidP="00DC79FA">
            <w:pPr>
              <w:pStyle w:val="cuadroCabe"/>
              <w:jc w:val="left"/>
            </w:pPr>
            <w:r>
              <w:t>Kontzeptua</w:t>
            </w:r>
          </w:p>
        </w:tc>
        <w:tc>
          <w:tcPr>
            <w:tcW w:w="2102" w:type="dxa"/>
            <w:gridSpan w:val="2"/>
            <w:shd w:val="clear" w:color="auto" w:fill="8DB3E2" w:themeFill="text2" w:themeFillTint="66"/>
            <w:vAlign w:val="center"/>
          </w:tcPr>
          <w:p w:rsidR="00DC79FA" w:rsidRPr="009C7A6F" w:rsidRDefault="00DC79FA" w:rsidP="00DC79FA">
            <w:pPr>
              <w:pStyle w:val="cuadroCabe"/>
              <w:jc w:val="right"/>
            </w:pPr>
            <w:r>
              <w:t>Zenbatekoa (milioiak)</w:t>
            </w:r>
          </w:p>
        </w:tc>
        <w:tc>
          <w:tcPr>
            <w:tcW w:w="1823" w:type="dxa"/>
            <w:shd w:val="clear" w:color="auto" w:fill="8DB3E2" w:themeFill="text2" w:themeFillTint="66"/>
            <w:vAlign w:val="center"/>
          </w:tcPr>
          <w:p w:rsidR="00DC79FA" w:rsidRPr="009C7A6F" w:rsidRDefault="00DC79FA" w:rsidP="007D1427">
            <w:pPr>
              <w:pStyle w:val="cuadroCabe"/>
              <w:jc w:val="right"/>
            </w:pPr>
            <w:r>
              <w:t>Ehunekoa</w:t>
            </w:r>
          </w:p>
        </w:tc>
      </w:tr>
      <w:tr w:rsidR="00DC79FA" w:rsidRPr="009C7A6F" w:rsidTr="00DC79FA">
        <w:trPr>
          <w:trHeight w:val="198"/>
        </w:trPr>
        <w:tc>
          <w:tcPr>
            <w:tcW w:w="5108" w:type="dxa"/>
            <w:gridSpan w:val="2"/>
            <w:tcBorders>
              <w:bottom w:val="single" w:sz="2" w:space="0" w:color="auto"/>
            </w:tcBorders>
            <w:vAlign w:val="center"/>
          </w:tcPr>
          <w:p w:rsidR="00DC79FA" w:rsidRPr="009C7A6F" w:rsidRDefault="00DC79FA" w:rsidP="00DC79FA">
            <w:pPr>
              <w:pStyle w:val="cuatexto"/>
              <w:jc w:val="left"/>
            </w:pPr>
            <w:r>
              <w:t>Departamentuaren 2012-2015 aldiko gastuak, guztira</w:t>
            </w:r>
          </w:p>
        </w:tc>
        <w:tc>
          <w:tcPr>
            <w:tcW w:w="1750" w:type="dxa"/>
            <w:tcBorders>
              <w:bottom w:val="single" w:sz="2" w:space="0" w:color="auto"/>
            </w:tcBorders>
            <w:vAlign w:val="center"/>
          </w:tcPr>
          <w:p w:rsidR="00DC79FA" w:rsidRPr="009C7A6F" w:rsidRDefault="00DC79FA" w:rsidP="00DC79FA">
            <w:pPr>
              <w:pStyle w:val="cuatexto"/>
              <w:jc w:val="right"/>
            </w:pPr>
            <w:r>
              <w:t>3.710</w:t>
            </w:r>
          </w:p>
        </w:tc>
        <w:tc>
          <w:tcPr>
            <w:tcW w:w="1823" w:type="dxa"/>
            <w:tcBorders>
              <w:bottom w:val="single" w:sz="2" w:space="0" w:color="auto"/>
            </w:tcBorders>
            <w:vAlign w:val="center"/>
          </w:tcPr>
          <w:p w:rsidR="00DC79FA" w:rsidRPr="009C7A6F" w:rsidRDefault="00DC79FA" w:rsidP="00DC79FA">
            <w:pPr>
              <w:pStyle w:val="cuatexto"/>
              <w:jc w:val="right"/>
            </w:pPr>
          </w:p>
        </w:tc>
      </w:tr>
      <w:tr w:rsidR="00DC79FA" w:rsidRPr="00DC79FA" w:rsidTr="00234A87">
        <w:trPr>
          <w:trHeight w:val="198"/>
        </w:trPr>
        <w:tc>
          <w:tcPr>
            <w:tcW w:w="5108" w:type="dxa"/>
            <w:gridSpan w:val="2"/>
            <w:tcBorders>
              <w:top w:val="single" w:sz="2" w:space="0" w:color="auto"/>
              <w:bottom w:val="single" w:sz="2" w:space="0" w:color="auto"/>
            </w:tcBorders>
            <w:vAlign w:val="center"/>
          </w:tcPr>
          <w:p w:rsidR="00DC79FA" w:rsidRPr="00DC79FA" w:rsidRDefault="00DC79FA" w:rsidP="00DC79FA">
            <w:pPr>
              <w:pStyle w:val="cuatexto"/>
              <w:jc w:val="left"/>
              <w:rPr>
                <w:szCs w:val="20"/>
              </w:rPr>
            </w:pPr>
            <w:r>
              <w:t>Ikerketarekin lotutako programak*</w:t>
            </w:r>
          </w:p>
        </w:tc>
        <w:tc>
          <w:tcPr>
            <w:tcW w:w="1750" w:type="dxa"/>
            <w:tcBorders>
              <w:top w:val="single" w:sz="2" w:space="0" w:color="auto"/>
              <w:bottom w:val="single" w:sz="2" w:space="0" w:color="auto"/>
            </w:tcBorders>
            <w:vAlign w:val="center"/>
          </w:tcPr>
          <w:p w:rsidR="00DC79FA" w:rsidRPr="00DC79FA" w:rsidRDefault="00DC79FA" w:rsidP="00DC79FA">
            <w:pPr>
              <w:pStyle w:val="cuatexto"/>
              <w:jc w:val="right"/>
              <w:rPr>
                <w:szCs w:val="20"/>
              </w:rPr>
            </w:pPr>
            <w:r>
              <w:t>12,9</w:t>
            </w:r>
          </w:p>
        </w:tc>
        <w:tc>
          <w:tcPr>
            <w:tcW w:w="1823" w:type="dxa"/>
            <w:tcBorders>
              <w:top w:val="single" w:sz="2" w:space="0" w:color="auto"/>
              <w:bottom w:val="single" w:sz="2" w:space="0" w:color="auto"/>
            </w:tcBorders>
            <w:vAlign w:val="center"/>
          </w:tcPr>
          <w:p w:rsidR="00DC79FA" w:rsidRPr="00DC79FA" w:rsidRDefault="00DC79FA" w:rsidP="00DC79FA">
            <w:pPr>
              <w:pStyle w:val="cuatexto"/>
              <w:jc w:val="right"/>
              <w:rPr>
                <w:szCs w:val="20"/>
              </w:rPr>
            </w:pPr>
            <w:r>
              <w:t>0,35</w:t>
            </w:r>
          </w:p>
        </w:tc>
      </w:tr>
      <w:tr w:rsidR="00DC79FA" w:rsidRPr="009C7A6F" w:rsidTr="00B278C5">
        <w:trPr>
          <w:trHeight w:val="198"/>
        </w:trPr>
        <w:tc>
          <w:tcPr>
            <w:tcW w:w="5108" w:type="dxa"/>
            <w:gridSpan w:val="2"/>
            <w:tcBorders>
              <w:top w:val="single" w:sz="2" w:space="0" w:color="auto"/>
              <w:bottom w:val="single" w:sz="4" w:space="0" w:color="auto"/>
            </w:tcBorders>
            <w:vAlign w:val="center"/>
          </w:tcPr>
          <w:p w:rsidR="00DC79FA" w:rsidRPr="009C7A6F" w:rsidRDefault="00DC79FA" w:rsidP="00DC79FA">
            <w:pPr>
              <w:pStyle w:val="cuatexto"/>
              <w:jc w:val="left"/>
            </w:pPr>
            <w:r>
              <w:t xml:space="preserve">Berezko ikerketa </w:t>
            </w:r>
          </w:p>
        </w:tc>
        <w:tc>
          <w:tcPr>
            <w:tcW w:w="1750" w:type="dxa"/>
            <w:tcBorders>
              <w:top w:val="single" w:sz="2" w:space="0" w:color="auto"/>
              <w:bottom w:val="single" w:sz="4" w:space="0" w:color="auto"/>
            </w:tcBorders>
            <w:vAlign w:val="center"/>
          </w:tcPr>
          <w:p w:rsidR="00DC79FA" w:rsidRPr="009C7A6F" w:rsidRDefault="00DC79FA" w:rsidP="00DC79FA">
            <w:pPr>
              <w:pStyle w:val="cuatexto"/>
              <w:jc w:val="right"/>
            </w:pPr>
            <w:r>
              <w:t>4,9</w:t>
            </w:r>
          </w:p>
        </w:tc>
        <w:tc>
          <w:tcPr>
            <w:tcW w:w="1823" w:type="dxa"/>
            <w:tcBorders>
              <w:top w:val="single" w:sz="2" w:space="0" w:color="auto"/>
              <w:bottom w:val="single" w:sz="4" w:space="0" w:color="auto"/>
            </w:tcBorders>
            <w:vAlign w:val="center"/>
          </w:tcPr>
          <w:p w:rsidR="00DC79FA" w:rsidRPr="009C7A6F" w:rsidRDefault="00DC79FA" w:rsidP="00DC79FA">
            <w:pPr>
              <w:pStyle w:val="cuatexto"/>
              <w:jc w:val="right"/>
            </w:pPr>
            <w:r>
              <w:t>0,13</w:t>
            </w:r>
          </w:p>
        </w:tc>
      </w:tr>
    </w:tbl>
    <w:p w:rsidR="00EF1AFB" w:rsidRPr="009C7A6F" w:rsidRDefault="00EF1AFB" w:rsidP="00DC79FA">
      <w:pPr>
        <w:tabs>
          <w:tab w:val="left" w:pos="480"/>
          <w:tab w:val="num" w:pos="560"/>
          <w:tab w:val="num" w:pos="600"/>
          <w:tab w:val="num" w:pos="720"/>
        </w:tabs>
        <w:spacing w:before="60" w:after="280"/>
        <w:ind w:left="142" w:firstLine="0"/>
        <w:rPr>
          <w:rFonts w:ascii="Arial" w:hAnsi="Arial" w:cs="Arial"/>
          <w:spacing w:val="6"/>
        </w:rPr>
      </w:pPr>
      <w:r>
        <w:rPr>
          <w:rFonts w:ascii="Arial" w:hAnsi="Arial"/>
        </w:rPr>
        <w:t xml:space="preserve">* </w:t>
      </w:r>
      <w:r>
        <w:rPr>
          <w:rFonts w:ascii="Arial" w:hAnsi="Arial"/>
          <w:sz w:val="16"/>
          <w:szCs w:val="16"/>
        </w:rPr>
        <w:t>Zentroaren eraikuntza kontuan hartu gabe</w:t>
      </w:r>
    </w:p>
    <w:p w:rsidR="00EF1AFB" w:rsidRPr="009C7A6F" w:rsidRDefault="00EF1AFB" w:rsidP="00DC79FA">
      <w:pPr>
        <w:pStyle w:val="texto"/>
      </w:pPr>
      <w:r>
        <w:t>Gainera, kontuan hartu beharra dago Industria Departamentuaren Plan Te</w:t>
      </w:r>
      <w:r>
        <w:t>k</w:t>
      </w:r>
      <w:r>
        <w:t xml:space="preserve">nologikoaren zenbateko batzuk osasun-ikerketarakoak izan daitezkeela. Plan Teknologikoaren guztizko gastua 83,3 milioikoa da aipatutako aldian. Miguel </w:t>
      </w:r>
      <w:proofErr w:type="spellStart"/>
      <w:r>
        <w:t>Servet</w:t>
      </w:r>
      <w:proofErr w:type="spellEnd"/>
      <w:r>
        <w:t xml:space="preserve"> Fundazioak 99.205 euro jaso ditu 2012-2015 aldian.</w:t>
      </w:r>
    </w:p>
    <w:p w:rsidR="00EF1AFB" w:rsidRPr="00917563" w:rsidRDefault="00EF1AFB" w:rsidP="00585FA1">
      <w:pPr>
        <w:pStyle w:val="atitulo3"/>
        <w:spacing w:before="240"/>
      </w:pPr>
      <w:r>
        <w:t xml:space="preserve">Miguel </w:t>
      </w:r>
      <w:proofErr w:type="spellStart"/>
      <w:r>
        <w:t>Servet-Navarrabiomed</w:t>
      </w:r>
      <w:proofErr w:type="spellEnd"/>
      <w:r>
        <w:t xml:space="preserve"> Fundazioaren jarduera</w:t>
      </w:r>
    </w:p>
    <w:p w:rsidR="00EF1AFB" w:rsidRPr="009C7A6F" w:rsidRDefault="00EF1AFB" w:rsidP="00585FA1">
      <w:pPr>
        <w:pStyle w:val="texto"/>
        <w:spacing w:before="240" w:after="240"/>
      </w:pPr>
      <w:r>
        <w:rPr>
          <w:b/>
          <w:szCs w:val="26"/>
        </w:rPr>
        <w:t>12.a)</w:t>
      </w:r>
      <w:r>
        <w:t xml:space="preserve"> Bere jarduera egiteko, 2015ean, Fundazioak lanaldi osoko 108 eta 66 langile baliokide bitarte izan ditu.</w:t>
      </w:r>
    </w:p>
    <w:p w:rsidR="00EF1AFB" w:rsidRPr="009C7A6F" w:rsidRDefault="00EF1AFB" w:rsidP="00DC79FA">
      <w:pPr>
        <w:pStyle w:val="texto"/>
      </w:pPr>
      <w:r>
        <w:t>Abenduaren 31n honako hauek ziren fundazioan lan egiten zuten pertsonak:</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7538"/>
        <w:gridCol w:w="1251"/>
      </w:tblGrid>
      <w:tr w:rsidR="00EF1AFB" w:rsidRPr="009C7A6F" w:rsidTr="00B278C5">
        <w:trPr>
          <w:trHeight w:val="255"/>
        </w:trPr>
        <w:tc>
          <w:tcPr>
            <w:tcW w:w="7513" w:type="dxa"/>
            <w:shd w:val="clear" w:color="auto" w:fill="8DB3E2" w:themeFill="text2" w:themeFillTint="66"/>
            <w:vAlign w:val="center"/>
          </w:tcPr>
          <w:p w:rsidR="00EF1AFB" w:rsidRPr="009C7A6F" w:rsidRDefault="00EF1AFB" w:rsidP="00DC79FA">
            <w:pPr>
              <w:pStyle w:val="cuadroCabe"/>
            </w:pPr>
            <w:r>
              <w:t>Kontzeptua</w:t>
            </w:r>
          </w:p>
        </w:tc>
        <w:tc>
          <w:tcPr>
            <w:tcW w:w="1247" w:type="dxa"/>
            <w:shd w:val="clear" w:color="auto" w:fill="8DB3E2" w:themeFill="text2" w:themeFillTint="66"/>
            <w:vAlign w:val="center"/>
          </w:tcPr>
          <w:p w:rsidR="00EF1AFB" w:rsidRPr="009C7A6F" w:rsidRDefault="00EF1AFB" w:rsidP="00B278C5">
            <w:pPr>
              <w:pStyle w:val="cuadroCabe"/>
              <w:ind w:left="-138"/>
              <w:jc w:val="right"/>
              <w:rPr>
                <w:bCs/>
                <w:color w:val="000000"/>
                <w:szCs w:val="18"/>
              </w:rPr>
            </w:pPr>
            <w:r>
              <w:rPr>
                <w:bCs/>
                <w:color w:val="000000"/>
                <w:szCs w:val="18"/>
              </w:rPr>
              <w:t>Pertsona-kopurua</w:t>
            </w:r>
          </w:p>
        </w:tc>
      </w:tr>
      <w:tr w:rsidR="00EF1AFB" w:rsidRPr="009C7A6F" w:rsidTr="00B278C5">
        <w:trPr>
          <w:trHeight w:val="198"/>
        </w:trPr>
        <w:tc>
          <w:tcPr>
            <w:tcW w:w="7513" w:type="dxa"/>
            <w:tcBorders>
              <w:bottom w:val="single" w:sz="2" w:space="0" w:color="auto"/>
            </w:tcBorders>
            <w:vAlign w:val="center"/>
          </w:tcPr>
          <w:p w:rsidR="00EF1AFB" w:rsidRPr="009C7A6F" w:rsidRDefault="00EF1AFB" w:rsidP="00DC79FA">
            <w:pPr>
              <w:pStyle w:val="cuatexto"/>
            </w:pPr>
            <w:r>
              <w:t>Zuzendaritza</w:t>
            </w:r>
          </w:p>
        </w:tc>
        <w:tc>
          <w:tcPr>
            <w:tcW w:w="1247" w:type="dxa"/>
            <w:tcBorders>
              <w:bottom w:val="single" w:sz="2" w:space="0" w:color="auto"/>
            </w:tcBorders>
            <w:vAlign w:val="center"/>
          </w:tcPr>
          <w:p w:rsidR="00EF1AFB" w:rsidRPr="009C7A6F" w:rsidRDefault="00EF1AFB" w:rsidP="00DC79FA">
            <w:pPr>
              <w:pStyle w:val="cuatexto"/>
              <w:jc w:val="right"/>
              <w:rPr>
                <w:rFonts w:ascii="Arial" w:hAnsi="Arial"/>
                <w:bCs/>
                <w:color w:val="000000"/>
                <w:sz w:val="18"/>
                <w:szCs w:val="18"/>
              </w:rPr>
            </w:pPr>
            <w:r>
              <w:rPr>
                <w:rFonts w:ascii="Arial" w:hAnsi="Arial"/>
                <w:bCs/>
                <w:color w:val="000000"/>
                <w:sz w:val="18"/>
                <w:szCs w:val="18"/>
              </w:rPr>
              <w:t>2</w:t>
            </w:r>
          </w:p>
        </w:tc>
      </w:tr>
      <w:tr w:rsidR="00EF1AFB" w:rsidRPr="009C7A6F" w:rsidTr="00B278C5">
        <w:trPr>
          <w:trHeight w:val="198"/>
        </w:trPr>
        <w:tc>
          <w:tcPr>
            <w:tcW w:w="7513" w:type="dxa"/>
            <w:tcBorders>
              <w:top w:val="single" w:sz="2" w:space="0" w:color="auto"/>
              <w:bottom w:val="single" w:sz="2" w:space="0" w:color="auto"/>
            </w:tcBorders>
            <w:vAlign w:val="center"/>
          </w:tcPr>
          <w:p w:rsidR="00EF1AFB" w:rsidRPr="009C7A6F" w:rsidRDefault="00EF1AFB" w:rsidP="00DC79FA">
            <w:pPr>
              <w:pStyle w:val="cuatexto"/>
            </w:pPr>
            <w:r>
              <w:t>Administrazioa, proiektuen kudeaketa, metodologia, komunikazioa, plataformak eta ikertzaile berekiak</w:t>
            </w:r>
          </w:p>
        </w:tc>
        <w:tc>
          <w:tcPr>
            <w:tcW w:w="1247" w:type="dxa"/>
            <w:tcBorders>
              <w:top w:val="single" w:sz="2" w:space="0" w:color="auto"/>
              <w:bottom w:val="single" w:sz="2" w:space="0" w:color="auto"/>
            </w:tcBorders>
            <w:vAlign w:val="center"/>
          </w:tcPr>
          <w:p w:rsidR="00EF1AFB" w:rsidRPr="009C7A6F" w:rsidRDefault="00EF1AFB" w:rsidP="00DC79FA">
            <w:pPr>
              <w:pStyle w:val="cuatexto"/>
              <w:jc w:val="right"/>
              <w:rPr>
                <w:rFonts w:ascii="Arial" w:hAnsi="Arial"/>
                <w:bCs/>
                <w:color w:val="000000"/>
                <w:sz w:val="18"/>
                <w:szCs w:val="18"/>
              </w:rPr>
            </w:pPr>
            <w:r>
              <w:rPr>
                <w:rFonts w:ascii="Arial" w:hAnsi="Arial"/>
                <w:bCs/>
                <w:color w:val="000000"/>
                <w:sz w:val="18"/>
                <w:szCs w:val="18"/>
              </w:rPr>
              <w:t>40</w:t>
            </w:r>
          </w:p>
        </w:tc>
      </w:tr>
      <w:tr w:rsidR="00EF1AFB" w:rsidRPr="00585FA1" w:rsidTr="00B278C5">
        <w:trPr>
          <w:trHeight w:val="198"/>
        </w:trPr>
        <w:tc>
          <w:tcPr>
            <w:tcW w:w="7513" w:type="dxa"/>
            <w:tcBorders>
              <w:top w:val="single" w:sz="2" w:space="0" w:color="auto"/>
              <w:bottom w:val="single" w:sz="2" w:space="0" w:color="auto"/>
            </w:tcBorders>
            <w:vAlign w:val="center"/>
          </w:tcPr>
          <w:p w:rsidR="00EF1AFB" w:rsidRPr="00585FA1" w:rsidRDefault="00EF1AFB" w:rsidP="00DC79FA">
            <w:pPr>
              <w:pStyle w:val="cuatexto"/>
              <w:rPr>
                <w:rFonts w:ascii="Arial" w:hAnsi="Arial" w:cs="Arial"/>
                <w:sz w:val="19"/>
                <w:szCs w:val="19"/>
              </w:rPr>
            </w:pPr>
            <w:r>
              <w:rPr>
                <w:rFonts w:ascii="Arial" w:hAnsi="Arial"/>
                <w:sz w:val="19"/>
                <w:szCs w:val="19"/>
              </w:rPr>
              <w:t>Egituraren guztizkoa, honaino</w:t>
            </w:r>
          </w:p>
        </w:tc>
        <w:tc>
          <w:tcPr>
            <w:tcW w:w="1247" w:type="dxa"/>
            <w:tcBorders>
              <w:top w:val="single" w:sz="2" w:space="0" w:color="auto"/>
              <w:bottom w:val="single" w:sz="2" w:space="0" w:color="auto"/>
            </w:tcBorders>
            <w:vAlign w:val="center"/>
          </w:tcPr>
          <w:p w:rsidR="00EF1AFB" w:rsidRPr="00585FA1" w:rsidRDefault="00EF1AFB" w:rsidP="00DC79FA">
            <w:pPr>
              <w:pStyle w:val="cuatexto"/>
              <w:jc w:val="right"/>
              <w:rPr>
                <w:rFonts w:ascii="Arial" w:hAnsi="Arial" w:cs="Arial"/>
                <w:bCs/>
                <w:color w:val="000000"/>
                <w:sz w:val="19"/>
                <w:szCs w:val="19"/>
              </w:rPr>
            </w:pPr>
            <w:r>
              <w:rPr>
                <w:rFonts w:ascii="Arial" w:hAnsi="Arial"/>
                <w:bCs/>
                <w:color w:val="000000"/>
                <w:sz w:val="19"/>
                <w:szCs w:val="19"/>
              </w:rPr>
              <w:t>42</w:t>
            </w:r>
          </w:p>
        </w:tc>
      </w:tr>
      <w:tr w:rsidR="00EF1AFB" w:rsidRPr="009C7A6F" w:rsidTr="00B278C5">
        <w:trPr>
          <w:trHeight w:val="198"/>
        </w:trPr>
        <w:tc>
          <w:tcPr>
            <w:tcW w:w="7513" w:type="dxa"/>
            <w:tcBorders>
              <w:top w:val="single" w:sz="2" w:space="0" w:color="auto"/>
            </w:tcBorders>
            <w:vAlign w:val="center"/>
          </w:tcPr>
          <w:p w:rsidR="00EF1AFB" w:rsidRPr="009C7A6F" w:rsidRDefault="00EF1AFB" w:rsidP="00DC79FA">
            <w:pPr>
              <w:pStyle w:val="cuatexto"/>
            </w:pPr>
            <w:r>
              <w:t>Proiektu jakin batzuetarako ikertzaileak eta bestelako kontratatuak, proiektu hauen bidez finantzatuak</w:t>
            </w:r>
          </w:p>
        </w:tc>
        <w:tc>
          <w:tcPr>
            <w:tcW w:w="1247" w:type="dxa"/>
            <w:tcBorders>
              <w:top w:val="single" w:sz="2" w:space="0" w:color="auto"/>
            </w:tcBorders>
            <w:vAlign w:val="center"/>
          </w:tcPr>
          <w:p w:rsidR="00EF1AFB" w:rsidRPr="009C7A6F" w:rsidRDefault="00EF1AFB" w:rsidP="00DC79FA">
            <w:pPr>
              <w:pStyle w:val="cuatexto"/>
              <w:jc w:val="right"/>
              <w:rPr>
                <w:rFonts w:ascii="Arial" w:hAnsi="Arial"/>
                <w:bCs/>
                <w:color w:val="000000"/>
                <w:sz w:val="18"/>
                <w:szCs w:val="18"/>
              </w:rPr>
            </w:pPr>
            <w:r>
              <w:rPr>
                <w:rFonts w:ascii="Arial" w:hAnsi="Arial"/>
                <w:bCs/>
                <w:color w:val="000000"/>
                <w:sz w:val="18"/>
                <w:szCs w:val="18"/>
              </w:rPr>
              <w:t>33</w:t>
            </w:r>
          </w:p>
        </w:tc>
      </w:tr>
      <w:tr w:rsidR="00EF1AFB" w:rsidRPr="009C7A6F" w:rsidTr="00B278C5">
        <w:trPr>
          <w:trHeight w:val="255"/>
        </w:trPr>
        <w:tc>
          <w:tcPr>
            <w:tcW w:w="7513" w:type="dxa"/>
            <w:shd w:val="clear" w:color="auto" w:fill="8DB3E2" w:themeFill="text2" w:themeFillTint="66"/>
            <w:vAlign w:val="center"/>
          </w:tcPr>
          <w:p w:rsidR="00EF1AFB" w:rsidRPr="009C7A6F" w:rsidRDefault="00EF1AFB" w:rsidP="00DC79FA">
            <w:pPr>
              <w:pStyle w:val="cuadroCabe"/>
            </w:pPr>
            <w:r>
              <w:t>Guztira</w:t>
            </w:r>
          </w:p>
        </w:tc>
        <w:tc>
          <w:tcPr>
            <w:tcW w:w="1247" w:type="dxa"/>
            <w:shd w:val="clear" w:color="auto" w:fill="8DB3E2" w:themeFill="text2" w:themeFillTint="66"/>
            <w:vAlign w:val="center"/>
          </w:tcPr>
          <w:p w:rsidR="00EF1AFB" w:rsidRPr="009C7A6F" w:rsidRDefault="00EF1AFB" w:rsidP="00DC79FA">
            <w:pPr>
              <w:pStyle w:val="cuadroCabe"/>
              <w:jc w:val="right"/>
              <w:rPr>
                <w:bCs/>
                <w:color w:val="000000"/>
              </w:rPr>
            </w:pPr>
            <w:r>
              <w:rPr>
                <w:bCs/>
                <w:color w:val="000000"/>
              </w:rPr>
              <w:t>75</w:t>
            </w:r>
          </w:p>
        </w:tc>
      </w:tr>
    </w:tbl>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sz w:val="26"/>
          <w:szCs w:val="24"/>
        </w:rPr>
        <w:t xml:space="preserve">Gainera, fundazioaren esparruan </w:t>
      </w:r>
      <w:proofErr w:type="spellStart"/>
      <w:r>
        <w:rPr>
          <w:sz w:val="26"/>
          <w:szCs w:val="24"/>
        </w:rPr>
        <w:t>Osasunbidea-Nafarroako</w:t>
      </w:r>
      <w:proofErr w:type="spellEnd"/>
      <w:r>
        <w:rPr>
          <w:sz w:val="26"/>
          <w:szCs w:val="24"/>
        </w:rPr>
        <w:t xml:space="preserve"> Osasun Zerbitzuko l</w:t>
      </w:r>
      <w:r>
        <w:rPr>
          <w:sz w:val="26"/>
          <w:szCs w:val="24"/>
        </w:rPr>
        <w:t>a</w:t>
      </w:r>
      <w:r>
        <w:rPr>
          <w:sz w:val="26"/>
          <w:szCs w:val="24"/>
        </w:rPr>
        <w:t>guntzako langile batzuek egiten dute lan, zeinek ikerketa-proiektuak egiten bait</w:t>
      </w:r>
      <w:r>
        <w:rPr>
          <w:sz w:val="26"/>
          <w:szCs w:val="24"/>
        </w:rPr>
        <w:t>i</w:t>
      </w:r>
      <w:r>
        <w:rPr>
          <w:sz w:val="26"/>
          <w:szCs w:val="24"/>
        </w:rPr>
        <w:t>tuzte fundaziokoak izan gabe: 256 inguru ziren arduraldi-maila desberdinekin.</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sz w:val="26"/>
          <w:szCs w:val="24"/>
        </w:rPr>
        <w:lastRenderedPageBreak/>
        <w:t xml:space="preserve">2009tik 2015era, </w:t>
      </w:r>
      <w:proofErr w:type="spellStart"/>
      <w:r>
        <w:rPr>
          <w:sz w:val="26"/>
          <w:szCs w:val="24"/>
        </w:rPr>
        <w:t>Osasunbidea-Nafarroako</w:t>
      </w:r>
      <w:proofErr w:type="spellEnd"/>
      <w:r>
        <w:rPr>
          <w:sz w:val="26"/>
          <w:szCs w:val="24"/>
        </w:rPr>
        <w:t xml:space="preserve"> Osasun Zerbitzukoa zen Ikerketa B</w:t>
      </w:r>
      <w:r>
        <w:rPr>
          <w:sz w:val="26"/>
          <w:szCs w:val="24"/>
        </w:rPr>
        <w:t>i</w:t>
      </w:r>
      <w:r>
        <w:rPr>
          <w:sz w:val="26"/>
          <w:szCs w:val="24"/>
        </w:rPr>
        <w:t xml:space="preserve">omedikorako Zentroari atxikitako langileak kontuan hartu gabe, Miguel </w:t>
      </w:r>
      <w:proofErr w:type="spellStart"/>
      <w:r>
        <w:rPr>
          <w:sz w:val="26"/>
          <w:szCs w:val="24"/>
        </w:rPr>
        <w:t>Servet</w:t>
      </w:r>
      <w:proofErr w:type="spellEnd"/>
      <w:r>
        <w:rPr>
          <w:sz w:val="26"/>
          <w:szCs w:val="24"/>
        </w:rPr>
        <w:t xml:space="preserve"> fu</w:t>
      </w:r>
      <w:r>
        <w:rPr>
          <w:sz w:val="26"/>
          <w:szCs w:val="24"/>
        </w:rPr>
        <w:t>n</w:t>
      </w:r>
      <w:r>
        <w:rPr>
          <w:sz w:val="26"/>
          <w:szCs w:val="24"/>
        </w:rPr>
        <w:t xml:space="preserve">dazioan urtean zehar lan egiten zuten pertsonen </w:t>
      </w:r>
      <w:proofErr w:type="spellStart"/>
      <w:r>
        <w:rPr>
          <w:sz w:val="26"/>
          <w:szCs w:val="24"/>
        </w:rPr>
        <w:t>batezbestekoa</w:t>
      </w:r>
      <w:proofErr w:type="spellEnd"/>
      <w:r>
        <w:rPr>
          <w:sz w:val="26"/>
          <w:szCs w:val="24"/>
        </w:rPr>
        <w:t xml:space="preserve"> 11,6koa izatetik 65,8koa izatera pasatu da, eta jarduerarako diru-sarrerak, berriz, 0,8 milioikoak iz</w:t>
      </w:r>
      <w:r>
        <w:rPr>
          <w:sz w:val="26"/>
          <w:szCs w:val="24"/>
        </w:rPr>
        <w:t>a</w:t>
      </w:r>
      <w:r>
        <w:rPr>
          <w:sz w:val="26"/>
          <w:szCs w:val="24"/>
        </w:rPr>
        <w:t>tetik 3,6 milioikoak izatera; horrek adierazten digu fundazioaren jarduerak gora egin duela.</w:t>
      </w:r>
    </w:p>
    <w:p w:rsidR="00EF1AFB" w:rsidRPr="009C7A6F" w:rsidRDefault="00EF1AFB" w:rsidP="00585FA1">
      <w:pPr>
        <w:tabs>
          <w:tab w:val="center" w:pos="2835"/>
          <w:tab w:val="center" w:pos="3969"/>
          <w:tab w:val="center" w:pos="5103"/>
          <w:tab w:val="center" w:pos="6237"/>
          <w:tab w:val="center" w:pos="7371"/>
        </w:tabs>
        <w:spacing w:before="240" w:after="240"/>
        <w:ind w:firstLine="284"/>
        <w:rPr>
          <w:spacing w:val="6"/>
          <w:sz w:val="26"/>
          <w:szCs w:val="24"/>
        </w:rPr>
      </w:pPr>
      <w:r>
        <w:rPr>
          <w:b/>
          <w:sz w:val="26"/>
          <w:szCs w:val="26"/>
        </w:rPr>
        <w:t>13.a)</w:t>
      </w:r>
      <w:r>
        <w:rPr>
          <w:sz w:val="26"/>
        </w:rPr>
        <w:t xml:space="preserve"> 2012tik 2015era, ikerketa-proiektuetarako kobratutako diru-sarrerek h</w:t>
      </w:r>
      <w:r>
        <w:rPr>
          <w:sz w:val="26"/>
        </w:rPr>
        <w:t>o</w:t>
      </w:r>
      <w:r>
        <w:rPr>
          <w:sz w:val="26"/>
        </w:rPr>
        <w:t>nako jatorri hau zeukaten:</w:t>
      </w:r>
    </w:p>
    <w:tbl>
      <w:tblPr>
        <w:tblW w:w="8719" w:type="dxa"/>
        <w:tblInd w:w="70" w:type="dxa"/>
        <w:tblCellMar>
          <w:left w:w="70" w:type="dxa"/>
          <w:right w:w="70" w:type="dxa"/>
        </w:tblCellMar>
        <w:tblLook w:val="04A0" w:firstRow="1" w:lastRow="0" w:firstColumn="1" w:lastColumn="0" w:noHBand="0" w:noVBand="1"/>
      </w:tblPr>
      <w:tblGrid>
        <w:gridCol w:w="2287"/>
        <w:gridCol w:w="1612"/>
        <w:gridCol w:w="2145"/>
        <w:gridCol w:w="2675"/>
      </w:tblGrid>
      <w:tr w:rsidR="00EF1AFB" w:rsidRPr="00917563" w:rsidTr="00AB5C3D">
        <w:trPr>
          <w:trHeight w:val="252"/>
        </w:trPr>
        <w:tc>
          <w:tcPr>
            <w:tcW w:w="2287"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AB5C3D">
            <w:pPr>
              <w:pStyle w:val="cuadroCabe"/>
            </w:pPr>
            <w:proofErr w:type="spellStart"/>
            <w:r>
              <w:t>Finantzatzailea</w:t>
            </w:r>
            <w:proofErr w:type="spellEnd"/>
          </w:p>
        </w:tc>
        <w:tc>
          <w:tcPr>
            <w:tcW w:w="1612"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1F550E">
            <w:pPr>
              <w:pStyle w:val="cuadroCabe"/>
              <w:jc w:val="right"/>
            </w:pPr>
            <w:r>
              <w:t>Diru-sarrerak</w:t>
            </w:r>
          </w:p>
        </w:tc>
        <w:tc>
          <w:tcPr>
            <w:tcW w:w="2145" w:type="dxa"/>
            <w:tcBorders>
              <w:top w:val="single" w:sz="4" w:space="0" w:color="auto"/>
              <w:left w:val="nil"/>
              <w:bottom w:val="single" w:sz="4" w:space="0" w:color="auto"/>
              <w:right w:val="nil"/>
            </w:tcBorders>
            <w:shd w:val="clear" w:color="auto" w:fill="8DB3E2" w:themeFill="text2" w:themeFillTint="66"/>
            <w:vAlign w:val="center"/>
            <w:hideMark/>
          </w:tcPr>
          <w:p w:rsidR="00EF1AFB" w:rsidRPr="009C7A6F" w:rsidRDefault="00EF1AFB" w:rsidP="001F550E">
            <w:pPr>
              <w:pStyle w:val="cuadroCabe"/>
              <w:jc w:val="right"/>
            </w:pPr>
            <w:r>
              <w:t>Proiektu kopurua</w:t>
            </w:r>
          </w:p>
        </w:tc>
        <w:tc>
          <w:tcPr>
            <w:tcW w:w="2675" w:type="dxa"/>
            <w:tcBorders>
              <w:top w:val="single" w:sz="4" w:space="0" w:color="auto"/>
              <w:left w:val="nil"/>
              <w:bottom w:val="single" w:sz="4" w:space="0" w:color="auto"/>
              <w:right w:val="nil"/>
            </w:tcBorders>
            <w:shd w:val="clear" w:color="auto" w:fill="8DB3E2" w:themeFill="text2" w:themeFillTint="66"/>
            <w:vAlign w:val="bottom"/>
            <w:hideMark/>
          </w:tcPr>
          <w:p w:rsidR="00EF1AFB" w:rsidRPr="009C7A6F" w:rsidRDefault="00EF1AFB" w:rsidP="001F550E">
            <w:pPr>
              <w:pStyle w:val="cuadroCabe"/>
              <w:jc w:val="right"/>
            </w:pPr>
            <w:r>
              <w:t>Proiektu bakoitzaren batez besteko zenbatekoa</w:t>
            </w:r>
          </w:p>
        </w:tc>
      </w:tr>
      <w:tr w:rsidR="00EF1AFB" w:rsidRPr="009C7A6F" w:rsidTr="00AB5C3D">
        <w:trPr>
          <w:trHeight w:val="198"/>
        </w:trPr>
        <w:tc>
          <w:tcPr>
            <w:tcW w:w="2287" w:type="dxa"/>
            <w:tcBorders>
              <w:top w:val="single" w:sz="4" w:space="0" w:color="auto"/>
              <w:bottom w:val="single" w:sz="2" w:space="0" w:color="auto"/>
            </w:tcBorders>
            <w:noWrap/>
            <w:vAlign w:val="bottom"/>
            <w:hideMark/>
          </w:tcPr>
          <w:p w:rsidR="00EF1AFB" w:rsidRPr="009C7A6F" w:rsidRDefault="00EF1AFB" w:rsidP="00AB5C3D">
            <w:pPr>
              <w:pStyle w:val="cuatexto"/>
            </w:pPr>
            <w:r>
              <w:t>Estatua</w:t>
            </w:r>
          </w:p>
        </w:tc>
        <w:tc>
          <w:tcPr>
            <w:tcW w:w="1612" w:type="dxa"/>
            <w:tcBorders>
              <w:top w:val="single" w:sz="4" w:space="0" w:color="auto"/>
              <w:bottom w:val="single" w:sz="2" w:space="0" w:color="auto"/>
            </w:tcBorders>
            <w:noWrap/>
            <w:vAlign w:val="bottom"/>
            <w:hideMark/>
          </w:tcPr>
          <w:p w:rsidR="00EF1AFB" w:rsidRPr="009C7A6F" w:rsidRDefault="00EF1AFB" w:rsidP="001F550E">
            <w:pPr>
              <w:pStyle w:val="cuatexto"/>
              <w:jc w:val="right"/>
            </w:pPr>
            <w:r>
              <w:t>2.503.706</w:t>
            </w:r>
          </w:p>
        </w:tc>
        <w:tc>
          <w:tcPr>
            <w:tcW w:w="2145" w:type="dxa"/>
            <w:tcBorders>
              <w:top w:val="single" w:sz="4" w:space="0" w:color="auto"/>
              <w:bottom w:val="single" w:sz="2" w:space="0" w:color="auto"/>
            </w:tcBorders>
            <w:noWrap/>
            <w:vAlign w:val="bottom"/>
            <w:hideMark/>
          </w:tcPr>
          <w:p w:rsidR="00EF1AFB" w:rsidRPr="009C7A6F" w:rsidRDefault="00EF1AFB" w:rsidP="001F550E">
            <w:pPr>
              <w:pStyle w:val="cuatexto"/>
              <w:jc w:val="right"/>
            </w:pPr>
            <w:r>
              <w:t>29</w:t>
            </w:r>
          </w:p>
        </w:tc>
        <w:tc>
          <w:tcPr>
            <w:tcW w:w="2675" w:type="dxa"/>
            <w:tcBorders>
              <w:top w:val="single" w:sz="4" w:space="0" w:color="auto"/>
              <w:bottom w:val="single" w:sz="2" w:space="0" w:color="auto"/>
            </w:tcBorders>
            <w:noWrap/>
            <w:vAlign w:val="bottom"/>
            <w:hideMark/>
          </w:tcPr>
          <w:p w:rsidR="00EF1AFB" w:rsidRPr="009C7A6F" w:rsidRDefault="00EF1AFB" w:rsidP="001F550E">
            <w:pPr>
              <w:pStyle w:val="cuatexto"/>
              <w:jc w:val="right"/>
            </w:pPr>
            <w:r>
              <w:t>86.335</w:t>
            </w:r>
          </w:p>
        </w:tc>
      </w:tr>
      <w:tr w:rsidR="00EF1AFB" w:rsidRPr="009C7A6F" w:rsidTr="00AB5C3D">
        <w:trPr>
          <w:trHeight w:val="198"/>
        </w:trPr>
        <w:tc>
          <w:tcPr>
            <w:tcW w:w="2287" w:type="dxa"/>
            <w:tcBorders>
              <w:top w:val="single" w:sz="2" w:space="0" w:color="auto"/>
              <w:bottom w:val="single" w:sz="2" w:space="0" w:color="auto"/>
            </w:tcBorders>
            <w:noWrap/>
            <w:vAlign w:val="bottom"/>
            <w:hideMark/>
          </w:tcPr>
          <w:p w:rsidR="00EF1AFB" w:rsidRPr="009C7A6F" w:rsidRDefault="00EF1AFB" w:rsidP="00AB5C3D">
            <w:pPr>
              <w:pStyle w:val="cuatexto"/>
            </w:pPr>
            <w:r>
              <w:t>Europa</w:t>
            </w:r>
          </w:p>
        </w:tc>
        <w:tc>
          <w:tcPr>
            <w:tcW w:w="1612" w:type="dxa"/>
            <w:tcBorders>
              <w:top w:val="single" w:sz="2" w:space="0" w:color="auto"/>
              <w:bottom w:val="single" w:sz="2" w:space="0" w:color="auto"/>
            </w:tcBorders>
            <w:noWrap/>
            <w:vAlign w:val="bottom"/>
            <w:hideMark/>
          </w:tcPr>
          <w:p w:rsidR="00EF1AFB" w:rsidRPr="009C7A6F" w:rsidRDefault="00EF1AFB" w:rsidP="001F550E">
            <w:pPr>
              <w:pStyle w:val="cuatexto"/>
              <w:jc w:val="right"/>
            </w:pPr>
            <w:r>
              <w:t>448.125</w:t>
            </w:r>
          </w:p>
        </w:tc>
        <w:tc>
          <w:tcPr>
            <w:tcW w:w="2145" w:type="dxa"/>
            <w:tcBorders>
              <w:top w:val="single" w:sz="2" w:space="0" w:color="auto"/>
              <w:bottom w:val="single" w:sz="2" w:space="0" w:color="auto"/>
            </w:tcBorders>
            <w:noWrap/>
            <w:vAlign w:val="bottom"/>
            <w:hideMark/>
          </w:tcPr>
          <w:p w:rsidR="00EF1AFB" w:rsidRPr="009C7A6F" w:rsidRDefault="00EF1AFB" w:rsidP="001F550E">
            <w:pPr>
              <w:pStyle w:val="cuatexto"/>
              <w:jc w:val="right"/>
            </w:pPr>
            <w:r>
              <w:t>3</w:t>
            </w:r>
          </w:p>
        </w:tc>
        <w:tc>
          <w:tcPr>
            <w:tcW w:w="2675" w:type="dxa"/>
            <w:tcBorders>
              <w:top w:val="single" w:sz="2" w:space="0" w:color="auto"/>
              <w:bottom w:val="single" w:sz="2" w:space="0" w:color="auto"/>
            </w:tcBorders>
            <w:noWrap/>
            <w:vAlign w:val="bottom"/>
          </w:tcPr>
          <w:p w:rsidR="00EF1AFB" w:rsidRPr="009C7A6F" w:rsidRDefault="00EF1AFB" w:rsidP="001F550E">
            <w:pPr>
              <w:pStyle w:val="cuatexto"/>
              <w:jc w:val="right"/>
            </w:pPr>
            <w:r>
              <w:t>149.375</w:t>
            </w:r>
          </w:p>
        </w:tc>
      </w:tr>
      <w:tr w:rsidR="00EF1AFB" w:rsidRPr="009C7A6F" w:rsidTr="00AB5C3D">
        <w:trPr>
          <w:trHeight w:val="198"/>
        </w:trPr>
        <w:tc>
          <w:tcPr>
            <w:tcW w:w="2287" w:type="dxa"/>
            <w:tcBorders>
              <w:top w:val="single" w:sz="2" w:space="0" w:color="auto"/>
              <w:bottom w:val="single" w:sz="2" w:space="0" w:color="auto"/>
            </w:tcBorders>
            <w:noWrap/>
            <w:vAlign w:val="bottom"/>
            <w:hideMark/>
          </w:tcPr>
          <w:p w:rsidR="00EF1AFB" w:rsidRPr="009C7A6F" w:rsidRDefault="00EF1AFB" w:rsidP="00AB5C3D">
            <w:pPr>
              <w:pStyle w:val="cuatexto"/>
            </w:pPr>
            <w:r>
              <w:t>Nafarroako Gobernua</w:t>
            </w:r>
          </w:p>
        </w:tc>
        <w:tc>
          <w:tcPr>
            <w:tcW w:w="1612" w:type="dxa"/>
            <w:tcBorders>
              <w:top w:val="single" w:sz="2" w:space="0" w:color="auto"/>
              <w:bottom w:val="single" w:sz="2" w:space="0" w:color="auto"/>
            </w:tcBorders>
            <w:noWrap/>
            <w:vAlign w:val="bottom"/>
            <w:hideMark/>
          </w:tcPr>
          <w:p w:rsidR="00EF1AFB" w:rsidRPr="009C7A6F" w:rsidRDefault="00EF1AFB" w:rsidP="001F550E">
            <w:pPr>
              <w:pStyle w:val="cuatexto"/>
              <w:jc w:val="right"/>
            </w:pPr>
            <w:r>
              <w:t>431.335</w:t>
            </w:r>
          </w:p>
        </w:tc>
        <w:tc>
          <w:tcPr>
            <w:tcW w:w="2145" w:type="dxa"/>
            <w:tcBorders>
              <w:top w:val="single" w:sz="2" w:space="0" w:color="auto"/>
              <w:bottom w:val="single" w:sz="2" w:space="0" w:color="auto"/>
            </w:tcBorders>
            <w:noWrap/>
            <w:vAlign w:val="bottom"/>
            <w:hideMark/>
          </w:tcPr>
          <w:p w:rsidR="00EF1AFB" w:rsidRPr="009C7A6F" w:rsidRDefault="00EF1AFB" w:rsidP="001F550E">
            <w:pPr>
              <w:pStyle w:val="cuatexto"/>
              <w:jc w:val="right"/>
            </w:pPr>
            <w:r>
              <w:t>12</w:t>
            </w:r>
          </w:p>
        </w:tc>
        <w:tc>
          <w:tcPr>
            <w:tcW w:w="2675" w:type="dxa"/>
            <w:tcBorders>
              <w:top w:val="single" w:sz="2" w:space="0" w:color="auto"/>
              <w:bottom w:val="single" w:sz="2" w:space="0" w:color="auto"/>
            </w:tcBorders>
            <w:noWrap/>
            <w:vAlign w:val="bottom"/>
            <w:hideMark/>
          </w:tcPr>
          <w:p w:rsidR="00EF1AFB" w:rsidRPr="009C7A6F" w:rsidRDefault="00EF1AFB" w:rsidP="001F550E">
            <w:pPr>
              <w:pStyle w:val="cuatexto"/>
              <w:jc w:val="right"/>
            </w:pPr>
            <w:r>
              <w:t>35.945</w:t>
            </w:r>
          </w:p>
        </w:tc>
      </w:tr>
      <w:tr w:rsidR="00EF1AFB" w:rsidRPr="009C7A6F" w:rsidTr="00AB5C3D">
        <w:trPr>
          <w:trHeight w:val="198"/>
        </w:trPr>
        <w:tc>
          <w:tcPr>
            <w:tcW w:w="2287" w:type="dxa"/>
            <w:tcBorders>
              <w:top w:val="single" w:sz="2" w:space="0" w:color="auto"/>
              <w:bottom w:val="single" w:sz="4" w:space="0" w:color="auto"/>
            </w:tcBorders>
            <w:noWrap/>
            <w:vAlign w:val="bottom"/>
            <w:hideMark/>
          </w:tcPr>
          <w:p w:rsidR="00EF1AFB" w:rsidRPr="009C7A6F" w:rsidRDefault="00EF1AFB" w:rsidP="00AB5C3D">
            <w:pPr>
              <w:pStyle w:val="cuatexto"/>
            </w:pPr>
            <w:r>
              <w:t>Bestelakoak</w:t>
            </w:r>
          </w:p>
        </w:tc>
        <w:tc>
          <w:tcPr>
            <w:tcW w:w="1612" w:type="dxa"/>
            <w:tcBorders>
              <w:top w:val="single" w:sz="2" w:space="0" w:color="auto"/>
              <w:bottom w:val="single" w:sz="4" w:space="0" w:color="auto"/>
            </w:tcBorders>
            <w:noWrap/>
            <w:vAlign w:val="bottom"/>
            <w:hideMark/>
          </w:tcPr>
          <w:p w:rsidR="00EF1AFB" w:rsidRPr="009C7A6F" w:rsidRDefault="00EF1AFB" w:rsidP="001F550E">
            <w:pPr>
              <w:pStyle w:val="cuatexto"/>
              <w:jc w:val="right"/>
            </w:pPr>
            <w:r>
              <w:t>411.999</w:t>
            </w:r>
          </w:p>
        </w:tc>
        <w:tc>
          <w:tcPr>
            <w:tcW w:w="2145" w:type="dxa"/>
            <w:tcBorders>
              <w:top w:val="single" w:sz="2" w:space="0" w:color="auto"/>
              <w:bottom w:val="single" w:sz="4" w:space="0" w:color="auto"/>
            </w:tcBorders>
            <w:noWrap/>
            <w:vAlign w:val="bottom"/>
            <w:hideMark/>
          </w:tcPr>
          <w:p w:rsidR="00EF1AFB" w:rsidRPr="009C7A6F" w:rsidRDefault="00EF1AFB" w:rsidP="001F550E">
            <w:pPr>
              <w:pStyle w:val="cuatexto"/>
              <w:jc w:val="right"/>
            </w:pPr>
            <w:r>
              <w:t>14</w:t>
            </w:r>
          </w:p>
        </w:tc>
        <w:tc>
          <w:tcPr>
            <w:tcW w:w="2675" w:type="dxa"/>
            <w:tcBorders>
              <w:top w:val="single" w:sz="2" w:space="0" w:color="auto"/>
              <w:bottom w:val="single" w:sz="4" w:space="0" w:color="auto"/>
            </w:tcBorders>
            <w:noWrap/>
            <w:vAlign w:val="bottom"/>
            <w:hideMark/>
          </w:tcPr>
          <w:p w:rsidR="00EF1AFB" w:rsidRPr="009C7A6F" w:rsidRDefault="00EF1AFB" w:rsidP="001F550E">
            <w:pPr>
              <w:pStyle w:val="cuatexto"/>
              <w:jc w:val="right"/>
            </w:pPr>
            <w:r>
              <w:t>29.428</w:t>
            </w:r>
          </w:p>
        </w:tc>
      </w:tr>
      <w:tr w:rsidR="00EF1AFB" w:rsidRPr="009C7A6F" w:rsidTr="00AB5C3D">
        <w:trPr>
          <w:trHeight w:val="255"/>
        </w:trPr>
        <w:tc>
          <w:tcPr>
            <w:tcW w:w="2287"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AB5C3D">
            <w:pPr>
              <w:pStyle w:val="cuadroCabe"/>
            </w:pPr>
            <w:r>
              <w:t>Guztira, oro har</w:t>
            </w:r>
          </w:p>
        </w:tc>
        <w:tc>
          <w:tcPr>
            <w:tcW w:w="1612"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pPr>
            <w:r>
              <w:t>3.795.165</w:t>
            </w:r>
          </w:p>
        </w:tc>
        <w:tc>
          <w:tcPr>
            <w:tcW w:w="2145"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pPr>
            <w:r>
              <w:t>58</w:t>
            </w:r>
          </w:p>
        </w:tc>
        <w:tc>
          <w:tcPr>
            <w:tcW w:w="2675" w:type="dxa"/>
            <w:tcBorders>
              <w:top w:val="single" w:sz="4" w:space="0" w:color="auto"/>
              <w:left w:val="nil"/>
              <w:bottom w:val="single" w:sz="4" w:space="0" w:color="auto"/>
              <w:right w:val="nil"/>
            </w:tcBorders>
            <w:shd w:val="clear" w:color="auto" w:fill="8DB3E2" w:themeFill="text2" w:themeFillTint="66"/>
            <w:noWrap/>
            <w:vAlign w:val="bottom"/>
            <w:hideMark/>
          </w:tcPr>
          <w:p w:rsidR="00EF1AFB" w:rsidRPr="009C7A6F" w:rsidRDefault="00EF1AFB" w:rsidP="001F550E">
            <w:pPr>
              <w:pStyle w:val="cuadroCabe"/>
              <w:jc w:val="right"/>
            </w:pPr>
            <w:r>
              <w:t>65.434</w:t>
            </w:r>
          </w:p>
        </w:tc>
      </w:tr>
    </w:tbl>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sz w:val="26"/>
          <w:szCs w:val="24"/>
        </w:rPr>
        <w:t>Zenbateko horretatik, Carlos III.a Institutuak 2.070.071 euro jarri ditu; hau da, ehuneko 55.</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b/>
          <w:sz w:val="26"/>
        </w:rPr>
        <w:t>14.a)</w:t>
      </w:r>
      <w:r>
        <w:rPr>
          <w:sz w:val="26"/>
        </w:rPr>
        <w:t xml:space="preserve"> Alde handia dago 58 ikerketa-proiektuen diru-zenbatekoetan, 4.235 eurotik hasi eta 358.000 eurora bitartekoak baitira; </w:t>
      </w:r>
      <w:proofErr w:type="spellStart"/>
      <w:r>
        <w:rPr>
          <w:sz w:val="26"/>
        </w:rPr>
        <w:t>batezbestekoa</w:t>
      </w:r>
      <w:proofErr w:type="spellEnd"/>
      <w:r>
        <w:rPr>
          <w:sz w:val="26"/>
        </w:rPr>
        <w:t xml:space="preserve"> 65.434 eurokoa da.</w:t>
      </w:r>
    </w:p>
    <w:p w:rsidR="00EF1AFB" w:rsidRPr="009C7A6F" w:rsidRDefault="00EF1AFB" w:rsidP="00EF1AFB">
      <w:pPr>
        <w:tabs>
          <w:tab w:val="num" w:pos="720"/>
          <w:tab w:val="center" w:pos="2835"/>
          <w:tab w:val="center" w:pos="3969"/>
          <w:tab w:val="center" w:pos="5103"/>
          <w:tab w:val="center" w:pos="6237"/>
          <w:tab w:val="center" w:pos="7371"/>
        </w:tabs>
        <w:spacing w:before="240" w:after="240"/>
        <w:ind w:firstLine="284"/>
        <w:rPr>
          <w:spacing w:val="6"/>
          <w:sz w:val="26"/>
          <w:szCs w:val="24"/>
        </w:rPr>
      </w:pPr>
      <w:r>
        <w:rPr>
          <w:b/>
          <w:sz w:val="26"/>
        </w:rPr>
        <w:t>15.a)</w:t>
      </w:r>
      <w:r>
        <w:rPr>
          <w:sz w:val="26"/>
        </w:rPr>
        <w:t xml:space="preserve"> Ikerketa arloen arabera, minbiziak, 20 proiekturekin, eta kardiologiak, 5 proiekturekin, zenbatekoaren ehuneko 51 egiten dute.</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b/>
          <w:sz w:val="26"/>
        </w:rPr>
        <w:t>16.a)</w:t>
      </w:r>
      <w:r>
        <w:rPr>
          <w:sz w:val="26"/>
        </w:rPr>
        <w:t xml:space="preserve"> Ikertzaile nagusiaren jatorrizko zentroari erreparatuta, ikerketarako lort</w:t>
      </w:r>
      <w:r>
        <w:rPr>
          <w:sz w:val="26"/>
        </w:rPr>
        <w:t>u</w:t>
      </w:r>
      <w:r>
        <w:rPr>
          <w:sz w:val="26"/>
        </w:rPr>
        <w:t xml:space="preserve">tako zenbatekoaren ehuneko 54 Miguel </w:t>
      </w:r>
      <w:proofErr w:type="spellStart"/>
      <w:r>
        <w:rPr>
          <w:sz w:val="26"/>
        </w:rPr>
        <w:t>Servet-Navarrabiomed</w:t>
      </w:r>
      <w:proofErr w:type="spellEnd"/>
      <w:r>
        <w:rPr>
          <w:sz w:val="26"/>
        </w:rPr>
        <w:t xml:space="preserve"> Fundazioko ikertza</w:t>
      </w:r>
      <w:r>
        <w:rPr>
          <w:sz w:val="26"/>
        </w:rPr>
        <w:t>i</w:t>
      </w:r>
      <w:r>
        <w:rPr>
          <w:sz w:val="26"/>
        </w:rPr>
        <w:t>leek lortu dute: 2 milioi euro.</w:t>
      </w:r>
    </w:p>
    <w:p w:rsidR="00EF1AFB" w:rsidRPr="009C7A6F" w:rsidRDefault="00EF1AFB" w:rsidP="00EF1AFB">
      <w:pPr>
        <w:tabs>
          <w:tab w:val="center" w:pos="2835"/>
          <w:tab w:val="center" w:pos="3969"/>
          <w:tab w:val="center" w:pos="5103"/>
          <w:tab w:val="center" w:pos="6237"/>
          <w:tab w:val="center" w:pos="7371"/>
        </w:tabs>
        <w:spacing w:before="240" w:after="240"/>
        <w:ind w:firstLine="284"/>
        <w:rPr>
          <w:spacing w:val="6"/>
          <w:sz w:val="26"/>
          <w:szCs w:val="24"/>
        </w:rPr>
      </w:pPr>
      <w:r>
        <w:rPr>
          <w:b/>
          <w:sz w:val="26"/>
          <w:szCs w:val="26"/>
        </w:rPr>
        <w:t xml:space="preserve">17.a) </w:t>
      </w:r>
      <w:r>
        <w:rPr>
          <w:sz w:val="26"/>
        </w:rPr>
        <w:t>Saiakuntza klinikoei erreparatuta, 2012-2015 aldian 614 saiakuntza egin dira, eta guztira 2,4 milioi euroko kostua izan dute.</w:t>
      </w:r>
      <w:r>
        <w:rPr>
          <w:sz w:val="26"/>
          <w:szCs w:val="24"/>
        </w:rPr>
        <w:t xml:space="preserve"> </w:t>
      </w:r>
      <w:proofErr w:type="spellStart"/>
      <w:r>
        <w:rPr>
          <w:sz w:val="26"/>
          <w:szCs w:val="24"/>
        </w:rPr>
        <w:t>Hematologia-zerbitzukoek</w:t>
      </w:r>
      <w:proofErr w:type="spellEnd"/>
      <w:r>
        <w:rPr>
          <w:sz w:val="26"/>
          <w:szCs w:val="24"/>
        </w:rPr>
        <w:t xml:space="preserve">, 178 saiakuntzarekin, eta </w:t>
      </w:r>
      <w:proofErr w:type="spellStart"/>
      <w:r>
        <w:rPr>
          <w:sz w:val="26"/>
          <w:szCs w:val="24"/>
        </w:rPr>
        <w:t>onkologia-zerbitzukoek</w:t>
      </w:r>
      <w:proofErr w:type="spellEnd"/>
      <w:r>
        <w:rPr>
          <w:sz w:val="26"/>
          <w:szCs w:val="24"/>
        </w:rPr>
        <w:t>, 163 saiakuntzarekin, zenbatekoaren ehuneko 60 egiten dute.</w:t>
      </w:r>
    </w:p>
    <w:p w:rsidR="00EF1AFB" w:rsidRPr="009C7A6F" w:rsidRDefault="00EF1AFB" w:rsidP="000F7950">
      <w:pPr>
        <w:pStyle w:val="texto"/>
      </w:pPr>
      <w:r>
        <w:t xml:space="preserve">Laburbilduz, eta ondorio orokor gisa, azken urteetan ikusi dugu Nafarroako Gobernuak osasun-ikerketaren aldeko apustua egin duela, Miguel </w:t>
      </w:r>
      <w:proofErr w:type="spellStart"/>
      <w:r>
        <w:t>Servet-Navarrabiomed</w:t>
      </w:r>
      <w:proofErr w:type="spellEnd"/>
      <w:r>
        <w:t xml:space="preserve"> Fundazioaren bitartez, zeinak bere jarduera eta aurrekontuak handitu baititu. Hala eta guztiz ere, aipatu beharra dago kopururik handiena eraikina egitera bideratu dela.</w:t>
      </w:r>
    </w:p>
    <w:p w:rsidR="00EF1AFB" w:rsidRPr="009C7A6F" w:rsidRDefault="00EF1AFB" w:rsidP="000F7950">
      <w:pPr>
        <w:pStyle w:val="texto"/>
      </w:pPr>
      <w:r>
        <w:t>Osasun Departamentuak hertsiki osasun arloko ikerketara bideratutako a</w:t>
      </w:r>
      <w:r>
        <w:t>u</w:t>
      </w:r>
      <w:r>
        <w:t>rrekontua departamentuaren guztizko gastuen ehuneko 0,13 egiten du 2012-2015 aldian.</w:t>
      </w:r>
    </w:p>
    <w:p w:rsidR="00AC1700" w:rsidRPr="003D5845" w:rsidRDefault="00AC1700" w:rsidP="000F7950">
      <w:pPr>
        <w:pStyle w:val="texto"/>
      </w:pPr>
    </w:p>
    <w:p w:rsidR="00AE7CAF" w:rsidRDefault="00EF1AFB" w:rsidP="000F7950">
      <w:pPr>
        <w:pStyle w:val="texto"/>
      </w:pPr>
      <w:r>
        <w:lastRenderedPageBreak/>
        <w:t>Nafarroak ez du Carlos III.a Osasun Institutuak ziurtatutako osasun ikerket</w:t>
      </w:r>
      <w:r>
        <w:t>a</w:t>
      </w:r>
      <w:r>
        <w:t xml:space="preserve">rako instituturik, eta exijitzen diren baldintzak betetzeko zailtasunak direla-eta, erabaki da hori lortzeko lankidetza </w:t>
      </w:r>
      <w:proofErr w:type="spellStart"/>
      <w:r>
        <w:t>publiko-pribatura</w:t>
      </w:r>
      <w:proofErr w:type="spellEnd"/>
      <w:r>
        <w:t xml:space="preserve"> jotzea, </w:t>
      </w:r>
      <w:proofErr w:type="spellStart"/>
      <w:r>
        <w:t>IdiSNA</w:t>
      </w:r>
      <w:proofErr w:type="spellEnd"/>
      <w:r>
        <w:t xml:space="preserve"> berrabi</w:t>
      </w:r>
      <w:r>
        <w:t>a</w:t>
      </w:r>
      <w:r>
        <w:t>tuz. Institutu horretan, Nafarroako Gobernuak eta Nafarroako Unibertsitateak dihardute lankidetzan, eta espero da Nafarroako Unibertsitate Publikoa ere sa</w:t>
      </w:r>
      <w:r>
        <w:t>r</w:t>
      </w:r>
      <w:r>
        <w:t xml:space="preserve">tzea. </w:t>
      </w:r>
      <w:proofErr w:type="spellStart"/>
      <w:r>
        <w:t>IdiSNAk</w:t>
      </w:r>
      <w:proofErr w:type="spellEnd"/>
      <w:r>
        <w:t xml:space="preserve"> ziurtagiria eskatu du, baina txosten hau idazteko datan oraindik ere ez zaio eman.</w:t>
      </w:r>
    </w:p>
    <w:p w:rsidR="00AE7CAF" w:rsidRDefault="00AE7CAF">
      <w:pPr>
        <w:spacing w:after="0"/>
        <w:ind w:firstLine="0"/>
        <w:jc w:val="left"/>
        <w:rPr>
          <w:spacing w:val="6"/>
          <w:sz w:val="26"/>
          <w:szCs w:val="24"/>
        </w:rPr>
      </w:pPr>
      <w:r>
        <w:br w:type="page"/>
      </w:r>
    </w:p>
    <w:p w:rsidR="007114E5" w:rsidRDefault="00AE7CAF" w:rsidP="00AE7CAF">
      <w:pPr>
        <w:pStyle w:val="atitulo1"/>
        <w:ind w:left="2552"/>
        <w:rPr>
          <w:sz w:val="28"/>
        </w:rPr>
      </w:pPr>
      <w:bookmarkStart w:id="35" w:name="_Toc75166913"/>
      <w:bookmarkStart w:id="36" w:name="_Toc82513850"/>
      <w:r>
        <w:rPr>
          <w:sz w:val="28"/>
        </w:rPr>
        <w:lastRenderedPageBreak/>
        <w:t>Behin-behineko txostenari aurkeztutako al</w:t>
      </w:r>
      <w:r>
        <w:rPr>
          <w:sz w:val="28"/>
        </w:rPr>
        <w:t>e</w:t>
      </w:r>
      <w:r>
        <w:rPr>
          <w:sz w:val="28"/>
        </w:rPr>
        <w:t>gazioak</w:t>
      </w:r>
      <w:bookmarkEnd w:id="35"/>
      <w:bookmarkEnd w:id="36"/>
    </w:p>
    <w:p w:rsidR="00E12ADB" w:rsidRPr="00E12ADB" w:rsidRDefault="00E12ADB" w:rsidP="00E12ADB">
      <w:pPr>
        <w:pStyle w:val="texto"/>
      </w:pPr>
      <w:r>
        <w:t xml:space="preserve">Kontuen Ganberak egindako "Miguel </w:t>
      </w:r>
      <w:proofErr w:type="spellStart"/>
      <w:r>
        <w:t>Servet</w:t>
      </w:r>
      <w:proofErr w:type="spellEnd"/>
      <w:r>
        <w:t xml:space="preserve"> Fundazioari buruzko gomend</w:t>
      </w:r>
      <w:r>
        <w:t>i</w:t>
      </w:r>
      <w:r>
        <w:t>oen jarraipena" behin-behineko fiskalizazio-txostena berrikusi ondoren, “Fu</w:t>
      </w:r>
      <w:r>
        <w:t>n</w:t>
      </w:r>
      <w:r>
        <w:t xml:space="preserve">dazioaren </w:t>
      </w:r>
      <w:proofErr w:type="spellStart"/>
      <w:r>
        <w:t>auditoretzari</w:t>
      </w:r>
      <w:proofErr w:type="spellEnd"/>
      <w:r>
        <w:t xml:space="preserve"> eta legezkotasunaren gaineko prozedura adostuei b</w:t>
      </w:r>
      <w:r>
        <w:t>u</w:t>
      </w:r>
      <w:r>
        <w:t xml:space="preserve">ruzko txostenak" paragrafoari buruzko alegazio bat sartzeko eskatzen dugu, IV. Konklusioak eta gomendioak ataleko V.1. Miguel </w:t>
      </w:r>
      <w:proofErr w:type="spellStart"/>
      <w:r>
        <w:t>Servet</w:t>
      </w:r>
      <w:proofErr w:type="spellEnd"/>
      <w:r>
        <w:t xml:space="preserve"> Fundazioaren kude</w:t>
      </w:r>
      <w:r>
        <w:t>a</w:t>
      </w:r>
      <w:r>
        <w:t>ketari buruzko alderdi orokorrak izeneko azpiatalaren barruan.</w:t>
      </w:r>
    </w:p>
    <w:p w:rsidR="00E12ADB" w:rsidRPr="00E12ADB" w:rsidRDefault="00E12ADB" w:rsidP="00E12ADB">
      <w:pPr>
        <w:pStyle w:val="texto"/>
      </w:pPr>
      <w:r>
        <w:t>Honako hau da orain behin-behineko txostenaren 11. orrialdean ageri den p</w:t>
      </w:r>
      <w:r>
        <w:t>a</w:t>
      </w:r>
      <w:r>
        <w:t>ragrafoa:</w:t>
      </w:r>
    </w:p>
    <w:p w:rsidR="00E12ADB" w:rsidRPr="00E12ADB" w:rsidRDefault="00E12ADB" w:rsidP="00E12ADB">
      <w:pPr>
        <w:pStyle w:val="texto"/>
        <w:rPr>
          <w:i/>
        </w:rPr>
      </w:pPr>
      <w:r>
        <w:rPr>
          <w:i/>
        </w:rPr>
        <w:t xml:space="preserve">“2017an eta 2018an, berrikuspenaren emaitza aldekoa izan zen, baina ohar bat sartu zen, langileen berrezarpen-tasa eta egonkortze-tasa, hurrenez </w:t>
      </w:r>
      <w:proofErr w:type="spellStart"/>
      <w:r>
        <w:rPr>
          <w:i/>
        </w:rPr>
        <w:t>hurren</w:t>
      </w:r>
      <w:proofErr w:type="spellEnd"/>
      <w:r>
        <w:rPr>
          <w:i/>
        </w:rPr>
        <w:t>, aplikatzean araudia ez aplikatzeari buruz; 2019an, ordea, ondorioa aldekoa izan zen. Txosten hau idazteko unean, amaitzeke dago 2020ko berrikuspena”.</w:t>
      </w:r>
    </w:p>
    <w:p w:rsidR="00E12ADB" w:rsidRPr="00E12ADB" w:rsidRDefault="00E12ADB" w:rsidP="00E12ADB">
      <w:pPr>
        <w:pStyle w:val="texto"/>
      </w:pPr>
      <w:r>
        <w:t>Uste dugu paragrafo horren deskribapenak ez duela behar bezala islatzen Fundazioaren funtzionamendua, zeren eta berrezarpen-tasa oso kontuan hartzen baitugu, eta testuak aditzera ematen du 2017an eta 2018an araudia ez dela apl</w:t>
      </w:r>
      <w:r>
        <w:t>i</w:t>
      </w:r>
      <w:r>
        <w:t>katu. Egia esan, argitaratu zenetik, une oro aplikatzen saiatu gara, 2017an izan ezik, urte horretan argitaratu baitzen, eta 2018an izan ezik, kontratu bakar b</w:t>
      </w:r>
      <w:r>
        <w:t>a</w:t>
      </w:r>
      <w:r>
        <w:t>tean gainditzen baita berrezarpen-tasa, lan-legea betetzeko betebeharra dela eta.</w:t>
      </w:r>
    </w:p>
    <w:p w:rsidR="00E12ADB" w:rsidRPr="00E12ADB" w:rsidRDefault="00E12ADB" w:rsidP="00E12ADB">
      <w:pPr>
        <w:pStyle w:val="texto"/>
      </w:pPr>
      <w:r>
        <w:t>Hori dela eta, eskatzen dugu lehen aipatutako paragrafoaren ordez, txosten</w:t>
      </w:r>
      <w:r>
        <w:t>a</w:t>
      </w:r>
      <w:r>
        <w:t>ren zirriborroan egindako iruzkina jasotzea:</w:t>
      </w:r>
    </w:p>
    <w:p w:rsidR="00E12ADB" w:rsidRPr="00E12ADB" w:rsidRDefault="00E12ADB" w:rsidP="00E12ADB">
      <w:pPr>
        <w:pStyle w:val="texto"/>
        <w:rPr>
          <w:i/>
        </w:rPr>
      </w:pPr>
      <w:r>
        <w:rPr>
          <w:i/>
        </w:rPr>
        <w:t>"Langileen kontratazioan urtero aplikatu da sektore publiko autonomikoko fundazioen berrezarpen-tasa. Dagokion Aurrekontuen Legean ezarritako ba</w:t>
      </w:r>
      <w:r>
        <w:rPr>
          <w:i/>
        </w:rPr>
        <w:t>l</w:t>
      </w:r>
      <w:r>
        <w:rPr>
          <w:i/>
        </w:rPr>
        <w:t>dintzak bete dira, 2017an izan ezik, fundazioetara hedatutako araudi hori sartu zen lehen urtean, eta 2018an izan ezik, zeinean berrikuspen horren emaitza izan baitzen berrezarpen-tasa bete egiten zela, nahiz eta kontratu batean aldi baterako enpleguaren egonkortze-tasa gainditu. Fundazioak mugagabeko ko</w:t>
      </w:r>
      <w:r>
        <w:rPr>
          <w:i/>
        </w:rPr>
        <w:t>n</w:t>
      </w:r>
      <w:r>
        <w:rPr>
          <w:i/>
        </w:rPr>
        <w:t xml:space="preserve">tratazio hori egin behar izan zuen, kontrataturiko subjektuaren eta Miguel </w:t>
      </w:r>
      <w:proofErr w:type="spellStart"/>
      <w:r>
        <w:rPr>
          <w:i/>
        </w:rPr>
        <w:t>Se</w:t>
      </w:r>
      <w:r>
        <w:rPr>
          <w:i/>
        </w:rPr>
        <w:t>r</w:t>
      </w:r>
      <w:r>
        <w:rPr>
          <w:i/>
        </w:rPr>
        <w:t>vet</w:t>
      </w:r>
      <w:proofErr w:type="spellEnd"/>
      <w:r>
        <w:rPr>
          <w:i/>
        </w:rPr>
        <w:t xml:space="preserve"> Fundazioaren arteko lan-harremanaren ondorioz”.</w:t>
      </w:r>
    </w:p>
    <w:p w:rsidR="00E12ADB" w:rsidRPr="00E12ADB" w:rsidRDefault="00E12ADB" w:rsidP="00E12ADB">
      <w:pPr>
        <w:pStyle w:val="texto"/>
      </w:pPr>
      <w:r>
        <w:t>Iruñean, 2021eko ekainaren 21ean.</w:t>
      </w:r>
    </w:p>
    <w:p w:rsidR="00E12ADB" w:rsidRDefault="00E12ADB" w:rsidP="00E12ADB">
      <w:pPr>
        <w:pStyle w:val="texto"/>
      </w:pPr>
      <w:proofErr w:type="spellStart"/>
      <w:r>
        <w:t>Navarrabiomedeko</w:t>
      </w:r>
      <w:proofErr w:type="spellEnd"/>
      <w:r>
        <w:t xml:space="preserve"> zuzendaria: Iñigo Lasa </w:t>
      </w:r>
      <w:proofErr w:type="spellStart"/>
      <w:r>
        <w:t>Uzcudun</w:t>
      </w:r>
      <w:proofErr w:type="spellEnd"/>
    </w:p>
    <w:p w:rsidR="00E12ADB" w:rsidRPr="00E12ADB" w:rsidRDefault="00E12ADB" w:rsidP="00E12ADB">
      <w:pPr>
        <w:pStyle w:val="texto"/>
        <w:sectPr w:rsidR="00E12ADB" w:rsidRPr="00E12ADB" w:rsidSect="000F7950">
          <w:headerReference w:type="even" r:id="rId17"/>
          <w:footerReference w:type="default" r:id="rId18"/>
          <w:type w:val="oddPage"/>
          <w:pgSz w:w="11907" w:h="16840" w:code="9"/>
          <w:pgMar w:top="2109" w:right="1559" w:bottom="1644" w:left="1559" w:header="369" w:footer="136" w:gutter="0"/>
          <w:cols w:space="720"/>
          <w:docGrid w:linePitch="360"/>
        </w:sectPr>
      </w:pPr>
    </w:p>
    <w:p w:rsidR="00AE7CAF" w:rsidRDefault="00AE7CAF" w:rsidP="00AE7CAF">
      <w:pPr>
        <w:pStyle w:val="atitulo1"/>
        <w:ind w:left="2552"/>
        <w:rPr>
          <w:sz w:val="28"/>
          <w:lang w:val="es-ES" w:eastAsia="es-ES"/>
        </w:rPr>
      </w:pPr>
    </w:p>
    <w:p w:rsidR="00AE7CAF" w:rsidRDefault="00AE7CAF" w:rsidP="00AE7CAF">
      <w:pPr>
        <w:pStyle w:val="atitulo1"/>
      </w:pPr>
      <w:bookmarkStart w:id="37" w:name="_Toc66949902"/>
      <w:bookmarkStart w:id="38" w:name="_Toc75166914"/>
      <w:bookmarkStart w:id="39" w:name="_Toc82513851"/>
      <w:r>
        <w:t>Behin-behineko txostena dela-eta aurkeztutako alegazioei Kontuen Ga</w:t>
      </w:r>
      <w:r>
        <w:t>n</w:t>
      </w:r>
      <w:r>
        <w:t>berak emandako erantzuna</w:t>
      </w:r>
      <w:bookmarkEnd w:id="37"/>
      <w:bookmarkEnd w:id="38"/>
      <w:bookmarkEnd w:id="39"/>
    </w:p>
    <w:p w:rsidR="00AE7CAF" w:rsidRDefault="00AE7CAF" w:rsidP="00AE7CAF">
      <w:pPr>
        <w:autoSpaceDE w:val="0"/>
        <w:autoSpaceDN w:val="0"/>
        <w:adjustRightInd w:val="0"/>
        <w:spacing w:after="0"/>
        <w:ind w:firstLine="0"/>
        <w:jc w:val="left"/>
        <w:rPr>
          <w:rFonts w:ascii="Arial-BoldMT" w:hAnsi="Arial-BoldMT" w:cs="Arial-BoldMT"/>
          <w:b/>
          <w:bCs/>
          <w:sz w:val="25"/>
          <w:szCs w:val="25"/>
          <w:lang w:val="es-ES" w:eastAsia="es-ES"/>
        </w:rPr>
      </w:pPr>
    </w:p>
    <w:p w:rsidR="00AE7CAF" w:rsidRDefault="00AE7CAF" w:rsidP="00AE7CAF">
      <w:pPr>
        <w:autoSpaceDE w:val="0"/>
        <w:autoSpaceDN w:val="0"/>
        <w:adjustRightInd w:val="0"/>
        <w:spacing w:after="0"/>
        <w:ind w:firstLine="284"/>
        <w:rPr>
          <w:rFonts w:ascii="ArialMT" w:hAnsi="ArialMT" w:cs="ArialMT"/>
          <w:sz w:val="24"/>
          <w:szCs w:val="24"/>
        </w:rPr>
      </w:pPr>
      <w:r>
        <w:rPr>
          <w:rFonts w:ascii="ArialMT" w:hAnsi="ArialMT"/>
          <w:sz w:val="24"/>
          <w:szCs w:val="24"/>
        </w:rPr>
        <w:t xml:space="preserve">Eskerrak ematen dizkiogu </w:t>
      </w:r>
      <w:proofErr w:type="spellStart"/>
      <w:r>
        <w:rPr>
          <w:rFonts w:ascii="ArialMT" w:hAnsi="ArialMT"/>
          <w:sz w:val="24"/>
          <w:szCs w:val="24"/>
        </w:rPr>
        <w:t>Navarrabiomed-Miguel</w:t>
      </w:r>
      <w:proofErr w:type="spellEnd"/>
      <w:r>
        <w:rPr>
          <w:rFonts w:ascii="ArialMT" w:hAnsi="ArialMT"/>
          <w:sz w:val="24"/>
          <w:szCs w:val="24"/>
        </w:rPr>
        <w:t xml:space="preserve"> </w:t>
      </w:r>
      <w:proofErr w:type="spellStart"/>
      <w:r>
        <w:rPr>
          <w:rFonts w:ascii="ArialMT" w:hAnsi="ArialMT"/>
          <w:sz w:val="24"/>
          <w:szCs w:val="24"/>
        </w:rPr>
        <w:t>Servet</w:t>
      </w:r>
      <w:proofErr w:type="spellEnd"/>
      <w:r>
        <w:rPr>
          <w:rFonts w:ascii="ArialMT" w:hAnsi="ArialMT"/>
          <w:sz w:val="24"/>
          <w:szCs w:val="24"/>
        </w:rPr>
        <w:t xml:space="preserve"> Fundazioko zuzend</w:t>
      </w:r>
      <w:r>
        <w:rPr>
          <w:rFonts w:ascii="ArialMT" w:hAnsi="ArialMT"/>
          <w:sz w:val="24"/>
          <w:szCs w:val="24"/>
        </w:rPr>
        <w:t>a</w:t>
      </w:r>
      <w:r>
        <w:rPr>
          <w:rFonts w:ascii="ArialMT" w:hAnsi="ArialMT"/>
          <w:sz w:val="24"/>
          <w:szCs w:val="24"/>
        </w:rPr>
        <w:t>riari, aurkeztu dizkigun alegazioengatik. Alegazio horiek behin-behineko txostenari eransten zaizkio eta hori behin betikotzat ezartzen da, jotzen baita egindako fisk</w:t>
      </w:r>
      <w:r>
        <w:rPr>
          <w:rFonts w:ascii="ArialMT" w:hAnsi="ArialMT"/>
          <w:sz w:val="24"/>
          <w:szCs w:val="24"/>
        </w:rPr>
        <w:t>a</w:t>
      </w:r>
      <w:r>
        <w:rPr>
          <w:rFonts w:ascii="ArialMT" w:hAnsi="ArialMT"/>
          <w:sz w:val="24"/>
          <w:szCs w:val="24"/>
        </w:rPr>
        <w:t>lizazioaren azalpen bat direla alegazio horiek, eta ez dutela haren edukia ald</w:t>
      </w:r>
      <w:r>
        <w:rPr>
          <w:rFonts w:ascii="ArialMT" w:hAnsi="ArialMT"/>
          <w:sz w:val="24"/>
          <w:szCs w:val="24"/>
        </w:rPr>
        <w:t>a</w:t>
      </w:r>
      <w:r>
        <w:rPr>
          <w:rFonts w:ascii="ArialMT" w:hAnsi="ArialMT"/>
          <w:sz w:val="24"/>
          <w:szCs w:val="24"/>
        </w:rPr>
        <w:t>tzen.</w:t>
      </w:r>
    </w:p>
    <w:p w:rsidR="00AE7CAF" w:rsidRPr="003D5845" w:rsidRDefault="00AE7CAF" w:rsidP="00AE7CAF">
      <w:pPr>
        <w:autoSpaceDE w:val="0"/>
        <w:autoSpaceDN w:val="0"/>
        <w:adjustRightInd w:val="0"/>
        <w:spacing w:after="0"/>
        <w:ind w:firstLine="720"/>
        <w:rPr>
          <w:rFonts w:ascii="ArialMT" w:hAnsi="ArialMT" w:cs="ArialMT"/>
          <w:sz w:val="24"/>
          <w:szCs w:val="24"/>
          <w:lang w:eastAsia="es-ES"/>
        </w:rPr>
      </w:pPr>
    </w:p>
    <w:p w:rsidR="00AE7CAF" w:rsidRDefault="00AE7CAF" w:rsidP="00AE7CAF">
      <w:pPr>
        <w:pStyle w:val="texto"/>
        <w:spacing w:before="240" w:after="0"/>
        <w:ind w:firstLine="0"/>
        <w:jc w:val="center"/>
      </w:pPr>
      <w:r>
        <w:t>Iruñean, 2021eko ekainaren 24an</w:t>
      </w:r>
    </w:p>
    <w:p w:rsidR="00AE7CAF" w:rsidRPr="00385010" w:rsidRDefault="00AE7CAF" w:rsidP="00AE7CAF">
      <w:pPr>
        <w:pStyle w:val="texto"/>
        <w:spacing w:before="240" w:after="0"/>
        <w:ind w:firstLine="0"/>
        <w:jc w:val="center"/>
        <w:rPr>
          <w:i/>
          <w:iCs/>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AE7CAF" w:rsidRPr="00644B67" w:rsidRDefault="00AE7CAF" w:rsidP="00AE7CAF">
      <w:pPr>
        <w:autoSpaceDE w:val="0"/>
        <w:autoSpaceDN w:val="0"/>
        <w:adjustRightInd w:val="0"/>
        <w:spacing w:after="0"/>
        <w:ind w:firstLine="720"/>
        <w:rPr>
          <w:i/>
          <w:sz w:val="25"/>
          <w:szCs w:val="25"/>
        </w:rPr>
      </w:pPr>
    </w:p>
    <w:p w:rsidR="00AE7CAF" w:rsidRPr="00133AD7" w:rsidRDefault="00AE7CAF" w:rsidP="00AE7CAF">
      <w:pPr>
        <w:pStyle w:val="atitulo1"/>
        <w:ind w:left="2552"/>
        <w:rPr>
          <w:sz w:val="28"/>
          <w:lang w:val="es-ES" w:eastAsia="es-ES"/>
        </w:rPr>
      </w:pPr>
    </w:p>
    <w:p w:rsidR="00EF1AFB" w:rsidRPr="009C7A6F" w:rsidRDefault="00EF1AFB" w:rsidP="000F7950">
      <w:pPr>
        <w:pStyle w:val="texto"/>
        <w:rPr>
          <w:b/>
          <w:lang w:val="es-ES"/>
        </w:rPr>
      </w:pPr>
    </w:p>
    <w:p w:rsidR="00EF1AFB" w:rsidRDefault="00EF1AFB" w:rsidP="00EF1AFB">
      <w:pPr>
        <w:pStyle w:val="atitulo2"/>
      </w:pPr>
    </w:p>
    <w:p w:rsidR="00477C53" w:rsidRDefault="00477C53" w:rsidP="00E36872">
      <w:pPr>
        <w:pStyle w:val="atitulo1"/>
      </w:pPr>
    </w:p>
    <w:sectPr w:rsidR="00477C53" w:rsidSect="007114E5">
      <w:footerReference w:type="default" r:id="rId19"/>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14" w:rsidRDefault="00D87814">
      <w:r>
        <w:separator/>
      </w:r>
    </w:p>
    <w:p w:rsidR="00D87814" w:rsidRDefault="00D87814"/>
    <w:p w:rsidR="00D87814" w:rsidRDefault="00D87814"/>
    <w:p w:rsidR="00D87814" w:rsidRDefault="00D87814"/>
  </w:endnote>
  <w:endnote w:type="continuationSeparator" w:id="0">
    <w:p w:rsidR="00D87814" w:rsidRDefault="00D87814">
      <w:r>
        <w:continuationSeparator/>
      </w:r>
    </w:p>
    <w:p w:rsidR="00D87814" w:rsidRDefault="00D87814"/>
    <w:p w:rsidR="00D87814" w:rsidRDefault="00D87814"/>
    <w:p w:rsidR="00D87814" w:rsidRDefault="00D8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Traj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3D5845">
      <w:rPr>
        <w:rStyle w:val="Nmerodepgina"/>
      </w:rPr>
      <w:fldChar w:fldCharType="separate"/>
    </w:r>
    <w:r w:rsidR="003D5845">
      <w:rPr>
        <w:rStyle w:val="Nmerodepgina"/>
        <w:noProof/>
      </w:rPr>
      <w:t>23</w:t>
    </w:r>
    <w:r>
      <w:rPr>
        <w:rStyle w:val="Nmerodepgina"/>
      </w:rPr>
      <w:fldChar w:fldCharType="end"/>
    </w:r>
  </w:p>
  <w:p w:rsidR="00D87814" w:rsidRDefault="00D8781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7814" w:rsidRPr="00F74E38" w:rsidRDefault="00D87814"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0EE7B48" wp14:editId="77FC3A91">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D5845">
      <w:rPr>
        <w:rStyle w:val="Nmerodepgina"/>
        <w:noProof/>
        <w:szCs w:val="24"/>
      </w:rPr>
      <w:t>16</w:t>
    </w:r>
    <w:r w:rsidRPr="001D4F09">
      <w:rPr>
        <w:rStyle w:val="Nmerodepgina"/>
        <w:szCs w:val="24"/>
      </w:rPr>
      <w:fldChar w:fldCharType="end"/>
    </w:r>
    <w:r>
      <w:rPr>
        <w:rStyle w:val="Nmerodepgina"/>
        <w:szCs w:val="24"/>
      </w:rPr>
      <w:t xml:space="preserve"> -</w:t>
    </w:r>
  </w:p>
  <w:p w:rsidR="00D87814" w:rsidRDefault="00D878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F03814" w:rsidRDefault="00D8781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60427E7" wp14:editId="387B7C65">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D5845">
      <w:rPr>
        <w:rStyle w:val="Nmerodepgina"/>
        <w:noProof/>
        <w:szCs w:val="24"/>
      </w:rPr>
      <w:t>22</w:t>
    </w:r>
    <w:r w:rsidRPr="001D4F09">
      <w:rPr>
        <w:rStyle w:val="Nmerodepgina"/>
        <w:szCs w:val="24"/>
      </w:rPr>
      <w:fldChar w:fldCharType="end"/>
    </w:r>
    <w:r>
      <w:rPr>
        <w:rStyle w:val="Nmerodepgina"/>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5" w:rsidRPr="00F03814" w:rsidRDefault="007114E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7FE18A7" wp14:editId="1A04A2ED">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14" w:rsidRDefault="00D87814">
      <w:r>
        <w:separator/>
      </w:r>
    </w:p>
    <w:p w:rsidR="00D87814" w:rsidRDefault="00D87814"/>
    <w:p w:rsidR="00D87814" w:rsidRDefault="00D87814"/>
    <w:p w:rsidR="00D87814" w:rsidRDefault="00D87814"/>
  </w:footnote>
  <w:footnote w:type="continuationSeparator" w:id="0">
    <w:p w:rsidR="00D87814" w:rsidRDefault="00D87814">
      <w:r>
        <w:continuationSeparator/>
      </w:r>
    </w:p>
    <w:p w:rsidR="00D87814" w:rsidRDefault="00D87814"/>
    <w:p w:rsidR="00D87814" w:rsidRDefault="00D87814"/>
    <w:p w:rsidR="00D87814" w:rsidRDefault="00D878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Pr="003A6A45" w:rsidRDefault="00D87814" w:rsidP="003A6A45">
    <w:pPr>
      <w:pStyle w:val="Encabezado"/>
      <w:pBdr>
        <w:bottom w:val="single" w:sz="4" w:space="1" w:color="auto"/>
      </w:pBdr>
      <w:spacing w:after="40"/>
      <w:ind w:firstLine="0"/>
      <w:jc w:val="left"/>
      <w:rPr>
        <w:sz w:val="13"/>
        <w:szCs w:val="13"/>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rPr>
      <w:t>Miguel Servet Fundazioari egindako gomendioen jarraipenari buruzko fiskalizazio-txostena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p w:rsidR="00D87814" w:rsidRDefault="00D87814"/>
  <w:p w:rsidR="00D87814" w:rsidRDefault="00D878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14" w:rsidRDefault="00D87814"/>
  <w:p w:rsidR="00D87814" w:rsidRDefault="00D87814"/>
  <w:p w:rsidR="00D87814" w:rsidRDefault="00D878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40D6A82"/>
    <w:multiLevelType w:val="hybridMultilevel"/>
    <w:tmpl w:val="B192D39A"/>
    <w:lvl w:ilvl="0" w:tplc="AD9A5DA4">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2669AB"/>
    <w:multiLevelType w:val="hybridMultilevel"/>
    <w:tmpl w:val="D73841BC"/>
    <w:lvl w:ilvl="0" w:tplc="9142390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AB67C7"/>
    <w:multiLevelType w:val="hybridMultilevel"/>
    <w:tmpl w:val="C6A0871C"/>
    <w:lvl w:ilvl="0" w:tplc="DA2AFB2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357516C"/>
    <w:multiLevelType w:val="hybridMultilevel"/>
    <w:tmpl w:val="0E5C5DF2"/>
    <w:lvl w:ilvl="0" w:tplc="9A7C29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50A63CD8"/>
    <w:multiLevelType w:val="hybridMultilevel"/>
    <w:tmpl w:val="A3B85F70"/>
    <w:lvl w:ilvl="0" w:tplc="0C0A0001">
      <w:start w:val="1"/>
      <w:numFmt w:val="bullet"/>
      <w:lvlText w:val=""/>
      <w:lvlJc w:val="left"/>
      <w:pPr>
        <w:ind w:left="1004" w:hanging="360"/>
      </w:pPr>
      <w:rPr>
        <w:rFonts w:ascii="Symbol" w:hAnsi="Symbol" w:hint="default"/>
      </w:rPr>
    </w:lvl>
    <w:lvl w:ilvl="1" w:tplc="ABB27AEC">
      <w:numFmt w:val="bullet"/>
      <w:lvlText w:val="-"/>
      <w:lvlJc w:val="left"/>
      <w:pPr>
        <w:ind w:left="1724" w:hanging="360"/>
      </w:pPr>
      <w:rPr>
        <w:rFonts w:ascii="Times New Roman" w:eastAsia="Calibri"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1F924B9"/>
    <w:multiLevelType w:val="hybridMultilevel"/>
    <w:tmpl w:val="1EF6243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5366A42"/>
    <w:multiLevelType w:val="hybridMultilevel"/>
    <w:tmpl w:val="B1548A22"/>
    <w:lvl w:ilvl="0" w:tplc="E8AA5D16">
      <w:numFmt w:val="bullet"/>
      <w:lvlText w:val="-"/>
      <w:lvlJc w:val="left"/>
      <w:pPr>
        <w:ind w:left="720" w:hanging="360"/>
      </w:pPr>
      <w:rPr>
        <w:rFonts w:ascii="ITCCentury Book" w:eastAsia="Times New Roman" w:hAnsi="ITCCentury Book"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7">
    <w:nsid w:val="7C4E1559"/>
    <w:multiLevelType w:val="hybridMultilevel"/>
    <w:tmpl w:val="5E5C6EBE"/>
    <w:lvl w:ilvl="0" w:tplc="0C0A0019">
      <w:start w:val="1"/>
      <w:numFmt w:val="lowerLetter"/>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8">
    <w:nsid w:val="7E9A1F52"/>
    <w:multiLevelType w:val="hybridMultilevel"/>
    <w:tmpl w:val="65A85420"/>
    <w:lvl w:ilvl="0" w:tplc="0C0A0001">
      <w:start w:val="1"/>
      <w:numFmt w:val="bullet"/>
      <w:lvlText w:val=""/>
      <w:lvlJc w:val="left"/>
      <w:pPr>
        <w:ind w:left="600" w:hanging="360"/>
      </w:pPr>
      <w:rPr>
        <w:rFonts w:ascii="Symbol" w:hAnsi="Symbol"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16"/>
  </w:num>
  <w:num w:numId="2">
    <w:abstractNumId w:val="12"/>
  </w:num>
  <w:num w:numId="3">
    <w:abstractNumId w:val="1"/>
  </w:num>
  <w:num w:numId="4">
    <w:abstractNumId w:val="8"/>
  </w:num>
  <w:num w:numId="5">
    <w:abstractNumId w:val="13"/>
  </w:num>
  <w:num w:numId="6">
    <w:abstractNumId w:val="1"/>
  </w:num>
  <w:num w:numId="7">
    <w:abstractNumId w:val="1"/>
  </w:num>
  <w:num w:numId="8">
    <w:abstractNumId w:val="1"/>
  </w:num>
  <w:num w:numId="9">
    <w:abstractNumId w:val="5"/>
  </w:num>
  <w:num w:numId="10">
    <w:abstractNumId w:val="4"/>
  </w:num>
  <w:num w:numId="11">
    <w:abstractNumId w:val="6"/>
  </w:num>
  <w:num w:numId="12">
    <w:abstractNumId w:val="9"/>
  </w:num>
  <w:num w:numId="13">
    <w:abstractNumId w:val="11"/>
  </w:num>
  <w:num w:numId="14">
    <w:abstractNumId w:val="7"/>
  </w:num>
  <w:num w:numId="15">
    <w:abstractNumId w:val="17"/>
  </w:num>
  <w:num w:numId="16">
    <w:abstractNumId w:val="18"/>
  </w:num>
  <w:num w:numId="17">
    <w:abstractNumId w:val="10"/>
  </w:num>
  <w:num w:numId="18">
    <w:abstractNumId w:val="0"/>
  </w:num>
  <w:num w:numId="19">
    <w:abstractNumId w:val="3"/>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FB"/>
    <w:rsid w:val="000019D8"/>
    <w:rsid w:val="00006736"/>
    <w:rsid w:val="00006A97"/>
    <w:rsid w:val="0001123B"/>
    <w:rsid w:val="00012A7F"/>
    <w:rsid w:val="0001500B"/>
    <w:rsid w:val="00015430"/>
    <w:rsid w:val="00017A3A"/>
    <w:rsid w:val="00036E42"/>
    <w:rsid w:val="0004373B"/>
    <w:rsid w:val="000448FA"/>
    <w:rsid w:val="00053A42"/>
    <w:rsid w:val="0005517D"/>
    <w:rsid w:val="0005554D"/>
    <w:rsid w:val="0005556A"/>
    <w:rsid w:val="0006133D"/>
    <w:rsid w:val="00063585"/>
    <w:rsid w:val="00071CD0"/>
    <w:rsid w:val="00075677"/>
    <w:rsid w:val="00075692"/>
    <w:rsid w:val="00087B8D"/>
    <w:rsid w:val="000934DB"/>
    <w:rsid w:val="00093D67"/>
    <w:rsid w:val="00093E60"/>
    <w:rsid w:val="00094A9C"/>
    <w:rsid w:val="00094FCE"/>
    <w:rsid w:val="00096A34"/>
    <w:rsid w:val="00097E98"/>
    <w:rsid w:val="000A18B7"/>
    <w:rsid w:val="000A2C1E"/>
    <w:rsid w:val="000A3234"/>
    <w:rsid w:val="000A4697"/>
    <w:rsid w:val="000B2728"/>
    <w:rsid w:val="000B3943"/>
    <w:rsid w:val="000B4477"/>
    <w:rsid w:val="000B5988"/>
    <w:rsid w:val="000C0704"/>
    <w:rsid w:val="000C2B07"/>
    <w:rsid w:val="000C39CC"/>
    <w:rsid w:val="000C7566"/>
    <w:rsid w:val="000D188E"/>
    <w:rsid w:val="000D5335"/>
    <w:rsid w:val="000E7B86"/>
    <w:rsid w:val="000F2B66"/>
    <w:rsid w:val="000F3D83"/>
    <w:rsid w:val="000F738A"/>
    <w:rsid w:val="000F7950"/>
    <w:rsid w:val="00100F12"/>
    <w:rsid w:val="00102466"/>
    <w:rsid w:val="00103589"/>
    <w:rsid w:val="001045C9"/>
    <w:rsid w:val="00107CC1"/>
    <w:rsid w:val="00111A92"/>
    <w:rsid w:val="001145C3"/>
    <w:rsid w:val="0011613C"/>
    <w:rsid w:val="001161D2"/>
    <w:rsid w:val="00131DF1"/>
    <w:rsid w:val="00132C38"/>
    <w:rsid w:val="00133984"/>
    <w:rsid w:val="001365C4"/>
    <w:rsid w:val="0014147D"/>
    <w:rsid w:val="00141D29"/>
    <w:rsid w:val="0014506A"/>
    <w:rsid w:val="0014728F"/>
    <w:rsid w:val="001521A2"/>
    <w:rsid w:val="00152358"/>
    <w:rsid w:val="00155BFF"/>
    <w:rsid w:val="001568AA"/>
    <w:rsid w:val="00160F66"/>
    <w:rsid w:val="001633AF"/>
    <w:rsid w:val="00166A6C"/>
    <w:rsid w:val="001728D0"/>
    <w:rsid w:val="00173EDD"/>
    <w:rsid w:val="0017402B"/>
    <w:rsid w:val="00181D37"/>
    <w:rsid w:val="001835B7"/>
    <w:rsid w:val="0018426B"/>
    <w:rsid w:val="00185A37"/>
    <w:rsid w:val="00194309"/>
    <w:rsid w:val="0019660E"/>
    <w:rsid w:val="001B39E2"/>
    <w:rsid w:val="001B7A28"/>
    <w:rsid w:val="001C2B26"/>
    <w:rsid w:val="001C3A32"/>
    <w:rsid w:val="001D4F09"/>
    <w:rsid w:val="001F1331"/>
    <w:rsid w:val="001F1482"/>
    <w:rsid w:val="001F20D7"/>
    <w:rsid w:val="001F550E"/>
    <w:rsid w:val="001F7744"/>
    <w:rsid w:val="002014EB"/>
    <w:rsid w:val="00202B1A"/>
    <w:rsid w:val="00204979"/>
    <w:rsid w:val="00211D69"/>
    <w:rsid w:val="00211D6D"/>
    <w:rsid w:val="002179DB"/>
    <w:rsid w:val="00226C80"/>
    <w:rsid w:val="00227E48"/>
    <w:rsid w:val="00230577"/>
    <w:rsid w:val="0023159D"/>
    <w:rsid w:val="0023209D"/>
    <w:rsid w:val="002333F8"/>
    <w:rsid w:val="00233D79"/>
    <w:rsid w:val="00234A87"/>
    <w:rsid w:val="00237657"/>
    <w:rsid w:val="00242BA7"/>
    <w:rsid w:val="002437B5"/>
    <w:rsid w:val="00244EF1"/>
    <w:rsid w:val="00246F21"/>
    <w:rsid w:val="002509BE"/>
    <w:rsid w:val="00253E78"/>
    <w:rsid w:val="00261BB6"/>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1330"/>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865"/>
    <w:rsid w:val="00312E9C"/>
    <w:rsid w:val="00313875"/>
    <w:rsid w:val="003203BF"/>
    <w:rsid w:val="00321369"/>
    <w:rsid w:val="00330787"/>
    <w:rsid w:val="003322DB"/>
    <w:rsid w:val="00337493"/>
    <w:rsid w:val="0034285F"/>
    <w:rsid w:val="003464A4"/>
    <w:rsid w:val="00351684"/>
    <w:rsid w:val="00354458"/>
    <w:rsid w:val="00357D47"/>
    <w:rsid w:val="00363653"/>
    <w:rsid w:val="0036509D"/>
    <w:rsid w:val="0037228C"/>
    <w:rsid w:val="00373351"/>
    <w:rsid w:val="003738FD"/>
    <w:rsid w:val="003748FB"/>
    <w:rsid w:val="00375E14"/>
    <w:rsid w:val="003810BE"/>
    <w:rsid w:val="00386F6C"/>
    <w:rsid w:val="00387709"/>
    <w:rsid w:val="00387794"/>
    <w:rsid w:val="00397162"/>
    <w:rsid w:val="003A335E"/>
    <w:rsid w:val="003A3DD2"/>
    <w:rsid w:val="003A6A45"/>
    <w:rsid w:val="003B3573"/>
    <w:rsid w:val="003B5813"/>
    <w:rsid w:val="003B68F7"/>
    <w:rsid w:val="003C03EA"/>
    <w:rsid w:val="003C196B"/>
    <w:rsid w:val="003C6E1D"/>
    <w:rsid w:val="003D058C"/>
    <w:rsid w:val="003D5845"/>
    <w:rsid w:val="003D76B1"/>
    <w:rsid w:val="003E17A6"/>
    <w:rsid w:val="003E2BD1"/>
    <w:rsid w:val="003E4AA5"/>
    <w:rsid w:val="003F1CEC"/>
    <w:rsid w:val="003F43BF"/>
    <w:rsid w:val="003F6BE4"/>
    <w:rsid w:val="00403CF8"/>
    <w:rsid w:val="00407459"/>
    <w:rsid w:val="00413E50"/>
    <w:rsid w:val="00414D01"/>
    <w:rsid w:val="004170FE"/>
    <w:rsid w:val="004209E6"/>
    <w:rsid w:val="0042324B"/>
    <w:rsid w:val="004234E8"/>
    <w:rsid w:val="00426805"/>
    <w:rsid w:val="00430150"/>
    <w:rsid w:val="004302F9"/>
    <w:rsid w:val="0043229B"/>
    <w:rsid w:val="00435287"/>
    <w:rsid w:val="00440A22"/>
    <w:rsid w:val="0045550E"/>
    <w:rsid w:val="00456456"/>
    <w:rsid w:val="00456C1A"/>
    <w:rsid w:val="00462367"/>
    <w:rsid w:val="0046490C"/>
    <w:rsid w:val="00470287"/>
    <w:rsid w:val="00470733"/>
    <w:rsid w:val="00472B99"/>
    <w:rsid w:val="00473CC4"/>
    <w:rsid w:val="004751FE"/>
    <w:rsid w:val="00477C53"/>
    <w:rsid w:val="00485380"/>
    <w:rsid w:val="00486631"/>
    <w:rsid w:val="00493D87"/>
    <w:rsid w:val="004950D4"/>
    <w:rsid w:val="004A0506"/>
    <w:rsid w:val="004A2342"/>
    <w:rsid w:val="004A2F62"/>
    <w:rsid w:val="004B1DB8"/>
    <w:rsid w:val="004B2F01"/>
    <w:rsid w:val="004B4182"/>
    <w:rsid w:val="004B4538"/>
    <w:rsid w:val="004B4926"/>
    <w:rsid w:val="004B6FB6"/>
    <w:rsid w:val="004C2ADF"/>
    <w:rsid w:val="004C3423"/>
    <w:rsid w:val="004C571D"/>
    <w:rsid w:val="004D35A2"/>
    <w:rsid w:val="004D5FD1"/>
    <w:rsid w:val="004E0459"/>
    <w:rsid w:val="004F5D8F"/>
    <w:rsid w:val="004F7C93"/>
    <w:rsid w:val="00502EC9"/>
    <w:rsid w:val="005031C2"/>
    <w:rsid w:val="00506105"/>
    <w:rsid w:val="00513162"/>
    <w:rsid w:val="00516E65"/>
    <w:rsid w:val="00517A7A"/>
    <w:rsid w:val="00525809"/>
    <w:rsid w:val="005339C4"/>
    <w:rsid w:val="00535130"/>
    <w:rsid w:val="00537302"/>
    <w:rsid w:val="0055043F"/>
    <w:rsid w:val="00552AD8"/>
    <w:rsid w:val="00555509"/>
    <w:rsid w:val="00561C5B"/>
    <w:rsid w:val="00562965"/>
    <w:rsid w:val="00564F2D"/>
    <w:rsid w:val="00566CDA"/>
    <w:rsid w:val="0056727E"/>
    <w:rsid w:val="00567BA6"/>
    <w:rsid w:val="00570033"/>
    <w:rsid w:val="00570147"/>
    <w:rsid w:val="0057307E"/>
    <w:rsid w:val="00573A4C"/>
    <w:rsid w:val="00574B79"/>
    <w:rsid w:val="00574D12"/>
    <w:rsid w:val="005800B4"/>
    <w:rsid w:val="0058070B"/>
    <w:rsid w:val="00580A23"/>
    <w:rsid w:val="0058296F"/>
    <w:rsid w:val="00585FA1"/>
    <w:rsid w:val="00595E80"/>
    <w:rsid w:val="0059650E"/>
    <w:rsid w:val="00596868"/>
    <w:rsid w:val="00596953"/>
    <w:rsid w:val="005A6030"/>
    <w:rsid w:val="005B54EC"/>
    <w:rsid w:val="005B57AD"/>
    <w:rsid w:val="005B722E"/>
    <w:rsid w:val="005C02FE"/>
    <w:rsid w:val="005C34EF"/>
    <w:rsid w:val="005C50AC"/>
    <w:rsid w:val="005C6406"/>
    <w:rsid w:val="005C7ECE"/>
    <w:rsid w:val="005D69D1"/>
    <w:rsid w:val="005E210D"/>
    <w:rsid w:val="005E2F4F"/>
    <w:rsid w:val="005E6FFF"/>
    <w:rsid w:val="005F2425"/>
    <w:rsid w:val="005F5EC7"/>
    <w:rsid w:val="005F7207"/>
    <w:rsid w:val="005F7FCF"/>
    <w:rsid w:val="00607691"/>
    <w:rsid w:val="0061062C"/>
    <w:rsid w:val="00613183"/>
    <w:rsid w:val="006133F0"/>
    <w:rsid w:val="00616888"/>
    <w:rsid w:val="00616DFC"/>
    <w:rsid w:val="006176BE"/>
    <w:rsid w:val="006212CB"/>
    <w:rsid w:val="006279F9"/>
    <w:rsid w:val="006369EE"/>
    <w:rsid w:val="0064700E"/>
    <w:rsid w:val="00650183"/>
    <w:rsid w:val="00650677"/>
    <w:rsid w:val="00665F41"/>
    <w:rsid w:val="00671CE1"/>
    <w:rsid w:val="006736A9"/>
    <w:rsid w:val="00673BC7"/>
    <w:rsid w:val="00674975"/>
    <w:rsid w:val="00675D39"/>
    <w:rsid w:val="0068560B"/>
    <w:rsid w:val="00687EB6"/>
    <w:rsid w:val="006A1277"/>
    <w:rsid w:val="006A2602"/>
    <w:rsid w:val="006A2D41"/>
    <w:rsid w:val="006A67E1"/>
    <w:rsid w:val="006C36FB"/>
    <w:rsid w:val="006C7D62"/>
    <w:rsid w:val="006D0B23"/>
    <w:rsid w:val="006D2ED6"/>
    <w:rsid w:val="006D5685"/>
    <w:rsid w:val="006D74A8"/>
    <w:rsid w:val="006D758F"/>
    <w:rsid w:val="006E1987"/>
    <w:rsid w:val="006E23B2"/>
    <w:rsid w:val="006E5207"/>
    <w:rsid w:val="006E77E2"/>
    <w:rsid w:val="006F5C70"/>
    <w:rsid w:val="006F6A20"/>
    <w:rsid w:val="007047B2"/>
    <w:rsid w:val="00704DE7"/>
    <w:rsid w:val="00706868"/>
    <w:rsid w:val="007078B8"/>
    <w:rsid w:val="007114E5"/>
    <w:rsid w:val="0071234A"/>
    <w:rsid w:val="00715E32"/>
    <w:rsid w:val="007162D1"/>
    <w:rsid w:val="00716463"/>
    <w:rsid w:val="0071706E"/>
    <w:rsid w:val="007174D0"/>
    <w:rsid w:val="00726A18"/>
    <w:rsid w:val="00727292"/>
    <w:rsid w:val="007342DE"/>
    <w:rsid w:val="00742F6A"/>
    <w:rsid w:val="007446E8"/>
    <w:rsid w:val="00751553"/>
    <w:rsid w:val="0075165E"/>
    <w:rsid w:val="00754E10"/>
    <w:rsid w:val="00762A29"/>
    <w:rsid w:val="0076327D"/>
    <w:rsid w:val="00764E94"/>
    <w:rsid w:val="00767745"/>
    <w:rsid w:val="007707FC"/>
    <w:rsid w:val="00770BE3"/>
    <w:rsid w:val="00770CEA"/>
    <w:rsid w:val="0077177A"/>
    <w:rsid w:val="007728A8"/>
    <w:rsid w:val="00785A76"/>
    <w:rsid w:val="00787852"/>
    <w:rsid w:val="007915BC"/>
    <w:rsid w:val="007967FA"/>
    <w:rsid w:val="00797E7A"/>
    <w:rsid w:val="007A0EA6"/>
    <w:rsid w:val="007A2D9E"/>
    <w:rsid w:val="007A30D8"/>
    <w:rsid w:val="007A6191"/>
    <w:rsid w:val="007B0381"/>
    <w:rsid w:val="007B0F3D"/>
    <w:rsid w:val="007B148D"/>
    <w:rsid w:val="007B18C8"/>
    <w:rsid w:val="007B28DE"/>
    <w:rsid w:val="007B7A5F"/>
    <w:rsid w:val="007C36BE"/>
    <w:rsid w:val="007D1427"/>
    <w:rsid w:val="007D2678"/>
    <w:rsid w:val="007D53ED"/>
    <w:rsid w:val="007D6001"/>
    <w:rsid w:val="007D7F94"/>
    <w:rsid w:val="007E1B76"/>
    <w:rsid w:val="007E219A"/>
    <w:rsid w:val="007E37BF"/>
    <w:rsid w:val="007E6593"/>
    <w:rsid w:val="007F1101"/>
    <w:rsid w:val="007F2CB1"/>
    <w:rsid w:val="00801DA4"/>
    <w:rsid w:val="00803D20"/>
    <w:rsid w:val="008112A0"/>
    <w:rsid w:val="008165C4"/>
    <w:rsid w:val="0081696D"/>
    <w:rsid w:val="00816E01"/>
    <w:rsid w:val="008173D0"/>
    <w:rsid w:val="00823235"/>
    <w:rsid w:val="008249F1"/>
    <w:rsid w:val="00824AF2"/>
    <w:rsid w:val="00825A64"/>
    <w:rsid w:val="00825E25"/>
    <w:rsid w:val="00826686"/>
    <w:rsid w:val="00826DEE"/>
    <w:rsid w:val="00835563"/>
    <w:rsid w:val="00836511"/>
    <w:rsid w:val="00836B02"/>
    <w:rsid w:val="00836EC6"/>
    <w:rsid w:val="00836FBC"/>
    <w:rsid w:val="00836FF7"/>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A7FDB"/>
    <w:rsid w:val="008B3F34"/>
    <w:rsid w:val="008B6143"/>
    <w:rsid w:val="008C56B9"/>
    <w:rsid w:val="008D05E0"/>
    <w:rsid w:val="008D2600"/>
    <w:rsid w:val="008E0AC0"/>
    <w:rsid w:val="008E221A"/>
    <w:rsid w:val="008E3FFE"/>
    <w:rsid w:val="008E512D"/>
    <w:rsid w:val="008E60BE"/>
    <w:rsid w:val="008E6B74"/>
    <w:rsid w:val="008F0FAF"/>
    <w:rsid w:val="008F1F4F"/>
    <w:rsid w:val="008F46CD"/>
    <w:rsid w:val="008F6480"/>
    <w:rsid w:val="008F6541"/>
    <w:rsid w:val="008F7740"/>
    <w:rsid w:val="00900CA2"/>
    <w:rsid w:val="00903653"/>
    <w:rsid w:val="00910A52"/>
    <w:rsid w:val="00911479"/>
    <w:rsid w:val="0091484D"/>
    <w:rsid w:val="009161A5"/>
    <w:rsid w:val="00917563"/>
    <w:rsid w:val="00925E71"/>
    <w:rsid w:val="0093329F"/>
    <w:rsid w:val="00937043"/>
    <w:rsid w:val="00943A26"/>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4E0C"/>
    <w:rsid w:val="009B2AAC"/>
    <w:rsid w:val="009B3521"/>
    <w:rsid w:val="009B541C"/>
    <w:rsid w:val="009B6569"/>
    <w:rsid w:val="009C4460"/>
    <w:rsid w:val="009D7192"/>
    <w:rsid w:val="009D727D"/>
    <w:rsid w:val="009E0E38"/>
    <w:rsid w:val="009E1A35"/>
    <w:rsid w:val="009F09AA"/>
    <w:rsid w:val="009F2B7D"/>
    <w:rsid w:val="009F2C16"/>
    <w:rsid w:val="009F2C1B"/>
    <w:rsid w:val="009F335C"/>
    <w:rsid w:val="00A002B5"/>
    <w:rsid w:val="00A0260C"/>
    <w:rsid w:val="00A041B5"/>
    <w:rsid w:val="00A04F8C"/>
    <w:rsid w:val="00A05158"/>
    <w:rsid w:val="00A05D6E"/>
    <w:rsid w:val="00A13BF5"/>
    <w:rsid w:val="00A14837"/>
    <w:rsid w:val="00A225E3"/>
    <w:rsid w:val="00A23A26"/>
    <w:rsid w:val="00A24A8F"/>
    <w:rsid w:val="00A25708"/>
    <w:rsid w:val="00A25BF0"/>
    <w:rsid w:val="00A3026E"/>
    <w:rsid w:val="00A4576A"/>
    <w:rsid w:val="00A45AD0"/>
    <w:rsid w:val="00A45EE9"/>
    <w:rsid w:val="00A52E61"/>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C3D"/>
    <w:rsid w:val="00AB5FE4"/>
    <w:rsid w:val="00AB659D"/>
    <w:rsid w:val="00AC1700"/>
    <w:rsid w:val="00AC229F"/>
    <w:rsid w:val="00AD2B31"/>
    <w:rsid w:val="00AD3E89"/>
    <w:rsid w:val="00AD6EE1"/>
    <w:rsid w:val="00AD7671"/>
    <w:rsid w:val="00AE4498"/>
    <w:rsid w:val="00AE53E8"/>
    <w:rsid w:val="00AE6FE4"/>
    <w:rsid w:val="00AE7236"/>
    <w:rsid w:val="00AE7CAF"/>
    <w:rsid w:val="00AF2059"/>
    <w:rsid w:val="00AF3D84"/>
    <w:rsid w:val="00AF4161"/>
    <w:rsid w:val="00AF5340"/>
    <w:rsid w:val="00AF580B"/>
    <w:rsid w:val="00B007C8"/>
    <w:rsid w:val="00B124D2"/>
    <w:rsid w:val="00B14410"/>
    <w:rsid w:val="00B15E61"/>
    <w:rsid w:val="00B174E2"/>
    <w:rsid w:val="00B24F35"/>
    <w:rsid w:val="00B278C5"/>
    <w:rsid w:val="00B32C88"/>
    <w:rsid w:val="00B34747"/>
    <w:rsid w:val="00B42E49"/>
    <w:rsid w:val="00B500F0"/>
    <w:rsid w:val="00B50903"/>
    <w:rsid w:val="00B62FFE"/>
    <w:rsid w:val="00B65013"/>
    <w:rsid w:val="00B7123A"/>
    <w:rsid w:val="00B7435C"/>
    <w:rsid w:val="00B76F38"/>
    <w:rsid w:val="00B8085D"/>
    <w:rsid w:val="00B81EFF"/>
    <w:rsid w:val="00B836BB"/>
    <w:rsid w:val="00B84122"/>
    <w:rsid w:val="00B862B0"/>
    <w:rsid w:val="00BA2B7C"/>
    <w:rsid w:val="00BA760E"/>
    <w:rsid w:val="00BA7948"/>
    <w:rsid w:val="00BB142A"/>
    <w:rsid w:val="00BB34B9"/>
    <w:rsid w:val="00BB35C2"/>
    <w:rsid w:val="00BB553B"/>
    <w:rsid w:val="00BC1A10"/>
    <w:rsid w:val="00BC28D7"/>
    <w:rsid w:val="00BC376C"/>
    <w:rsid w:val="00BC6321"/>
    <w:rsid w:val="00BC7817"/>
    <w:rsid w:val="00BD3819"/>
    <w:rsid w:val="00BD642D"/>
    <w:rsid w:val="00BD6988"/>
    <w:rsid w:val="00BE1A77"/>
    <w:rsid w:val="00BE2227"/>
    <w:rsid w:val="00BE4742"/>
    <w:rsid w:val="00BE7383"/>
    <w:rsid w:val="00BE754D"/>
    <w:rsid w:val="00BF1DB9"/>
    <w:rsid w:val="00BF6D10"/>
    <w:rsid w:val="00BF6E79"/>
    <w:rsid w:val="00C03F6C"/>
    <w:rsid w:val="00C07D2E"/>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A8B"/>
    <w:rsid w:val="00C63BD5"/>
    <w:rsid w:val="00C74906"/>
    <w:rsid w:val="00C81B40"/>
    <w:rsid w:val="00C81FEA"/>
    <w:rsid w:val="00C83969"/>
    <w:rsid w:val="00C86C95"/>
    <w:rsid w:val="00CA05EB"/>
    <w:rsid w:val="00CA3515"/>
    <w:rsid w:val="00CA3A05"/>
    <w:rsid w:val="00CB14E9"/>
    <w:rsid w:val="00CB6D90"/>
    <w:rsid w:val="00CB72C3"/>
    <w:rsid w:val="00CC22B9"/>
    <w:rsid w:val="00CC45E4"/>
    <w:rsid w:val="00CD019F"/>
    <w:rsid w:val="00CD27C5"/>
    <w:rsid w:val="00CD732C"/>
    <w:rsid w:val="00CE32C4"/>
    <w:rsid w:val="00CE4169"/>
    <w:rsid w:val="00CE7894"/>
    <w:rsid w:val="00CF06A1"/>
    <w:rsid w:val="00CF1467"/>
    <w:rsid w:val="00CF48D6"/>
    <w:rsid w:val="00CF57D6"/>
    <w:rsid w:val="00CF6C1B"/>
    <w:rsid w:val="00D019D5"/>
    <w:rsid w:val="00D040FE"/>
    <w:rsid w:val="00D168FD"/>
    <w:rsid w:val="00D16F64"/>
    <w:rsid w:val="00D244DE"/>
    <w:rsid w:val="00D2472C"/>
    <w:rsid w:val="00D279BA"/>
    <w:rsid w:val="00D3362A"/>
    <w:rsid w:val="00D404B5"/>
    <w:rsid w:val="00D43D82"/>
    <w:rsid w:val="00D447CB"/>
    <w:rsid w:val="00D47D16"/>
    <w:rsid w:val="00D505F4"/>
    <w:rsid w:val="00D51CE1"/>
    <w:rsid w:val="00D562F2"/>
    <w:rsid w:val="00D60983"/>
    <w:rsid w:val="00D61B93"/>
    <w:rsid w:val="00D647A2"/>
    <w:rsid w:val="00D65CCB"/>
    <w:rsid w:val="00D6758E"/>
    <w:rsid w:val="00D67E4A"/>
    <w:rsid w:val="00D712E5"/>
    <w:rsid w:val="00D763FD"/>
    <w:rsid w:val="00D87814"/>
    <w:rsid w:val="00D90AD1"/>
    <w:rsid w:val="00D941F7"/>
    <w:rsid w:val="00DA11A9"/>
    <w:rsid w:val="00DA4DDF"/>
    <w:rsid w:val="00DB0804"/>
    <w:rsid w:val="00DB2FC4"/>
    <w:rsid w:val="00DC382A"/>
    <w:rsid w:val="00DC7074"/>
    <w:rsid w:val="00DC79FA"/>
    <w:rsid w:val="00DE1923"/>
    <w:rsid w:val="00DE2B33"/>
    <w:rsid w:val="00DE3988"/>
    <w:rsid w:val="00DE4C3B"/>
    <w:rsid w:val="00DE638B"/>
    <w:rsid w:val="00DE72EE"/>
    <w:rsid w:val="00DF37E5"/>
    <w:rsid w:val="00DF78C9"/>
    <w:rsid w:val="00E034FE"/>
    <w:rsid w:val="00E041E5"/>
    <w:rsid w:val="00E04888"/>
    <w:rsid w:val="00E0763B"/>
    <w:rsid w:val="00E10302"/>
    <w:rsid w:val="00E12ADB"/>
    <w:rsid w:val="00E16FE9"/>
    <w:rsid w:val="00E17EC5"/>
    <w:rsid w:val="00E26BFD"/>
    <w:rsid w:val="00E27567"/>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4B3D"/>
    <w:rsid w:val="00EB627B"/>
    <w:rsid w:val="00EB6D94"/>
    <w:rsid w:val="00EC3697"/>
    <w:rsid w:val="00EC4183"/>
    <w:rsid w:val="00EC6468"/>
    <w:rsid w:val="00EC6708"/>
    <w:rsid w:val="00ED14F5"/>
    <w:rsid w:val="00ED207C"/>
    <w:rsid w:val="00ED325A"/>
    <w:rsid w:val="00ED3F41"/>
    <w:rsid w:val="00ED5615"/>
    <w:rsid w:val="00ED692E"/>
    <w:rsid w:val="00ED69AF"/>
    <w:rsid w:val="00EE1847"/>
    <w:rsid w:val="00EE240E"/>
    <w:rsid w:val="00EE688E"/>
    <w:rsid w:val="00EE6A6D"/>
    <w:rsid w:val="00EE7347"/>
    <w:rsid w:val="00EF03E2"/>
    <w:rsid w:val="00EF1AFB"/>
    <w:rsid w:val="00EF3930"/>
    <w:rsid w:val="00EF7F8B"/>
    <w:rsid w:val="00F03814"/>
    <w:rsid w:val="00F07A09"/>
    <w:rsid w:val="00F123F9"/>
    <w:rsid w:val="00F1390C"/>
    <w:rsid w:val="00F14D98"/>
    <w:rsid w:val="00F20C5E"/>
    <w:rsid w:val="00F21718"/>
    <w:rsid w:val="00F30E02"/>
    <w:rsid w:val="00F3269D"/>
    <w:rsid w:val="00F36A1D"/>
    <w:rsid w:val="00F44278"/>
    <w:rsid w:val="00F51B65"/>
    <w:rsid w:val="00F52AAB"/>
    <w:rsid w:val="00F52EB6"/>
    <w:rsid w:val="00F55260"/>
    <w:rsid w:val="00F6316B"/>
    <w:rsid w:val="00F65AE0"/>
    <w:rsid w:val="00F74E38"/>
    <w:rsid w:val="00F76D6F"/>
    <w:rsid w:val="00F778B0"/>
    <w:rsid w:val="00F834BF"/>
    <w:rsid w:val="00F83BC2"/>
    <w:rsid w:val="00F843E9"/>
    <w:rsid w:val="00F85894"/>
    <w:rsid w:val="00F92EC1"/>
    <w:rsid w:val="00F94C47"/>
    <w:rsid w:val="00FA0421"/>
    <w:rsid w:val="00FA3389"/>
    <w:rsid w:val="00FA3476"/>
    <w:rsid w:val="00FA48CC"/>
    <w:rsid w:val="00FA495F"/>
    <w:rsid w:val="00FB0C10"/>
    <w:rsid w:val="00FB3C36"/>
    <w:rsid w:val="00FB4280"/>
    <w:rsid w:val="00FB7CCE"/>
    <w:rsid w:val="00FC01C8"/>
    <w:rsid w:val="00FC4272"/>
    <w:rsid w:val="00FC5027"/>
    <w:rsid w:val="00FC50C7"/>
    <w:rsid w:val="00FC511D"/>
    <w:rsid w:val="00FC68BC"/>
    <w:rsid w:val="00FD11D4"/>
    <w:rsid w:val="00FD225D"/>
    <w:rsid w:val="00FD2384"/>
    <w:rsid w:val="00FE452E"/>
    <w:rsid w:val="00FF0895"/>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EF1AFB"/>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EF1AFB"/>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EF1AFB"/>
    <w:pPr>
      <w:keepNext/>
      <w:spacing w:after="0"/>
      <w:ind w:firstLine="0"/>
      <w:jc w:val="center"/>
      <w:outlineLvl w:val="6"/>
    </w:pPr>
    <w:rPr>
      <w:sz w:val="52"/>
      <w:lang w:eastAsia="es-ES"/>
    </w:rPr>
  </w:style>
  <w:style w:type="paragraph" w:styleId="Ttulo8">
    <w:name w:val="heading 8"/>
    <w:basedOn w:val="Normal"/>
    <w:next w:val="Normal"/>
    <w:link w:val="Ttulo8Car"/>
    <w:qFormat/>
    <w:rsid w:val="00EF1AFB"/>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EF1AFB"/>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EF3930"/>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EF1AFB"/>
    <w:rPr>
      <w:b/>
      <w:bCs/>
      <w:sz w:val="28"/>
      <w:szCs w:val="28"/>
    </w:rPr>
  </w:style>
  <w:style w:type="character" w:customStyle="1" w:styleId="Ttulo6Car">
    <w:name w:val="Título 6 Car"/>
    <w:basedOn w:val="Fuentedeprrafopredeter"/>
    <w:link w:val="Ttulo6"/>
    <w:rsid w:val="00EF1AFB"/>
    <w:rPr>
      <w:b/>
      <w:bCs/>
      <w:sz w:val="22"/>
      <w:szCs w:val="22"/>
    </w:rPr>
  </w:style>
  <w:style w:type="character" w:customStyle="1" w:styleId="Ttulo7Car">
    <w:name w:val="Título 7 Car"/>
    <w:basedOn w:val="Fuentedeprrafopredeter"/>
    <w:link w:val="Ttulo7"/>
    <w:rsid w:val="00EF1AFB"/>
    <w:rPr>
      <w:sz w:val="52"/>
    </w:rPr>
  </w:style>
  <w:style w:type="character" w:customStyle="1" w:styleId="Ttulo8Car">
    <w:name w:val="Título 8 Car"/>
    <w:basedOn w:val="Fuentedeprrafopredeter"/>
    <w:link w:val="Ttulo8"/>
    <w:rsid w:val="00EF1AFB"/>
    <w:rPr>
      <w:i/>
      <w:iCs/>
      <w:sz w:val="24"/>
      <w:szCs w:val="24"/>
    </w:rPr>
  </w:style>
  <w:style w:type="character" w:customStyle="1" w:styleId="Ttulo9Car">
    <w:name w:val="Título 9 Car"/>
    <w:basedOn w:val="Fuentedeprrafopredeter"/>
    <w:link w:val="Ttulo9"/>
    <w:rsid w:val="00EF1AFB"/>
    <w:rPr>
      <w:rFonts w:ascii="Arial" w:hAnsi="Arial" w:cs="Arial"/>
      <w:sz w:val="22"/>
      <w:szCs w:val="22"/>
    </w:rPr>
  </w:style>
  <w:style w:type="character" w:customStyle="1" w:styleId="atitulo1Car">
    <w:name w:val="atitulo1 Car"/>
    <w:basedOn w:val="Fuentedeprrafopredeter"/>
    <w:link w:val="atitulo1"/>
    <w:locked/>
    <w:rsid w:val="00EF1AFB"/>
    <w:rPr>
      <w:rFonts w:ascii="Arial" w:hAnsi="Arial"/>
      <w:b/>
      <w:color w:val="000000"/>
      <w:kern w:val="28"/>
      <w:sz w:val="25"/>
      <w:szCs w:val="26"/>
      <w:lang w:val="eu-ES" w:eastAsia="en-US"/>
    </w:rPr>
  </w:style>
  <w:style w:type="paragraph" w:styleId="Textonotapie">
    <w:name w:val="footnote text"/>
    <w:basedOn w:val="Normal"/>
    <w:link w:val="TextonotapieCar"/>
    <w:unhideWhenUsed/>
    <w:rsid w:val="00EF1AFB"/>
    <w:pPr>
      <w:spacing w:after="0"/>
    </w:pPr>
  </w:style>
  <w:style w:type="character" w:customStyle="1" w:styleId="TextonotapieCar">
    <w:name w:val="Texto nota pie Car"/>
    <w:basedOn w:val="Fuentedeprrafopredeter"/>
    <w:link w:val="Textonotapie"/>
    <w:rsid w:val="00EF1AFB"/>
    <w:rPr>
      <w:lang w:val="eu-ES" w:eastAsia="en-US"/>
    </w:rPr>
  </w:style>
  <w:style w:type="character" w:styleId="Refdenotaalpie">
    <w:name w:val="footnote reference"/>
    <w:basedOn w:val="Fuentedeprrafopredeter"/>
    <w:unhideWhenUsed/>
    <w:rsid w:val="00EF1AFB"/>
    <w:rPr>
      <w:vertAlign w:val="superscript"/>
    </w:rPr>
  </w:style>
  <w:style w:type="paragraph" w:styleId="NormalWeb">
    <w:name w:val="Normal (Web)"/>
    <w:basedOn w:val="Normal"/>
    <w:uiPriority w:val="99"/>
    <w:unhideWhenUsed/>
    <w:rsid w:val="00EF1AFB"/>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EF1AFB"/>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EF1AFB"/>
    <w:pPr>
      <w:ind w:left="720"/>
      <w:contextualSpacing/>
    </w:pPr>
  </w:style>
  <w:style w:type="character" w:customStyle="1" w:styleId="Ttulo1Car">
    <w:name w:val="Título 1 Car"/>
    <w:link w:val="Ttulo1"/>
    <w:locked/>
    <w:rsid w:val="00EF1AFB"/>
    <w:rPr>
      <w:rFonts w:ascii="Arial" w:hAnsi="Arial" w:cs="Arial"/>
      <w:b/>
      <w:bCs/>
      <w:kern w:val="32"/>
      <w:sz w:val="32"/>
      <w:szCs w:val="32"/>
      <w:lang w:val="eu-ES" w:eastAsia="en-US"/>
    </w:rPr>
  </w:style>
  <w:style w:type="character" w:customStyle="1" w:styleId="Ttulo2Car">
    <w:name w:val="Título 2 Car"/>
    <w:link w:val="Ttulo2"/>
    <w:locked/>
    <w:rsid w:val="00EF1AFB"/>
    <w:rPr>
      <w:rFonts w:ascii="Arial" w:hAnsi="Arial" w:cs="Arial"/>
      <w:b/>
      <w:bCs/>
      <w:i/>
      <w:iCs/>
      <w:sz w:val="28"/>
      <w:szCs w:val="28"/>
      <w:lang w:val="eu-ES" w:eastAsia="en-US"/>
    </w:rPr>
  </w:style>
  <w:style w:type="character" w:customStyle="1" w:styleId="Ttulo3Car">
    <w:name w:val="Título 3 Car"/>
    <w:link w:val="Ttulo3"/>
    <w:locked/>
    <w:rsid w:val="00EF1AFB"/>
    <w:rPr>
      <w:rFonts w:ascii="Arial" w:hAnsi="Arial" w:cs="Arial"/>
      <w:b/>
      <w:bCs/>
      <w:szCs w:val="26"/>
      <w:lang w:val="eu-ES" w:eastAsia="en-US"/>
    </w:rPr>
  </w:style>
  <w:style w:type="character" w:customStyle="1" w:styleId="Ttulo5Car">
    <w:name w:val="Título 5 Car"/>
    <w:link w:val="Ttulo5"/>
    <w:locked/>
    <w:rsid w:val="00EF1AFB"/>
    <w:rPr>
      <w:b/>
      <w:sz w:val="28"/>
      <w:lang w:eastAsia="en-US"/>
    </w:rPr>
  </w:style>
  <w:style w:type="character" w:customStyle="1" w:styleId="TextodegloboCar">
    <w:name w:val="Texto de globo Car"/>
    <w:link w:val="Textodeglobo"/>
    <w:semiHidden/>
    <w:locked/>
    <w:rsid w:val="00EF1AFB"/>
    <w:rPr>
      <w:rFonts w:ascii="Tahoma" w:hAnsi="Tahoma" w:cs="Tahoma"/>
      <w:sz w:val="16"/>
      <w:szCs w:val="16"/>
      <w:lang w:val="eu-ES" w:eastAsia="en-US"/>
    </w:rPr>
  </w:style>
  <w:style w:type="character" w:customStyle="1" w:styleId="EncabezadoCar">
    <w:name w:val="Encabezado Car"/>
    <w:link w:val="Encabezado"/>
    <w:locked/>
    <w:rsid w:val="00EF1AFB"/>
    <w:rPr>
      <w:bCs/>
      <w:caps/>
      <w:sz w:val="14"/>
      <w:szCs w:val="12"/>
      <w:lang w:val="eu-ES" w:eastAsia="en-US"/>
    </w:rPr>
  </w:style>
  <w:style w:type="character" w:customStyle="1" w:styleId="PiedepginaCar">
    <w:name w:val="Pie de página Car"/>
    <w:link w:val="Piedepgina"/>
    <w:locked/>
    <w:rsid w:val="00EF1AFB"/>
    <w:rPr>
      <w:spacing w:val="6"/>
      <w:lang w:val="eu-ES" w:eastAsia="en-US"/>
    </w:rPr>
  </w:style>
  <w:style w:type="paragraph" w:customStyle="1" w:styleId="cuatitul">
    <w:name w:val="cuatitul"/>
    <w:basedOn w:val="Normal"/>
    <w:rsid w:val="00EF1AFB"/>
    <w:pPr>
      <w:spacing w:after="60"/>
      <w:ind w:firstLine="0"/>
      <w:jc w:val="center"/>
    </w:pPr>
    <w:rPr>
      <w:rFonts w:ascii="GillSans" w:eastAsia="Calibri" w:hAnsi="GillSans"/>
      <w:sz w:val="22"/>
      <w:lang w:eastAsia="es-ES"/>
    </w:rPr>
  </w:style>
  <w:style w:type="paragraph" w:customStyle="1" w:styleId="TablaCC">
    <w:name w:val="TablaCC"/>
    <w:basedOn w:val="Normal"/>
    <w:rsid w:val="00EF1AFB"/>
    <w:pPr>
      <w:spacing w:before="200" w:after="0"/>
      <w:ind w:firstLine="0"/>
      <w:jc w:val="left"/>
    </w:pPr>
    <w:rPr>
      <w:rFonts w:ascii="Arial" w:eastAsia="Calibri" w:hAnsi="Arial"/>
      <w:b/>
      <w:sz w:val="24"/>
      <w:szCs w:val="24"/>
    </w:rPr>
  </w:style>
  <w:style w:type="paragraph" w:customStyle="1" w:styleId="xl25">
    <w:name w:val="xl25"/>
    <w:basedOn w:val="Normal"/>
    <w:rsid w:val="00EF1AFB"/>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EF1AF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F1AFB"/>
    <w:rPr>
      <w:rFonts w:ascii="Arial" w:eastAsia="Calibri" w:hAnsi="Arial"/>
      <w:sz w:val="24"/>
      <w:lang w:val="eu-ES"/>
    </w:rPr>
  </w:style>
  <w:style w:type="character" w:customStyle="1" w:styleId="AyuntamientoCar">
    <w:name w:val="Ayuntamiento Car"/>
    <w:link w:val="Ayuntamiento"/>
    <w:locked/>
    <w:rsid w:val="00EF1AFB"/>
    <w:rPr>
      <w:rFonts w:ascii="Arial" w:hAnsi="Arial"/>
      <w:sz w:val="24"/>
      <w:lang w:val="eu-ES"/>
    </w:rPr>
  </w:style>
  <w:style w:type="paragraph" w:customStyle="1" w:styleId="Ayuntamiento">
    <w:name w:val="Ayuntamiento"/>
    <w:basedOn w:val="Normal"/>
    <w:link w:val="AyuntamientoCar"/>
    <w:rsid w:val="00EF1AFB"/>
    <w:pPr>
      <w:spacing w:after="0"/>
      <w:ind w:firstLine="0"/>
    </w:pPr>
    <w:rPr>
      <w:rFonts w:ascii="Arial" w:hAnsi="Arial"/>
      <w:sz w:val="24"/>
      <w:lang w:eastAsia="es-ES"/>
    </w:rPr>
  </w:style>
  <w:style w:type="character" w:customStyle="1" w:styleId="JavierCar">
    <w:name w:val="Javier Car"/>
    <w:link w:val="Javier"/>
    <w:locked/>
    <w:rsid w:val="00EF1AFB"/>
    <w:rPr>
      <w:rFonts w:ascii="Arial" w:hAnsi="Arial"/>
      <w:sz w:val="24"/>
      <w:lang w:val="eu-ES"/>
    </w:rPr>
  </w:style>
  <w:style w:type="paragraph" w:customStyle="1" w:styleId="Javier">
    <w:name w:val="Javier"/>
    <w:basedOn w:val="Normal"/>
    <w:link w:val="JavierCar"/>
    <w:rsid w:val="00EF1AFB"/>
    <w:pPr>
      <w:spacing w:after="0"/>
      <w:ind w:firstLine="0"/>
    </w:pPr>
    <w:rPr>
      <w:rFonts w:ascii="Arial" w:hAnsi="Arial"/>
      <w:sz w:val="24"/>
      <w:lang w:eastAsia="es-ES"/>
    </w:rPr>
  </w:style>
  <w:style w:type="character" w:styleId="Textoennegrita">
    <w:name w:val="Strong"/>
    <w:uiPriority w:val="22"/>
    <w:qFormat/>
    <w:rsid w:val="00EF1AFB"/>
    <w:rPr>
      <w:b/>
    </w:rPr>
  </w:style>
  <w:style w:type="paragraph" w:customStyle="1" w:styleId="foral-f-parrafo-c">
    <w:name w:val="foral-f-parrafo-c"/>
    <w:basedOn w:val="Normal"/>
    <w:rsid w:val="00EF1AFB"/>
    <w:pPr>
      <w:spacing w:after="240"/>
      <w:ind w:firstLine="0"/>
      <w:jc w:val="left"/>
    </w:pPr>
    <w:rPr>
      <w:rFonts w:eastAsia="Calibri"/>
      <w:sz w:val="24"/>
      <w:szCs w:val="24"/>
      <w:lang w:eastAsia="es-ES"/>
    </w:rPr>
  </w:style>
  <w:style w:type="paragraph" w:customStyle="1" w:styleId="Estndar">
    <w:name w:val="Estándar"/>
    <w:rsid w:val="00EF1AFB"/>
    <w:pPr>
      <w:snapToGrid w:val="0"/>
    </w:pPr>
    <w:rPr>
      <w:rFonts w:ascii="CG Omega" w:hAnsi="CG Omega"/>
      <w:color w:val="000000"/>
      <w:sz w:val="22"/>
    </w:rPr>
  </w:style>
  <w:style w:type="paragraph" w:styleId="Textoindependiente2">
    <w:name w:val="Body Text 2"/>
    <w:basedOn w:val="Normal"/>
    <w:link w:val="Textoindependiente2Car"/>
    <w:rsid w:val="00EF1AFB"/>
    <w:pPr>
      <w:spacing w:after="120" w:line="480" w:lineRule="auto"/>
    </w:pPr>
    <w:rPr>
      <w:rFonts w:eastAsia="Calibri"/>
    </w:rPr>
  </w:style>
  <w:style w:type="character" w:customStyle="1" w:styleId="Textoindependiente2Car">
    <w:name w:val="Texto independiente 2 Car"/>
    <w:basedOn w:val="Fuentedeprrafopredeter"/>
    <w:link w:val="Textoindependiente2"/>
    <w:rsid w:val="00EF1AFB"/>
    <w:rPr>
      <w:rFonts w:eastAsia="Calibri"/>
      <w:lang w:val="eu-ES" w:eastAsia="en-US"/>
    </w:rPr>
  </w:style>
  <w:style w:type="paragraph" w:styleId="Textoindependiente3">
    <w:name w:val="Body Text 3"/>
    <w:basedOn w:val="Normal"/>
    <w:link w:val="Textoindependiente3Car"/>
    <w:rsid w:val="00EF1AFB"/>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EF1AFB"/>
    <w:rPr>
      <w:rFonts w:ascii="ITCCentury Book" w:hAnsi="ITCCentury Book"/>
      <w:b/>
      <w:sz w:val="96"/>
    </w:rPr>
  </w:style>
  <w:style w:type="paragraph" w:customStyle="1" w:styleId="c22">
    <w:name w:val="c22"/>
    <w:basedOn w:val="Normal"/>
    <w:rsid w:val="00EF1AFB"/>
    <w:pPr>
      <w:spacing w:before="100" w:beforeAutospacing="1" w:after="100" w:afterAutospacing="1"/>
      <w:ind w:firstLine="0"/>
      <w:jc w:val="left"/>
    </w:pPr>
    <w:rPr>
      <w:sz w:val="24"/>
      <w:szCs w:val="24"/>
      <w:lang w:eastAsia="es-ES"/>
    </w:rPr>
  </w:style>
  <w:style w:type="paragraph" w:customStyle="1" w:styleId="np">
    <w:name w:val="np"/>
    <w:basedOn w:val="Normal"/>
    <w:rsid w:val="00EF1AFB"/>
    <w:pPr>
      <w:spacing w:before="100" w:beforeAutospacing="1" w:after="100" w:afterAutospacing="1"/>
      <w:ind w:firstLine="0"/>
      <w:jc w:val="left"/>
    </w:pPr>
    <w:rPr>
      <w:sz w:val="24"/>
      <w:szCs w:val="24"/>
      <w:lang w:eastAsia="es-ES"/>
    </w:rPr>
  </w:style>
  <w:style w:type="paragraph" w:customStyle="1" w:styleId="Default">
    <w:name w:val="Default"/>
    <w:rsid w:val="00EF1AFB"/>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EF1AFB"/>
    <w:pPr>
      <w:overflowPunct w:val="0"/>
      <w:adjustRightInd w:val="0"/>
      <w:spacing w:before="240" w:after="0"/>
      <w:ind w:firstLine="0"/>
    </w:pPr>
    <w:rPr>
      <w:sz w:val="22"/>
      <w:lang w:eastAsia="es-ES"/>
    </w:rPr>
  </w:style>
  <w:style w:type="paragraph" w:customStyle="1" w:styleId="xa1">
    <w:name w:val="xa1"/>
    <w:basedOn w:val="Normal"/>
    <w:uiPriority w:val="99"/>
    <w:rsid w:val="00EF1AFB"/>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EF1AFB"/>
    <w:pPr>
      <w:spacing w:before="100" w:beforeAutospacing="1" w:after="100" w:afterAutospacing="1"/>
      <w:ind w:firstLine="0"/>
      <w:jc w:val="left"/>
    </w:pPr>
    <w:rPr>
      <w:sz w:val="24"/>
      <w:szCs w:val="24"/>
      <w:lang w:eastAsia="es-ES"/>
    </w:rPr>
  </w:style>
  <w:style w:type="character" w:customStyle="1" w:styleId="apple-converted-space">
    <w:name w:val="apple-converted-space"/>
    <w:rsid w:val="00EF1AFB"/>
  </w:style>
  <w:style w:type="paragraph" w:customStyle="1" w:styleId="pie">
    <w:name w:val="pie"/>
    <w:basedOn w:val="Normal"/>
    <w:rsid w:val="00EF1AFB"/>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EF1AFB"/>
  </w:style>
  <w:style w:type="character" w:customStyle="1" w:styleId="spelle">
    <w:name w:val="spelle"/>
    <w:rsid w:val="00EF1AFB"/>
  </w:style>
  <w:style w:type="character" w:customStyle="1" w:styleId="grame">
    <w:name w:val="grame"/>
    <w:rsid w:val="00EF1AFB"/>
  </w:style>
  <w:style w:type="paragraph" w:customStyle="1" w:styleId="Informal2">
    <w:name w:val="Informal2"/>
    <w:basedOn w:val="Normal"/>
    <w:rsid w:val="00EF1AFB"/>
    <w:pPr>
      <w:spacing w:before="60" w:after="60"/>
      <w:ind w:firstLine="0"/>
      <w:jc w:val="left"/>
    </w:pPr>
    <w:rPr>
      <w:rFonts w:ascii="Arial" w:hAnsi="Arial"/>
      <w:b/>
      <w:lang w:eastAsia="es-ES"/>
    </w:rPr>
  </w:style>
  <w:style w:type="paragraph" w:customStyle="1" w:styleId="xdef">
    <w:name w:val="xdef"/>
    <w:basedOn w:val="Normal"/>
    <w:rsid w:val="00EF1AFB"/>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uiPriority w:val="59"/>
    <w:rsid w:val="00EF1A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EF1AFB"/>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EF1AFB"/>
    <w:pPr>
      <w:spacing w:after="0"/>
    </w:pPr>
  </w:style>
  <w:style w:type="character" w:customStyle="1" w:styleId="TextonotaalfinalCar">
    <w:name w:val="Texto nota al final Car"/>
    <w:basedOn w:val="Fuentedeprrafopredeter"/>
    <w:link w:val="Textonotaalfinal"/>
    <w:rsid w:val="00EF1AFB"/>
    <w:rPr>
      <w:lang w:val="eu-ES" w:eastAsia="en-US"/>
    </w:rPr>
  </w:style>
  <w:style w:type="character" w:styleId="Refdenotaalfinal">
    <w:name w:val="endnote reference"/>
    <w:basedOn w:val="Fuentedeprrafopredeter"/>
    <w:rsid w:val="00EF1AFB"/>
    <w:rPr>
      <w:vertAlign w:val="superscript"/>
    </w:rPr>
  </w:style>
  <w:style w:type="character" w:styleId="Hipervnculovisitado">
    <w:name w:val="FollowedHyperlink"/>
    <w:basedOn w:val="Fuentedeprrafopredeter"/>
    <w:uiPriority w:val="99"/>
    <w:unhideWhenUsed/>
    <w:rsid w:val="00EF1AFB"/>
    <w:rPr>
      <w:color w:val="800080"/>
      <w:u w:val="single"/>
    </w:rPr>
  </w:style>
  <w:style w:type="paragraph" w:customStyle="1" w:styleId="xl66">
    <w:name w:val="xl66"/>
    <w:basedOn w:val="Normal"/>
    <w:rsid w:val="00EF1AFB"/>
    <w:pPr>
      <w:spacing w:before="100" w:beforeAutospacing="1" w:after="100" w:afterAutospacing="1"/>
      <w:ind w:firstLine="0"/>
      <w:jc w:val="left"/>
    </w:pPr>
    <w:rPr>
      <w:lang w:eastAsia="es-ES"/>
    </w:rPr>
  </w:style>
  <w:style w:type="paragraph" w:customStyle="1" w:styleId="xl67">
    <w:name w:val="xl67"/>
    <w:basedOn w:val="Normal"/>
    <w:rsid w:val="00EF1AFB"/>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EF1AFB"/>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EF1AFB"/>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EF1AFB"/>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EF1AFB"/>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EF1AFB"/>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EF1AFB"/>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EF1AFB"/>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EF1AFB"/>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EF1AFB"/>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EF1AFB"/>
    <w:rPr>
      <w:rFonts w:ascii="EYInterstate Light" w:hAnsi="EYInterstate Light"/>
      <w:szCs w:val="24"/>
      <w:lang w:val="eu-ES" w:eastAsia="en-US"/>
    </w:rPr>
  </w:style>
  <w:style w:type="character" w:styleId="Refdecomentario">
    <w:name w:val="annotation reference"/>
    <w:basedOn w:val="Fuentedeprrafopredeter"/>
    <w:semiHidden/>
    <w:unhideWhenUsed/>
    <w:rsid w:val="00EF1AFB"/>
    <w:rPr>
      <w:sz w:val="16"/>
      <w:szCs w:val="16"/>
    </w:rPr>
  </w:style>
  <w:style w:type="paragraph" w:styleId="Textocomentario">
    <w:name w:val="annotation text"/>
    <w:basedOn w:val="Normal"/>
    <w:link w:val="TextocomentarioCar"/>
    <w:unhideWhenUsed/>
    <w:rsid w:val="00EF1AFB"/>
  </w:style>
  <w:style w:type="character" w:customStyle="1" w:styleId="TextocomentarioCar">
    <w:name w:val="Texto comentario Car"/>
    <w:basedOn w:val="Fuentedeprrafopredeter"/>
    <w:link w:val="Textocomentario"/>
    <w:rsid w:val="00EF1AFB"/>
    <w:rPr>
      <w:lang w:val="eu-ES" w:eastAsia="en-US"/>
    </w:rPr>
  </w:style>
  <w:style w:type="paragraph" w:styleId="Asuntodelcomentario">
    <w:name w:val="annotation subject"/>
    <w:basedOn w:val="Textocomentario"/>
    <w:next w:val="Textocomentario"/>
    <w:link w:val="AsuntodelcomentarioCar"/>
    <w:semiHidden/>
    <w:unhideWhenUsed/>
    <w:rsid w:val="00EF1AFB"/>
    <w:rPr>
      <w:b/>
      <w:bCs/>
    </w:rPr>
  </w:style>
  <w:style w:type="character" w:customStyle="1" w:styleId="AsuntodelcomentarioCar">
    <w:name w:val="Asunto del comentario Car"/>
    <w:basedOn w:val="TextocomentarioCar"/>
    <w:link w:val="Asuntodelcomentario"/>
    <w:semiHidden/>
    <w:rsid w:val="00EF1AFB"/>
    <w:rPr>
      <w:b/>
      <w:bCs/>
      <w:lang w:val="eu-ES" w:eastAsia="en-US"/>
    </w:rPr>
  </w:style>
  <w:style w:type="paragraph" w:styleId="Revisin">
    <w:name w:val="Revision"/>
    <w:hidden/>
    <w:uiPriority w:val="99"/>
    <w:semiHidden/>
    <w:rsid w:val="00EF1AFB"/>
    <w:rPr>
      <w:lang w:eastAsia="en-US"/>
    </w:rPr>
  </w:style>
  <w:style w:type="character" w:customStyle="1" w:styleId="jselectarea">
    <w:name w:val="jselectarea"/>
    <w:basedOn w:val="Fuentedeprrafopredeter"/>
    <w:rsid w:val="00EF1AFB"/>
  </w:style>
  <w:style w:type="character" w:customStyle="1" w:styleId="atitulo3Car">
    <w:name w:val="atitulo3 Car"/>
    <w:link w:val="atitulo3"/>
    <w:uiPriority w:val="99"/>
    <w:rsid w:val="00EF1AFB"/>
    <w:rPr>
      <w:rFonts w:ascii="Arial" w:hAnsi="Arial"/>
      <w:i/>
      <w:iCs/>
      <w:color w:val="000000"/>
      <w:spacing w:val="10"/>
      <w:kern w:val="28"/>
      <w:sz w:val="25"/>
      <w:szCs w:val="26"/>
      <w:lang w:val="eu-ES" w:eastAsia="en-US"/>
    </w:rPr>
  </w:style>
  <w:style w:type="paragraph" w:customStyle="1" w:styleId="aaa">
    <w:name w:val="aaa"/>
    <w:basedOn w:val="Normal"/>
    <w:rsid w:val="00517A7A"/>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Estilo">
    <w:name w:val="Estilo"/>
    <w:rsid w:val="00E12ADB"/>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EF1AFB"/>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EF1AFB"/>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EF1AFB"/>
    <w:pPr>
      <w:keepNext/>
      <w:spacing w:after="0"/>
      <w:ind w:firstLine="0"/>
      <w:jc w:val="center"/>
      <w:outlineLvl w:val="6"/>
    </w:pPr>
    <w:rPr>
      <w:sz w:val="52"/>
      <w:lang w:eastAsia="es-ES"/>
    </w:rPr>
  </w:style>
  <w:style w:type="paragraph" w:styleId="Ttulo8">
    <w:name w:val="heading 8"/>
    <w:basedOn w:val="Normal"/>
    <w:next w:val="Normal"/>
    <w:link w:val="Ttulo8Car"/>
    <w:qFormat/>
    <w:rsid w:val="00EF1AFB"/>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EF1AFB"/>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EF3930"/>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EF1AFB"/>
    <w:rPr>
      <w:b/>
      <w:bCs/>
      <w:sz w:val="28"/>
      <w:szCs w:val="28"/>
    </w:rPr>
  </w:style>
  <w:style w:type="character" w:customStyle="1" w:styleId="Ttulo6Car">
    <w:name w:val="Título 6 Car"/>
    <w:basedOn w:val="Fuentedeprrafopredeter"/>
    <w:link w:val="Ttulo6"/>
    <w:rsid w:val="00EF1AFB"/>
    <w:rPr>
      <w:b/>
      <w:bCs/>
      <w:sz w:val="22"/>
      <w:szCs w:val="22"/>
    </w:rPr>
  </w:style>
  <w:style w:type="character" w:customStyle="1" w:styleId="Ttulo7Car">
    <w:name w:val="Título 7 Car"/>
    <w:basedOn w:val="Fuentedeprrafopredeter"/>
    <w:link w:val="Ttulo7"/>
    <w:rsid w:val="00EF1AFB"/>
    <w:rPr>
      <w:sz w:val="52"/>
    </w:rPr>
  </w:style>
  <w:style w:type="character" w:customStyle="1" w:styleId="Ttulo8Car">
    <w:name w:val="Título 8 Car"/>
    <w:basedOn w:val="Fuentedeprrafopredeter"/>
    <w:link w:val="Ttulo8"/>
    <w:rsid w:val="00EF1AFB"/>
    <w:rPr>
      <w:i/>
      <w:iCs/>
      <w:sz w:val="24"/>
      <w:szCs w:val="24"/>
    </w:rPr>
  </w:style>
  <w:style w:type="character" w:customStyle="1" w:styleId="Ttulo9Car">
    <w:name w:val="Título 9 Car"/>
    <w:basedOn w:val="Fuentedeprrafopredeter"/>
    <w:link w:val="Ttulo9"/>
    <w:rsid w:val="00EF1AFB"/>
    <w:rPr>
      <w:rFonts w:ascii="Arial" w:hAnsi="Arial" w:cs="Arial"/>
      <w:sz w:val="22"/>
      <w:szCs w:val="22"/>
    </w:rPr>
  </w:style>
  <w:style w:type="character" w:customStyle="1" w:styleId="atitulo1Car">
    <w:name w:val="atitulo1 Car"/>
    <w:basedOn w:val="Fuentedeprrafopredeter"/>
    <w:link w:val="atitulo1"/>
    <w:locked/>
    <w:rsid w:val="00EF1AFB"/>
    <w:rPr>
      <w:rFonts w:ascii="Arial" w:hAnsi="Arial"/>
      <w:b/>
      <w:color w:val="000000"/>
      <w:kern w:val="28"/>
      <w:sz w:val="25"/>
      <w:szCs w:val="26"/>
      <w:lang w:val="eu-ES" w:eastAsia="en-US"/>
    </w:rPr>
  </w:style>
  <w:style w:type="paragraph" w:styleId="Textonotapie">
    <w:name w:val="footnote text"/>
    <w:basedOn w:val="Normal"/>
    <w:link w:val="TextonotapieCar"/>
    <w:unhideWhenUsed/>
    <w:rsid w:val="00EF1AFB"/>
    <w:pPr>
      <w:spacing w:after="0"/>
    </w:pPr>
  </w:style>
  <w:style w:type="character" w:customStyle="1" w:styleId="TextonotapieCar">
    <w:name w:val="Texto nota pie Car"/>
    <w:basedOn w:val="Fuentedeprrafopredeter"/>
    <w:link w:val="Textonotapie"/>
    <w:rsid w:val="00EF1AFB"/>
    <w:rPr>
      <w:lang w:val="eu-ES" w:eastAsia="en-US"/>
    </w:rPr>
  </w:style>
  <w:style w:type="character" w:styleId="Refdenotaalpie">
    <w:name w:val="footnote reference"/>
    <w:basedOn w:val="Fuentedeprrafopredeter"/>
    <w:unhideWhenUsed/>
    <w:rsid w:val="00EF1AFB"/>
    <w:rPr>
      <w:vertAlign w:val="superscript"/>
    </w:rPr>
  </w:style>
  <w:style w:type="paragraph" w:styleId="NormalWeb">
    <w:name w:val="Normal (Web)"/>
    <w:basedOn w:val="Normal"/>
    <w:uiPriority w:val="99"/>
    <w:unhideWhenUsed/>
    <w:rsid w:val="00EF1AFB"/>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EF1AFB"/>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EF1AFB"/>
    <w:pPr>
      <w:ind w:left="720"/>
      <w:contextualSpacing/>
    </w:pPr>
  </w:style>
  <w:style w:type="character" w:customStyle="1" w:styleId="Ttulo1Car">
    <w:name w:val="Título 1 Car"/>
    <w:link w:val="Ttulo1"/>
    <w:locked/>
    <w:rsid w:val="00EF1AFB"/>
    <w:rPr>
      <w:rFonts w:ascii="Arial" w:hAnsi="Arial" w:cs="Arial"/>
      <w:b/>
      <w:bCs/>
      <w:kern w:val="32"/>
      <w:sz w:val="32"/>
      <w:szCs w:val="32"/>
      <w:lang w:val="eu-ES" w:eastAsia="en-US"/>
    </w:rPr>
  </w:style>
  <w:style w:type="character" w:customStyle="1" w:styleId="Ttulo2Car">
    <w:name w:val="Título 2 Car"/>
    <w:link w:val="Ttulo2"/>
    <w:locked/>
    <w:rsid w:val="00EF1AFB"/>
    <w:rPr>
      <w:rFonts w:ascii="Arial" w:hAnsi="Arial" w:cs="Arial"/>
      <w:b/>
      <w:bCs/>
      <w:i/>
      <w:iCs/>
      <w:sz w:val="28"/>
      <w:szCs w:val="28"/>
      <w:lang w:val="eu-ES" w:eastAsia="en-US"/>
    </w:rPr>
  </w:style>
  <w:style w:type="character" w:customStyle="1" w:styleId="Ttulo3Car">
    <w:name w:val="Título 3 Car"/>
    <w:link w:val="Ttulo3"/>
    <w:locked/>
    <w:rsid w:val="00EF1AFB"/>
    <w:rPr>
      <w:rFonts w:ascii="Arial" w:hAnsi="Arial" w:cs="Arial"/>
      <w:b/>
      <w:bCs/>
      <w:szCs w:val="26"/>
      <w:lang w:val="eu-ES" w:eastAsia="en-US"/>
    </w:rPr>
  </w:style>
  <w:style w:type="character" w:customStyle="1" w:styleId="Ttulo5Car">
    <w:name w:val="Título 5 Car"/>
    <w:link w:val="Ttulo5"/>
    <w:locked/>
    <w:rsid w:val="00EF1AFB"/>
    <w:rPr>
      <w:b/>
      <w:sz w:val="28"/>
      <w:lang w:eastAsia="en-US"/>
    </w:rPr>
  </w:style>
  <w:style w:type="character" w:customStyle="1" w:styleId="TextodegloboCar">
    <w:name w:val="Texto de globo Car"/>
    <w:link w:val="Textodeglobo"/>
    <w:semiHidden/>
    <w:locked/>
    <w:rsid w:val="00EF1AFB"/>
    <w:rPr>
      <w:rFonts w:ascii="Tahoma" w:hAnsi="Tahoma" w:cs="Tahoma"/>
      <w:sz w:val="16"/>
      <w:szCs w:val="16"/>
      <w:lang w:val="eu-ES" w:eastAsia="en-US"/>
    </w:rPr>
  </w:style>
  <w:style w:type="character" w:customStyle="1" w:styleId="EncabezadoCar">
    <w:name w:val="Encabezado Car"/>
    <w:link w:val="Encabezado"/>
    <w:locked/>
    <w:rsid w:val="00EF1AFB"/>
    <w:rPr>
      <w:bCs/>
      <w:caps/>
      <w:sz w:val="14"/>
      <w:szCs w:val="12"/>
      <w:lang w:val="eu-ES" w:eastAsia="en-US"/>
    </w:rPr>
  </w:style>
  <w:style w:type="character" w:customStyle="1" w:styleId="PiedepginaCar">
    <w:name w:val="Pie de página Car"/>
    <w:link w:val="Piedepgina"/>
    <w:locked/>
    <w:rsid w:val="00EF1AFB"/>
    <w:rPr>
      <w:spacing w:val="6"/>
      <w:lang w:val="eu-ES" w:eastAsia="en-US"/>
    </w:rPr>
  </w:style>
  <w:style w:type="paragraph" w:customStyle="1" w:styleId="cuatitul">
    <w:name w:val="cuatitul"/>
    <w:basedOn w:val="Normal"/>
    <w:rsid w:val="00EF1AFB"/>
    <w:pPr>
      <w:spacing w:after="60"/>
      <w:ind w:firstLine="0"/>
      <w:jc w:val="center"/>
    </w:pPr>
    <w:rPr>
      <w:rFonts w:ascii="GillSans" w:eastAsia="Calibri" w:hAnsi="GillSans"/>
      <w:sz w:val="22"/>
      <w:lang w:eastAsia="es-ES"/>
    </w:rPr>
  </w:style>
  <w:style w:type="paragraph" w:customStyle="1" w:styleId="TablaCC">
    <w:name w:val="TablaCC"/>
    <w:basedOn w:val="Normal"/>
    <w:rsid w:val="00EF1AFB"/>
    <w:pPr>
      <w:spacing w:before="200" w:after="0"/>
      <w:ind w:firstLine="0"/>
      <w:jc w:val="left"/>
    </w:pPr>
    <w:rPr>
      <w:rFonts w:ascii="Arial" w:eastAsia="Calibri" w:hAnsi="Arial"/>
      <w:b/>
      <w:sz w:val="24"/>
      <w:szCs w:val="24"/>
    </w:rPr>
  </w:style>
  <w:style w:type="paragraph" w:customStyle="1" w:styleId="xl25">
    <w:name w:val="xl25"/>
    <w:basedOn w:val="Normal"/>
    <w:rsid w:val="00EF1AFB"/>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EF1AF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F1AFB"/>
    <w:rPr>
      <w:rFonts w:ascii="Arial" w:eastAsia="Calibri" w:hAnsi="Arial"/>
      <w:sz w:val="24"/>
      <w:lang w:val="eu-ES"/>
    </w:rPr>
  </w:style>
  <w:style w:type="character" w:customStyle="1" w:styleId="AyuntamientoCar">
    <w:name w:val="Ayuntamiento Car"/>
    <w:link w:val="Ayuntamiento"/>
    <w:locked/>
    <w:rsid w:val="00EF1AFB"/>
    <w:rPr>
      <w:rFonts w:ascii="Arial" w:hAnsi="Arial"/>
      <w:sz w:val="24"/>
      <w:lang w:val="eu-ES"/>
    </w:rPr>
  </w:style>
  <w:style w:type="paragraph" w:customStyle="1" w:styleId="Ayuntamiento">
    <w:name w:val="Ayuntamiento"/>
    <w:basedOn w:val="Normal"/>
    <w:link w:val="AyuntamientoCar"/>
    <w:rsid w:val="00EF1AFB"/>
    <w:pPr>
      <w:spacing w:after="0"/>
      <w:ind w:firstLine="0"/>
    </w:pPr>
    <w:rPr>
      <w:rFonts w:ascii="Arial" w:hAnsi="Arial"/>
      <w:sz w:val="24"/>
      <w:lang w:eastAsia="es-ES"/>
    </w:rPr>
  </w:style>
  <w:style w:type="character" w:customStyle="1" w:styleId="JavierCar">
    <w:name w:val="Javier Car"/>
    <w:link w:val="Javier"/>
    <w:locked/>
    <w:rsid w:val="00EF1AFB"/>
    <w:rPr>
      <w:rFonts w:ascii="Arial" w:hAnsi="Arial"/>
      <w:sz w:val="24"/>
      <w:lang w:val="eu-ES"/>
    </w:rPr>
  </w:style>
  <w:style w:type="paragraph" w:customStyle="1" w:styleId="Javier">
    <w:name w:val="Javier"/>
    <w:basedOn w:val="Normal"/>
    <w:link w:val="JavierCar"/>
    <w:rsid w:val="00EF1AFB"/>
    <w:pPr>
      <w:spacing w:after="0"/>
      <w:ind w:firstLine="0"/>
    </w:pPr>
    <w:rPr>
      <w:rFonts w:ascii="Arial" w:hAnsi="Arial"/>
      <w:sz w:val="24"/>
      <w:lang w:eastAsia="es-ES"/>
    </w:rPr>
  </w:style>
  <w:style w:type="character" w:styleId="Textoennegrita">
    <w:name w:val="Strong"/>
    <w:uiPriority w:val="22"/>
    <w:qFormat/>
    <w:rsid w:val="00EF1AFB"/>
    <w:rPr>
      <w:b/>
    </w:rPr>
  </w:style>
  <w:style w:type="paragraph" w:customStyle="1" w:styleId="foral-f-parrafo-c">
    <w:name w:val="foral-f-parrafo-c"/>
    <w:basedOn w:val="Normal"/>
    <w:rsid w:val="00EF1AFB"/>
    <w:pPr>
      <w:spacing w:after="240"/>
      <w:ind w:firstLine="0"/>
      <w:jc w:val="left"/>
    </w:pPr>
    <w:rPr>
      <w:rFonts w:eastAsia="Calibri"/>
      <w:sz w:val="24"/>
      <w:szCs w:val="24"/>
      <w:lang w:eastAsia="es-ES"/>
    </w:rPr>
  </w:style>
  <w:style w:type="paragraph" w:customStyle="1" w:styleId="Estndar">
    <w:name w:val="Estándar"/>
    <w:rsid w:val="00EF1AFB"/>
    <w:pPr>
      <w:snapToGrid w:val="0"/>
    </w:pPr>
    <w:rPr>
      <w:rFonts w:ascii="CG Omega" w:hAnsi="CG Omega"/>
      <w:color w:val="000000"/>
      <w:sz w:val="22"/>
    </w:rPr>
  </w:style>
  <w:style w:type="paragraph" w:styleId="Textoindependiente2">
    <w:name w:val="Body Text 2"/>
    <w:basedOn w:val="Normal"/>
    <w:link w:val="Textoindependiente2Car"/>
    <w:rsid w:val="00EF1AFB"/>
    <w:pPr>
      <w:spacing w:after="120" w:line="480" w:lineRule="auto"/>
    </w:pPr>
    <w:rPr>
      <w:rFonts w:eastAsia="Calibri"/>
    </w:rPr>
  </w:style>
  <w:style w:type="character" w:customStyle="1" w:styleId="Textoindependiente2Car">
    <w:name w:val="Texto independiente 2 Car"/>
    <w:basedOn w:val="Fuentedeprrafopredeter"/>
    <w:link w:val="Textoindependiente2"/>
    <w:rsid w:val="00EF1AFB"/>
    <w:rPr>
      <w:rFonts w:eastAsia="Calibri"/>
      <w:lang w:val="eu-ES" w:eastAsia="en-US"/>
    </w:rPr>
  </w:style>
  <w:style w:type="paragraph" w:styleId="Textoindependiente3">
    <w:name w:val="Body Text 3"/>
    <w:basedOn w:val="Normal"/>
    <w:link w:val="Textoindependiente3Car"/>
    <w:rsid w:val="00EF1AFB"/>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EF1AFB"/>
    <w:rPr>
      <w:rFonts w:ascii="ITCCentury Book" w:hAnsi="ITCCentury Book"/>
      <w:b/>
      <w:sz w:val="96"/>
    </w:rPr>
  </w:style>
  <w:style w:type="paragraph" w:customStyle="1" w:styleId="c22">
    <w:name w:val="c22"/>
    <w:basedOn w:val="Normal"/>
    <w:rsid w:val="00EF1AFB"/>
    <w:pPr>
      <w:spacing w:before="100" w:beforeAutospacing="1" w:after="100" w:afterAutospacing="1"/>
      <w:ind w:firstLine="0"/>
      <w:jc w:val="left"/>
    </w:pPr>
    <w:rPr>
      <w:sz w:val="24"/>
      <w:szCs w:val="24"/>
      <w:lang w:eastAsia="es-ES"/>
    </w:rPr>
  </w:style>
  <w:style w:type="paragraph" w:customStyle="1" w:styleId="np">
    <w:name w:val="np"/>
    <w:basedOn w:val="Normal"/>
    <w:rsid w:val="00EF1AFB"/>
    <w:pPr>
      <w:spacing w:before="100" w:beforeAutospacing="1" w:after="100" w:afterAutospacing="1"/>
      <w:ind w:firstLine="0"/>
      <w:jc w:val="left"/>
    </w:pPr>
    <w:rPr>
      <w:sz w:val="24"/>
      <w:szCs w:val="24"/>
      <w:lang w:eastAsia="es-ES"/>
    </w:rPr>
  </w:style>
  <w:style w:type="paragraph" w:customStyle="1" w:styleId="Default">
    <w:name w:val="Default"/>
    <w:rsid w:val="00EF1AFB"/>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EF1AFB"/>
    <w:pPr>
      <w:overflowPunct w:val="0"/>
      <w:adjustRightInd w:val="0"/>
      <w:spacing w:before="240" w:after="0"/>
      <w:ind w:firstLine="0"/>
    </w:pPr>
    <w:rPr>
      <w:sz w:val="22"/>
      <w:lang w:eastAsia="es-ES"/>
    </w:rPr>
  </w:style>
  <w:style w:type="paragraph" w:customStyle="1" w:styleId="xa1">
    <w:name w:val="xa1"/>
    <w:basedOn w:val="Normal"/>
    <w:uiPriority w:val="99"/>
    <w:rsid w:val="00EF1AFB"/>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EF1AFB"/>
    <w:pPr>
      <w:spacing w:before="100" w:beforeAutospacing="1" w:after="100" w:afterAutospacing="1"/>
      <w:ind w:firstLine="0"/>
      <w:jc w:val="left"/>
    </w:pPr>
    <w:rPr>
      <w:sz w:val="24"/>
      <w:szCs w:val="24"/>
      <w:lang w:eastAsia="es-ES"/>
    </w:rPr>
  </w:style>
  <w:style w:type="character" w:customStyle="1" w:styleId="apple-converted-space">
    <w:name w:val="apple-converted-space"/>
    <w:rsid w:val="00EF1AFB"/>
  </w:style>
  <w:style w:type="paragraph" w:customStyle="1" w:styleId="pie">
    <w:name w:val="pie"/>
    <w:basedOn w:val="Normal"/>
    <w:rsid w:val="00EF1AFB"/>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EF1AFB"/>
  </w:style>
  <w:style w:type="character" w:customStyle="1" w:styleId="spelle">
    <w:name w:val="spelle"/>
    <w:rsid w:val="00EF1AFB"/>
  </w:style>
  <w:style w:type="character" w:customStyle="1" w:styleId="grame">
    <w:name w:val="grame"/>
    <w:rsid w:val="00EF1AFB"/>
  </w:style>
  <w:style w:type="paragraph" w:customStyle="1" w:styleId="Informal2">
    <w:name w:val="Informal2"/>
    <w:basedOn w:val="Normal"/>
    <w:rsid w:val="00EF1AFB"/>
    <w:pPr>
      <w:spacing w:before="60" w:after="60"/>
      <w:ind w:firstLine="0"/>
      <w:jc w:val="left"/>
    </w:pPr>
    <w:rPr>
      <w:rFonts w:ascii="Arial" w:hAnsi="Arial"/>
      <w:b/>
      <w:lang w:eastAsia="es-ES"/>
    </w:rPr>
  </w:style>
  <w:style w:type="paragraph" w:customStyle="1" w:styleId="xdef">
    <w:name w:val="xdef"/>
    <w:basedOn w:val="Normal"/>
    <w:rsid w:val="00EF1AFB"/>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uiPriority w:val="59"/>
    <w:rsid w:val="00EF1A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EF1AFB"/>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EF1AFB"/>
    <w:pPr>
      <w:spacing w:after="0"/>
    </w:pPr>
  </w:style>
  <w:style w:type="character" w:customStyle="1" w:styleId="TextonotaalfinalCar">
    <w:name w:val="Texto nota al final Car"/>
    <w:basedOn w:val="Fuentedeprrafopredeter"/>
    <w:link w:val="Textonotaalfinal"/>
    <w:rsid w:val="00EF1AFB"/>
    <w:rPr>
      <w:lang w:val="eu-ES" w:eastAsia="en-US"/>
    </w:rPr>
  </w:style>
  <w:style w:type="character" w:styleId="Refdenotaalfinal">
    <w:name w:val="endnote reference"/>
    <w:basedOn w:val="Fuentedeprrafopredeter"/>
    <w:rsid w:val="00EF1AFB"/>
    <w:rPr>
      <w:vertAlign w:val="superscript"/>
    </w:rPr>
  </w:style>
  <w:style w:type="character" w:styleId="Hipervnculovisitado">
    <w:name w:val="FollowedHyperlink"/>
    <w:basedOn w:val="Fuentedeprrafopredeter"/>
    <w:uiPriority w:val="99"/>
    <w:unhideWhenUsed/>
    <w:rsid w:val="00EF1AFB"/>
    <w:rPr>
      <w:color w:val="800080"/>
      <w:u w:val="single"/>
    </w:rPr>
  </w:style>
  <w:style w:type="paragraph" w:customStyle="1" w:styleId="xl66">
    <w:name w:val="xl66"/>
    <w:basedOn w:val="Normal"/>
    <w:rsid w:val="00EF1AFB"/>
    <w:pPr>
      <w:spacing w:before="100" w:beforeAutospacing="1" w:after="100" w:afterAutospacing="1"/>
      <w:ind w:firstLine="0"/>
      <w:jc w:val="left"/>
    </w:pPr>
    <w:rPr>
      <w:lang w:eastAsia="es-ES"/>
    </w:rPr>
  </w:style>
  <w:style w:type="paragraph" w:customStyle="1" w:styleId="xl67">
    <w:name w:val="xl67"/>
    <w:basedOn w:val="Normal"/>
    <w:rsid w:val="00EF1AFB"/>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EF1AFB"/>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EF1AFB"/>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EF1AFB"/>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EF1AFB"/>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EF1AFB"/>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EF1AFB"/>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EF1AFB"/>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EF1AFB"/>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EF1AFB"/>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EF1AFB"/>
    <w:rPr>
      <w:rFonts w:ascii="EYInterstate Light" w:hAnsi="EYInterstate Light"/>
      <w:szCs w:val="24"/>
      <w:lang w:val="eu-ES" w:eastAsia="en-US"/>
    </w:rPr>
  </w:style>
  <w:style w:type="character" w:styleId="Refdecomentario">
    <w:name w:val="annotation reference"/>
    <w:basedOn w:val="Fuentedeprrafopredeter"/>
    <w:semiHidden/>
    <w:unhideWhenUsed/>
    <w:rsid w:val="00EF1AFB"/>
    <w:rPr>
      <w:sz w:val="16"/>
      <w:szCs w:val="16"/>
    </w:rPr>
  </w:style>
  <w:style w:type="paragraph" w:styleId="Textocomentario">
    <w:name w:val="annotation text"/>
    <w:basedOn w:val="Normal"/>
    <w:link w:val="TextocomentarioCar"/>
    <w:unhideWhenUsed/>
    <w:rsid w:val="00EF1AFB"/>
  </w:style>
  <w:style w:type="character" w:customStyle="1" w:styleId="TextocomentarioCar">
    <w:name w:val="Texto comentario Car"/>
    <w:basedOn w:val="Fuentedeprrafopredeter"/>
    <w:link w:val="Textocomentario"/>
    <w:rsid w:val="00EF1AFB"/>
    <w:rPr>
      <w:lang w:val="eu-ES" w:eastAsia="en-US"/>
    </w:rPr>
  </w:style>
  <w:style w:type="paragraph" w:styleId="Asuntodelcomentario">
    <w:name w:val="annotation subject"/>
    <w:basedOn w:val="Textocomentario"/>
    <w:next w:val="Textocomentario"/>
    <w:link w:val="AsuntodelcomentarioCar"/>
    <w:semiHidden/>
    <w:unhideWhenUsed/>
    <w:rsid w:val="00EF1AFB"/>
    <w:rPr>
      <w:b/>
      <w:bCs/>
    </w:rPr>
  </w:style>
  <w:style w:type="character" w:customStyle="1" w:styleId="AsuntodelcomentarioCar">
    <w:name w:val="Asunto del comentario Car"/>
    <w:basedOn w:val="TextocomentarioCar"/>
    <w:link w:val="Asuntodelcomentario"/>
    <w:semiHidden/>
    <w:rsid w:val="00EF1AFB"/>
    <w:rPr>
      <w:b/>
      <w:bCs/>
      <w:lang w:val="eu-ES" w:eastAsia="en-US"/>
    </w:rPr>
  </w:style>
  <w:style w:type="paragraph" w:styleId="Revisin">
    <w:name w:val="Revision"/>
    <w:hidden/>
    <w:uiPriority w:val="99"/>
    <w:semiHidden/>
    <w:rsid w:val="00EF1AFB"/>
    <w:rPr>
      <w:lang w:eastAsia="en-US"/>
    </w:rPr>
  </w:style>
  <w:style w:type="character" w:customStyle="1" w:styleId="jselectarea">
    <w:name w:val="jselectarea"/>
    <w:basedOn w:val="Fuentedeprrafopredeter"/>
    <w:rsid w:val="00EF1AFB"/>
  </w:style>
  <w:style w:type="character" w:customStyle="1" w:styleId="atitulo3Car">
    <w:name w:val="atitulo3 Car"/>
    <w:link w:val="atitulo3"/>
    <w:uiPriority w:val="99"/>
    <w:rsid w:val="00EF1AFB"/>
    <w:rPr>
      <w:rFonts w:ascii="Arial" w:hAnsi="Arial"/>
      <w:i/>
      <w:iCs/>
      <w:color w:val="000000"/>
      <w:spacing w:val="10"/>
      <w:kern w:val="28"/>
      <w:sz w:val="25"/>
      <w:szCs w:val="26"/>
      <w:lang w:val="eu-ES" w:eastAsia="en-US"/>
    </w:rPr>
  </w:style>
  <w:style w:type="paragraph" w:customStyle="1" w:styleId="aaa">
    <w:name w:val="aaa"/>
    <w:basedOn w:val="Normal"/>
    <w:rsid w:val="00517A7A"/>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Estilo">
    <w:name w:val="Estilo"/>
    <w:rsid w:val="00E12ADB"/>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4396</Words>
  <Characters>33119</Characters>
  <Application>Microsoft Office Word</Application>
  <DocSecurity>0</DocSecurity>
  <Lines>275</Lines>
  <Paragraphs>74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d156363</dc:creator>
  <cp:lastModifiedBy>Iñaki De Santiago</cp:lastModifiedBy>
  <cp:revision>2</cp:revision>
  <cp:lastPrinted>2021-06-08T11:14:00Z</cp:lastPrinted>
  <dcterms:created xsi:type="dcterms:W3CDTF">2021-09-14T10:10:00Z</dcterms:created>
  <dcterms:modified xsi:type="dcterms:W3CDTF">2021-09-14T10:10:00Z</dcterms:modified>
</cp:coreProperties>
</file>