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B124D2"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-150628</wp:posOffset>
                </wp:positionH>
                <wp:positionV relativeFrom="paragraph">
                  <wp:posOffset>-817586</wp:posOffset>
                </wp:positionV>
                <wp:extent cx="1112293" cy="1016758"/>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293" cy="101675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87814" w:rsidRPr="003A7956" w:rsidRDefault="00D87814" w:rsidP="004C3423">
                            <w:pPr>
                              <w:spacing w:after="0"/>
                              <w:ind w:firstLine="0"/>
                              <w:jc w:val="center"/>
                              <w:rPr>
                                <w:sz w:val="18"/>
                                <w:szCs w:val="18"/>
                                <w:lang w:val="es-ES"/>
                              </w:rPr>
                            </w:pPr>
                            <w:r w:rsidRPr="003A7956">
                              <w:rPr>
                                <w:sz w:val="18"/>
                                <w:szCs w:val="18"/>
                                <w:lang w:val="es-ES"/>
                              </w:rPr>
                              <w:t>CAMARA DE</w:t>
                            </w:r>
                          </w:p>
                          <w:p w:rsidR="00D87814" w:rsidRPr="003A7956" w:rsidRDefault="00D87814" w:rsidP="004C3423">
                            <w:pPr>
                              <w:spacing w:after="0"/>
                              <w:ind w:firstLine="0"/>
                              <w:jc w:val="center"/>
                              <w:rPr>
                                <w:sz w:val="18"/>
                                <w:szCs w:val="18"/>
                                <w:lang w:val="es-ES"/>
                              </w:rPr>
                            </w:pPr>
                            <w:r w:rsidRPr="003A7956">
                              <w:rPr>
                                <w:sz w:val="18"/>
                                <w:szCs w:val="18"/>
                                <w:lang w:val="es-ES"/>
                              </w:rPr>
                              <w:t>COMPTOS</w:t>
                            </w:r>
                          </w:p>
                          <w:p w:rsidR="00D87814" w:rsidRPr="003A7956" w:rsidRDefault="00D87814" w:rsidP="004C3423">
                            <w:pPr>
                              <w:spacing w:after="0"/>
                              <w:ind w:firstLine="0"/>
                              <w:jc w:val="center"/>
                              <w:rPr>
                                <w:sz w:val="18"/>
                                <w:szCs w:val="18"/>
                                <w:lang w:val="es-ES"/>
                              </w:rPr>
                            </w:pPr>
                            <w:r w:rsidRPr="003A7956">
                              <w:rPr>
                                <w:sz w:val="18"/>
                                <w:szCs w:val="18"/>
                                <w:lang w:val="es-ES"/>
                              </w:rPr>
                              <w:t>DE NAVARRA</w:t>
                            </w:r>
                          </w:p>
                          <w:p w:rsidR="00D87814" w:rsidRPr="003A7956" w:rsidRDefault="00D87814" w:rsidP="004C3423">
                            <w:pPr>
                              <w:spacing w:after="0"/>
                              <w:ind w:firstLine="0"/>
                              <w:jc w:val="center"/>
                              <w:rPr>
                                <w:color w:val="808080"/>
                                <w:sz w:val="18"/>
                                <w:szCs w:val="18"/>
                                <w:lang w:val="es-ES"/>
                              </w:rPr>
                            </w:pPr>
                            <w:r w:rsidRPr="003A7956">
                              <w:rPr>
                                <w:color w:val="808080"/>
                                <w:sz w:val="18"/>
                                <w:szCs w:val="18"/>
                                <w:lang w:val="es-ES"/>
                              </w:rPr>
                              <w:t>NAFARROAKO</w:t>
                            </w:r>
                          </w:p>
                          <w:p w:rsidR="00D87814" w:rsidRPr="003A7956" w:rsidRDefault="00D87814" w:rsidP="004C3423">
                            <w:pPr>
                              <w:spacing w:after="0"/>
                              <w:ind w:firstLine="0"/>
                              <w:jc w:val="center"/>
                              <w:rPr>
                                <w:color w:val="808080"/>
                                <w:sz w:val="18"/>
                                <w:szCs w:val="18"/>
                                <w:lang w:val="es-ES"/>
                              </w:rPr>
                            </w:pPr>
                            <w:r w:rsidRPr="003A7956">
                              <w:rPr>
                                <w:color w:val="808080"/>
                                <w:sz w:val="18"/>
                                <w:szCs w:val="18"/>
                                <w:lang w:val="es-ES"/>
                              </w:rPr>
                              <w:t>KONTUEN</w:t>
                            </w:r>
                          </w:p>
                          <w:p w:rsidR="00D87814" w:rsidRPr="003A7956" w:rsidRDefault="00D87814" w:rsidP="004C3423">
                            <w:pPr>
                              <w:spacing w:after="0"/>
                              <w:ind w:firstLine="0"/>
                              <w:jc w:val="center"/>
                              <w:rPr>
                                <w:color w:val="808080"/>
                                <w:sz w:val="18"/>
                                <w:szCs w:val="18"/>
                                <w:lang w:val="es-ES"/>
                              </w:rPr>
                            </w:pPr>
                            <w:r w:rsidRPr="003A7956">
                              <w:rPr>
                                <w:color w:val="808080"/>
                                <w:sz w:val="18"/>
                                <w:szCs w:val="18"/>
                                <w:lang w:val="es-ES"/>
                              </w:rPr>
                              <w:t>GANBERA</w:t>
                            </w:r>
                          </w:p>
                          <w:p w:rsidR="00D87814" w:rsidRPr="002C7026" w:rsidRDefault="00D8781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85pt;margin-top:-64.4pt;width:87.6pt;height: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" stroked="f" strokecolor="white">
                <v:textbox>
                  <w:txbxContent>
                    <w:p w:rsidR="00D87814" w:rsidRPr="003A7956" w:rsidRDefault="00D87814" w:rsidP="004C3423">
                      <w:pPr>
                        <w:spacing w:after="0"/>
                        <w:ind w:firstLine="0"/>
                        <w:jc w:val="center"/>
                        <w:rPr>
                          <w:sz w:val="18"/>
                          <w:szCs w:val="18"/>
                          <w:lang w:val="es-ES"/>
                        </w:rPr>
                      </w:pPr>
                      <w:r w:rsidRPr="003A7956">
                        <w:rPr>
                          <w:sz w:val="18"/>
                          <w:szCs w:val="18"/>
                          <w:lang w:val="es-ES"/>
                        </w:rPr>
                        <w:t>CAMARA DE</w:t>
                      </w:r>
                    </w:p>
                    <w:p w:rsidR="00D87814" w:rsidRPr="003A7956" w:rsidRDefault="00D87814" w:rsidP="004C3423">
                      <w:pPr>
                        <w:spacing w:after="0"/>
                        <w:ind w:firstLine="0"/>
                        <w:jc w:val="center"/>
                        <w:rPr>
                          <w:sz w:val="18"/>
                          <w:szCs w:val="18"/>
                          <w:lang w:val="es-ES"/>
                        </w:rPr>
                      </w:pPr>
                      <w:r w:rsidRPr="003A7956">
                        <w:rPr>
                          <w:sz w:val="18"/>
                          <w:szCs w:val="18"/>
                          <w:lang w:val="es-ES"/>
                        </w:rPr>
                        <w:t>COMPTOS</w:t>
                      </w:r>
                    </w:p>
                    <w:p w:rsidR="00D87814" w:rsidRPr="003A7956" w:rsidRDefault="00D87814" w:rsidP="004C3423">
                      <w:pPr>
                        <w:spacing w:after="0"/>
                        <w:ind w:firstLine="0"/>
                        <w:jc w:val="center"/>
                        <w:rPr>
                          <w:sz w:val="18"/>
                          <w:szCs w:val="18"/>
                          <w:lang w:val="es-ES"/>
                        </w:rPr>
                      </w:pPr>
                      <w:r w:rsidRPr="003A7956">
                        <w:rPr>
                          <w:sz w:val="18"/>
                          <w:szCs w:val="18"/>
                          <w:lang w:val="es-ES"/>
                        </w:rPr>
                        <w:t>DE NAVARRA</w:t>
                      </w:r>
                    </w:p>
                    <w:p w:rsidR="00D87814" w:rsidRPr="003A7956" w:rsidRDefault="00D87814" w:rsidP="004C3423">
                      <w:pPr>
                        <w:spacing w:after="0"/>
                        <w:ind w:firstLine="0"/>
                        <w:jc w:val="center"/>
                        <w:rPr>
                          <w:color w:val="808080"/>
                          <w:sz w:val="18"/>
                          <w:szCs w:val="18"/>
                          <w:lang w:val="es-ES"/>
                        </w:rPr>
                      </w:pPr>
                      <w:r w:rsidRPr="003A7956">
                        <w:rPr>
                          <w:color w:val="808080"/>
                          <w:sz w:val="18"/>
                          <w:szCs w:val="18"/>
                          <w:lang w:val="es-ES"/>
                        </w:rPr>
                        <w:t>NAFARROAKO</w:t>
                      </w:r>
                    </w:p>
                    <w:p w:rsidR="00D87814" w:rsidRPr="003A7956" w:rsidRDefault="00D87814" w:rsidP="004C3423">
                      <w:pPr>
                        <w:spacing w:after="0"/>
                        <w:ind w:firstLine="0"/>
                        <w:jc w:val="center"/>
                        <w:rPr>
                          <w:color w:val="808080"/>
                          <w:sz w:val="18"/>
                          <w:szCs w:val="18"/>
                          <w:lang w:val="es-ES"/>
                        </w:rPr>
                      </w:pPr>
                      <w:r w:rsidRPr="003A7956">
                        <w:rPr>
                          <w:color w:val="808080"/>
                          <w:sz w:val="18"/>
                          <w:szCs w:val="18"/>
                          <w:lang w:val="es-ES"/>
                        </w:rPr>
                        <w:t>KONTUEN</w:t>
                      </w:r>
                    </w:p>
                    <w:p w:rsidR="00D87814" w:rsidRPr="003A7956" w:rsidRDefault="00D87814" w:rsidP="004C3423">
                      <w:pPr>
                        <w:spacing w:after="0"/>
                        <w:ind w:firstLine="0"/>
                        <w:jc w:val="center"/>
                        <w:rPr>
                          <w:color w:val="808080"/>
                          <w:sz w:val="18"/>
                          <w:szCs w:val="18"/>
                          <w:lang w:val="es-ES"/>
                        </w:rPr>
                      </w:pPr>
                      <w:r w:rsidRPr="003A7956">
                        <w:rPr>
                          <w:color w:val="808080"/>
                          <w:sz w:val="18"/>
                          <w:szCs w:val="18"/>
                          <w:lang w:val="es-ES"/>
                        </w:rPr>
                        <w:t>GANBERA</w:t>
                      </w:r>
                    </w:p>
                    <w:p w:rsidR="00D87814" w:rsidRPr="002C7026" w:rsidRDefault="00D87814" w:rsidP="002C7026">
                      <w:pPr>
                        <w:spacing w:after="0"/>
                        <w:ind w:firstLine="0"/>
                        <w:jc w:val="center"/>
                        <w:rPr>
                          <w:rFonts w:ascii="Trajan" w:hAnsi="Trajan"/>
                          <w:color w:val="808080"/>
                          <w:sz w:val="18"/>
                          <w:szCs w:val="18"/>
                          <w:lang w:val="es-ES"/>
                        </w:rPr>
                      </w:pPr>
                    </w:p>
                  </w:txbxContent>
                </v:textbox>
              </v:shape>
            </w:pict>
          </mc:Fallback>
        </mc:AlternateContent>
      </w:r>
    </w:p>
    <w:p w:rsidR="003A6A45" w:rsidRPr="006E77E2" w:rsidRDefault="001F1331" w:rsidP="006E77E2">
      <w:pPr>
        <w:pStyle w:val="EstiloPortada"/>
        <w:ind w:left="2552" w:right="0"/>
        <w:jc w:val="both"/>
        <w:rPr>
          <w:color w:val="A6A6A6" w:themeColor="background1" w:themeShade="A6"/>
          <w:sz w:val="44"/>
          <w:szCs w:val="44"/>
        </w:rPr>
      </w:pPr>
      <w:r>
        <w:rPr>
          <w:color w:val="A6A6A6" w:themeColor="background1" w:themeShade="A6"/>
          <w:sz w:val="44"/>
          <w:szCs w:val="44"/>
        </w:rPr>
        <w:t xml:space="preserve">Informe </w:t>
      </w:r>
      <w:r w:rsidR="007342DE">
        <w:rPr>
          <w:color w:val="A6A6A6" w:themeColor="background1" w:themeShade="A6"/>
          <w:sz w:val="44"/>
          <w:szCs w:val="44"/>
        </w:rPr>
        <w:t>definitivo</w:t>
      </w:r>
    </w:p>
    <w:p w:rsidR="006E77E2" w:rsidRDefault="00EF1AFB" w:rsidP="006E77E2">
      <w:pPr>
        <w:pStyle w:val="EstiloPortada"/>
        <w:ind w:left="2552" w:right="0"/>
        <w:jc w:val="both"/>
        <w:rPr>
          <w:sz w:val="44"/>
          <w:szCs w:val="44"/>
        </w:rPr>
      </w:pPr>
      <w:r w:rsidRPr="006E77E2">
        <w:rPr>
          <w:sz w:val="44"/>
          <w:szCs w:val="44"/>
        </w:rPr>
        <w:t xml:space="preserve">Seguimiento de recomendaciones sobre la Fundación </w:t>
      </w:r>
    </w:p>
    <w:p w:rsidR="00EF1AFB" w:rsidRPr="006E77E2" w:rsidRDefault="00EF1AFB" w:rsidP="006E77E2">
      <w:pPr>
        <w:pStyle w:val="EstiloPortada"/>
        <w:ind w:left="2552" w:right="0"/>
        <w:jc w:val="both"/>
        <w:rPr>
          <w:sz w:val="44"/>
          <w:szCs w:val="44"/>
        </w:rPr>
      </w:pPr>
      <w:r w:rsidRPr="006E77E2">
        <w:rPr>
          <w:sz w:val="44"/>
          <w:szCs w:val="44"/>
        </w:rPr>
        <w:t>Miguel Servet</w:t>
      </w: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AF5340" w:rsidRDefault="00AF5340" w:rsidP="00891D73">
      <w:pPr>
        <w:pStyle w:val="texto"/>
      </w:pPr>
    </w:p>
    <w:p w:rsidR="00AF5340" w:rsidRDefault="00AF5340" w:rsidP="00891D73">
      <w:pPr>
        <w:pStyle w:val="texto"/>
      </w:pPr>
    </w:p>
    <w:p w:rsidR="00AF5340" w:rsidRDefault="00AF5340" w:rsidP="00891D73">
      <w:pPr>
        <w:pStyle w:val="texto"/>
      </w:pPr>
    </w:p>
    <w:p w:rsidR="00AF5340" w:rsidRDefault="00AF5340" w:rsidP="00891D73">
      <w:pPr>
        <w:pStyle w:val="texto"/>
      </w:pPr>
    </w:p>
    <w:p w:rsidR="00AF5340" w:rsidRPr="00204979" w:rsidRDefault="00AF5340" w:rsidP="00891D73">
      <w:pPr>
        <w:pStyle w:val="texto"/>
      </w:pPr>
    </w:p>
    <w:p w:rsidR="00844F74" w:rsidRPr="00204979" w:rsidRDefault="00844F74" w:rsidP="00891D73">
      <w:pPr>
        <w:pStyle w:val="texto"/>
      </w:pPr>
    </w:p>
    <w:p w:rsidR="00716463" w:rsidRPr="001D4F09" w:rsidRDefault="00770CEA" w:rsidP="009936FC">
      <w:pPr>
        <w:pStyle w:val="Fechaportada"/>
      </w:pPr>
      <w:r>
        <w:t>Junio</w:t>
      </w:r>
      <w:r w:rsidR="00EF1AFB">
        <w:t xml:space="preserve"> de 2021</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357D47" w:rsidRDefault="00357D47" w:rsidP="00891D73">
      <w:pPr>
        <w:pStyle w:val="ndice"/>
      </w:pPr>
    </w:p>
    <w:p w:rsidR="00D6758E"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75427851" w:history="1">
        <w:r w:rsidR="00D6758E" w:rsidRPr="00251AAB">
          <w:rPr>
            <w:rStyle w:val="Hipervnculo"/>
            <w:noProof/>
          </w:rPr>
          <w:t>I. Introducción</w:t>
        </w:r>
        <w:r w:rsidR="00D6758E">
          <w:rPr>
            <w:noProof/>
            <w:webHidden/>
          </w:rPr>
          <w:tab/>
        </w:r>
        <w:r w:rsidR="00D6758E">
          <w:rPr>
            <w:noProof/>
            <w:webHidden/>
          </w:rPr>
          <w:fldChar w:fldCharType="begin"/>
        </w:r>
        <w:r w:rsidR="00D6758E">
          <w:rPr>
            <w:noProof/>
            <w:webHidden/>
          </w:rPr>
          <w:instrText xml:space="preserve"> PAGEREF _Toc75427851 \h </w:instrText>
        </w:r>
        <w:r w:rsidR="00D6758E">
          <w:rPr>
            <w:noProof/>
            <w:webHidden/>
          </w:rPr>
        </w:r>
        <w:r w:rsidR="00D6758E">
          <w:rPr>
            <w:noProof/>
            <w:webHidden/>
          </w:rPr>
          <w:fldChar w:fldCharType="separate"/>
        </w:r>
        <w:r w:rsidR="00D6758E">
          <w:rPr>
            <w:noProof/>
            <w:webHidden/>
          </w:rPr>
          <w:t>3</w:t>
        </w:r>
        <w:r w:rsidR="00D6758E">
          <w:rPr>
            <w:noProof/>
            <w:webHidden/>
          </w:rPr>
          <w:fldChar w:fldCharType="end"/>
        </w:r>
      </w:hyperlink>
    </w:p>
    <w:p w:rsidR="00D6758E" w:rsidRDefault="000C2224">
      <w:pPr>
        <w:pStyle w:val="TDC1"/>
        <w:rPr>
          <w:rFonts w:asciiTheme="minorHAnsi" w:eastAsiaTheme="minorEastAsia" w:hAnsiTheme="minorHAnsi" w:cstheme="minorBidi"/>
          <w:smallCaps w:val="0"/>
          <w:noProof/>
          <w:szCs w:val="22"/>
          <w:lang w:val="es-ES" w:eastAsia="es-ES"/>
        </w:rPr>
      </w:pPr>
      <w:hyperlink w:anchor="_Toc75427852" w:history="1">
        <w:r w:rsidR="00D6758E" w:rsidRPr="00251AAB">
          <w:rPr>
            <w:rStyle w:val="Hipervnculo"/>
            <w:noProof/>
          </w:rPr>
          <w:t>II. La Fundación Miguel Servet</w:t>
        </w:r>
        <w:r w:rsidR="00D6758E">
          <w:rPr>
            <w:noProof/>
            <w:webHidden/>
          </w:rPr>
          <w:tab/>
        </w:r>
        <w:r w:rsidR="00D6758E">
          <w:rPr>
            <w:noProof/>
            <w:webHidden/>
          </w:rPr>
          <w:fldChar w:fldCharType="begin"/>
        </w:r>
        <w:r w:rsidR="00D6758E">
          <w:rPr>
            <w:noProof/>
            <w:webHidden/>
          </w:rPr>
          <w:instrText xml:space="preserve"> PAGEREF _Toc75427852 \h </w:instrText>
        </w:r>
        <w:r w:rsidR="00D6758E">
          <w:rPr>
            <w:noProof/>
            <w:webHidden/>
          </w:rPr>
        </w:r>
        <w:r w:rsidR="00D6758E">
          <w:rPr>
            <w:noProof/>
            <w:webHidden/>
          </w:rPr>
          <w:fldChar w:fldCharType="separate"/>
        </w:r>
        <w:r w:rsidR="00D6758E">
          <w:rPr>
            <w:noProof/>
            <w:webHidden/>
          </w:rPr>
          <w:t>4</w:t>
        </w:r>
        <w:r w:rsidR="00D6758E">
          <w:rPr>
            <w:noProof/>
            <w:webHidden/>
          </w:rPr>
          <w:fldChar w:fldCharType="end"/>
        </w:r>
      </w:hyperlink>
    </w:p>
    <w:p w:rsidR="00D6758E" w:rsidRDefault="000C2224">
      <w:pPr>
        <w:pStyle w:val="TDC1"/>
        <w:rPr>
          <w:rFonts w:asciiTheme="minorHAnsi" w:eastAsiaTheme="minorEastAsia" w:hAnsiTheme="minorHAnsi" w:cstheme="minorBidi"/>
          <w:smallCaps w:val="0"/>
          <w:noProof/>
          <w:szCs w:val="22"/>
          <w:lang w:val="es-ES" w:eastAsia="es-ES"/>
        </w:rPr>
      </w:pPr>
      <w:hyperlink w:anchor="_Toc75427853" w:history="1">
        <w:r w:rsidR="00D6758E" w:rsidRPr="00251AAB">
          <w:rPr>
            <w:rStyle w:val="Hipervnculo"/>
            <w:noProof/>
          </w:rPr>
          <w:t>III. Objetivos y alcance</w:t>
        </w:r>
        <w:r w:rsidR="00D6758E">
          <w:rPr>
            <w:noProof/>
            <w:webHidden/>
          </w:rPr>
          <w:tab/>
        </w:r>
        <w:r w:rsidR="00D6758E">
          <w:rPr>
            <w:noProof/>
            <w:webHidden/>
          </w:rPr>
          <w:fldChar w:fldCharType="begin"/>
        </w:r>
        <w:r w:rsidR="00D6758E">
          <w:rPr>
            <w:noProof/>
            <w:webHidden/>
          </w:rPr>
          <w:instrText xml:space="preserve"> PAGEREF _Toc75427853 \h </w:instrText>
        </w:r>
        <w:r w:rsidR="00D6758E">
          <w:rPr>
            <w:noProof/>
            <w:webHidden/>
          </w:rPr>
        </w:r>
        <w:r w:rsidR="00D6758E">
          <w:rPr>
            <w:noProof/>
            <w:webHidden/>
          </w:rPr>
          <w:fldChar w:fldCharType="separate"/>
        </w:r>
        <w:r w:rsidR="00D6758E">
          <w:rPr>
            <w:noProof/>
            <w:webHidden/>
          </w:rPr>
          <w:t>5</w:t>
        </w:r>
        <w:r w:rsidR="00D6758E">
          <w:rPr>
            <w:noProof/>
            <w:webHidden/>
          </w:rPr>
          <w:fldChar w:fldCharType="end"/>
        </w:r>
      </w:hyperlink>
    </w:p>
    <w:p w:rsidR="00D6758E" w:rsidRDefault="000C2224">
      <w:pPr>
        <w:pStyle w:val="TDC1"/>
        <w:rPr>
          <w:rFonts w:asciiTheme="minorHAnsi" w:eastAsiaTheme="minorEastAsia" w:hAnsiTheme="minorHAnsi" w:cstheme="minorBidi"/>
          <w:smallCaps w:val="0"/>
          <w:noProof/>
          <w:szCs w:val="22"/>
          <w:lang w:val="es-ES" w:eastAsia="es-ES"/>
        </w:rPr>
      </w:pPr>
      <w:hyperlink w:anchor="_Toc75427854" w:history="1">
        <w:r w:rsidR="00D6758E" w:rsidRPr="00251AAB">
          <w:rPr>
            <w:rStyle w:val="Hipervnculo"/>
            <w:noProof/>
          </w:rPr>
          <w:t>IV. Conclusiones y recomendaciones</w:t>
        </w:r>
        <w:r w:rsidR="00D6758E">
          <w:rPr>
            <w:noProof/>
            <w:webHidden/>
          </w:rPr>
          <w:tab/>
        </w:r>
        <w:r w:rsidR="00D6758E">
          <w:rPr>
            <w:noProof/>
            <w:webHidden/>
          </w:rPr>
          <w:fldChar w:fldCharType="begin"/>
        </w:r>
        <w:r w:rsidR="00D6758E">
          <w:rPr>
            <w:noProof/>
            <w:webHidden/>
          </w:rPr>
          <w:instrText xml:space="preserve"> PAGEREF _Toc75427854 \h </w:instrText>
        </w:r>
        <w:r w:rsidR="00D6758E">
          <w:rPr>
            <w:noProof/>
            <w:webHidden/>
          </w:rPr>
        </w:r>
        <w:r w:rsidR="00D6758E">
          <w:rPr>
            <w:noProof/>
            <w:webHidden/>
          </w:rPr>
          <w:fldChar w:fldCharType="separate"/>
        </w:r>
        <w:r w:rsidR="00D6758E">
          <w:rPr>
            <w:noProof/>
            <w:webHidden/>
          </w:rPr>
          <w:t>6</w:t>
        </w:r>
        <w:r w:rsidR="00D6758E">
          <w:rPr>
            <w:noProof/>
            <w:webHidden/>
          </w:rPr>
          <w:fldChar w:fldCharType="end"/>
        </w:r>
      </w:hyperlink>
    </w:p>
    <w:p w:rsidR="00D6758E" w:rsidRDefault="000C2224">
      <w:pPr>
        <w:pStyle w:val="TDC2"/>
        <w:rPr>
          <w:rFonts w:asciiTheme="minorHAnsi" w:eastAsiaTheme="minorEastAsia" w:hAnsiTheme="minorHAnsi" w:cstheme="minorBidi"/>
          <w:noProof/>
          <w:szCs w:val="22"/>
          <w:lang w:val="es-ES" w:eastAsia="es-ES"/>
        </w:rPr>
      </w:pPr>
      <w:hyperlink w:anchor="_Toc75427855" w:history="1">
        <w:r w:rsidR="00D6758E" w:rsidRPr="00251AAB">
          <w:rPr>
            <w:rStyle w:val="Hipervnculo"/>
            <w:noProof/>
          </w:rPr>
          <w:t>IV.1. Aspectos generales sobre la gestión de la Fundación Miguel Servet</w:t>
        </w:r>
        <w:r w:rsidR="00D6758E">
          <w:rPr>
            <w:noProof/>
            <w:webHidden/>
          </w:rPr>
          <w:tab/>
        </w:r>
        <w:r w:rsidR="00D6758E">
          <w:rPr>
            <w:noProof/>
            <w:webHidden/>
          </w:rPr>
          <w:fldChar w:fldCharType="begin"/>
        </w:r>
        <w:r w:rsidR="00D6758E">
          <w:rPr>
            <w:noProof/>
            <w:webHidden/>
          </w:rPr>
          <w:instrText xml:space="preserve"> PAGEREF _Toc75427855 \h </w:instrText>
        </w:r>
        <w:r w:rsidR="00D6758E">
          <w:rPr>
            <w:noProof/>
            <w:webHidden/>
          </w:rPr>
        </w:r>
        <w:r w:rsidR="00D6758E">
          <w:rPr>
            <w:noProof/>
            <w:webHidden/>
          </w:rPr>
          <w:fldChar w:fldCharType="separate"/>
        </w:r>
        <w:r w:rsidR="00D6758E">
          <w:rPr>
            <w:noProof/>
            <w:webHidden/>
          </w:rPr>
          <w:t>7</w:t>
        </w:r>
        <w:r w:rsidR="00D6758E">
          <w:rPr>
            <w:noProof/>
            <w:webHidden/>
          </w:rPr>
          <w:fldChar w:fldCharType="end"/>
        </w:r>
      </w:hyperlink>
    </w:p>
    <w:p w:rsidR="00D6758E" w:rsidRDefault="000C2224">
      <w:pPr>
        <w:pStyle w:val="TDC2"/>
        <w:rPr>
          <w:rFonts w:asciiTheme="minorHAnsi" w:eastAsiaTheme="minorEastAsia" w:hAnsiTheme="minorHAnsi" w:cstheme="minorBidi"/>
          <w:noProof/>
          <w:szCs w:val="22"/>
          <w:lang w:val="es-ES" w:eastAsia="es-ES"/>
        </w:rPr>
      </w:pPr>
      <w:hyperlink w:anchor="_Toc75427856" w:history="1">
        <w:r w:rsidR="00D6758E" w:rsidRPr="00251AAB">
          <w:rPr>
            <w:rStyle w:val="Hipervnculo"/>
            <w:noProof/>
          </w:rPr>
          <w:t>IV.2. Seguimiento de recomendaciones del informe de la Cámara de Comptos sobre la Fundación Miguel Servet (septiembre 2016)</w:t>
        </w:r>
        <w:r w:rsidR="00D6758E">
          <w:rPr>
            <w:noProof/>
            <w:webHidden/>
          </w:rPr>
          <w:tab/>
        </w:r>
        <w:r w:rsidR="00D6758E">
          <w:rPr>
            <w:noProof/>
            <w:webHidden/>
          </w:rPr>
          <w:fldChar w:fldCharType="begin"/>
        </w:r>
        <w:r w:rsidR="00D6758E">
          <w:rPr>
            <w:noProof/>
            <w:webHidden/>
          </w:rPr>
          <w:instrText xml:space="preserve"> PAGEREF _Toc75427856 \h </w:instrText>
        </w:r>
        <w:r w:rsidR="00D6758E">
          <w:rPr>
            <w:noProof/>
            <w:webHidden/>
          </w:rPr>
        </w:r>
        <w:r w:rsidR="00D6758E">
          <w:rPr>
            <w:noProof/>
            <w:webHidden/>
          </w:rPr>
          <w:fldChar w:fldCharType="separate"/>
        </w:r>
        <w:r w:rsidR="00D6758E">
          <w:rPr>
            <w:noProof/>
            <w:webHidden/>
          </w:rPr>
          <w:t>11</w:t>
        </w:r>
        <w:r w:rsidR="00D6758E">
          <w:rPr>
            <w:noProof/>
            <w:webHidden/>
          </w:rPr>
          <w:fldChar w:fldCharType="end"/>
        </w:r>
      </w:hyperlink>
    </w:p>
    <w:p w:rsidR="00D6758E" w:rsidRDefault="000C2224">
      <w:pPr>
        <w:pStyle w:val="TDC2"/>
        <w:rPr>
          <w:rFonts w:asciiTheme="minorHAnsi" w:eastAsiaTheme="minorEastAsia" w:hAnsiTheme="minorHAnsi" w:cstheme="minorBidi"/>
          <w:noProof/>
          <w:szCs w:val="22"/>
          <w:lang w:val="es-ES" w:eastAsia="es-ES"/>
        </w:rPr>
      </w:pPr>
      <w:hyperlink w:anchor="_Toc75427857" w:history="1">
        <w:r w:rsidR="00D6758E" w:rsidRPr="00251AAB">
          <w:rPr>
            <w:rStyle w:val="Hipervnculo"/>
            <w:noProof/>
          </w:rPr>
          <w:t>IV.3. Revisión de la legalidad en contrataciones de personal y de bienes y servicios</w:t>
        </w:r>
        <w:r w:rsidR="00D6758E">
          <w:rPr>
            <w:noProof/>
            <w:webHidden/>
          </w:rPr>
          <w:tab/>
        </w:r>
        <w:r w:rsidR="00D6758E">
          <w:rPr>
            <w:noProof/>
            <w:webHidden/>
          </w:rPr>
          <w:fldChar w:fldCharType="begin"/>
        </w:r>
        <w:r w:rsidR="00D6758E">
          <w:rPr>
            <w:noProof/>
            <w:webHidden/>
          </w:rPr>
          <w:instrText xml:space="preserve"> PAGEREF _Toc75427857 \h </w:instrText>
        </w:r>
        <w:r w:rsidR="00D6758E">
          <w:rPr>
            <w:noProof/>
            <w:webHidden/>
          </w:rPr>
        </w:r>
        <w:r w:rsidR="00D6758E">
          <w:rPr>
            <w:noProof/>
            <w:webHidden/>
          </w:rPr>
          <w:fldChar w:fldCharType="separate"/>
        </w:r>
        <w:r w:rsidR="00D6758E">
          <w:rPr>
            <w:noProof/>
            <w:webHidden/>
          </w:rPr>
          <w:t>14</w:t>
        </w:r>
        <w:r w:rsidR="00D6758E">
          <w:rPr>
            <w:noProof/>
            <w:webHidden/>
          </w:rPr>
          <w:fldChar w:fldCharType="end"/>
        </w:r>
      </w:hyperlink>
    </w:p>
    <w:p w:rsidR="00D6758E" w:rsidRDefault="000C2224">
      <w:pPr>
        <w:pStyle w:val="TDC2"/>
        <w:rPr>
          <w:rFonts w:asciiTheme="minorHAnsi" w:eastAsiaTheme="minorEastAsia" w:hAnsiTheme="minorHAnsi" w:cstheme="minorBidi"/>
          <w:noProof/>
          <w:szCs w:val="22"/>
          <w:lang w:val="es-ES" w:eastAsia="es-ES"/>
        </w:rPr>
      </w:pPr>
      <w:hyperlink w:anchor="_Toc75427858" w:history="1">
        <w:r w:rsidR="00D6758E" w:rsidRPr="00251AAB">
          <w:rPr>
            <w:rStyle w:val="Hipervnculo"/>
            <w:noProof/>
          </w:rPr>
          <w:t>IV.4. Conclusión final</w:t>
        </w:r>
        <w:r w:rsidR="00D6758E">
          <w:rPr>
            <w:noProof/>
            <w:webHidden/>
          </w:rPr>
          <w:tab/>
        </w:r>
        <w:r w:rsidR="00D6758E">
          <w:rPr>
            <w:noProof/>
            <w:webHidden/>
          </w:rPr>
          <w:fldChar w:fldCharType="begin"/>
        </w:r>
        <w:r w:rsidR="00D6758E">
          <w:rPr>
            <w:noProof/>
            <w:webHidden/>
          </w:rPr>
          <w:instrText xml:space="preserve"> PAGEREF _Toc75427858 \h </w:instrText>
        </w:r>
        <w:r w:rsidR="00D6758E">
          <w:rPr>
            <w:noProof/>
            <w:webHidden/>
          </w:rPr>
        </w:r>
        <w:r w:rsidR="00D6758E">
          <w:rPr>
            <w:noProof/>
            <w:webHidden/>
          </w:rPr>
          <w:fldChar w:fldCharType="separate"/>
        </w:r>
        <w:r w:rsidR="00D6758E">
          <w:rPr>
            <w:noProof/>
            <w:webHidden/>
          </w:rPr>
          <w:t>15</w:t>
        </w:r>
        <w:r w:rsidR="00D6758E">
          <w:rPr>
            <w:noProof/>
            <w:webHidden/>
          </w:rPr>
          <w:fldChar w:fldCharType="end"/>
        </w:r>
      </w:hyperlink>
    </w:p>
    <w:p w:rsidR="00D6758E" w:rsidRDefault="000C2224">
      <w:pPr>
        <w:pStyle w:val="TDC1"/>
        <w:rPr>
          <w:rFonts w:asciiTheme="minorHAnsi" w:eastAsiaTheme="minorEastAsia" w:hAnsiTheme="minorHAnsi" w:cstheme="minorBidi"/>
          <w:smallCaps w:val="0"/>
          <w:noProof/>
          <w:szCs w:val="22"/>
          <w:lang w:val="es-ES" w:eastAsia="es-ES"/>
        </w:rPr>
      </w:pPr>
      <w:hyperlink w:anchor="_Toc75427859" w:history="1">
        <w:r w:rsidR="00D6758E" w:rsidRPr="00251AAB">
          <w:rPr>
            <w:rStyle w:val="Hipervnculo"/>
            <w:rFonts w:eastAsiaTheme="minorHAnsi"/>
            <w:noProof/>
          </w:rPr>
          <w:t>Anexo</w:t>
        </w:r>
        <w:r w:rsidR="00D6758E">
          <w:rPr>
            <w:noProof/>
            <w:webHidden/>
          </w:rPr>
          <w:tab/>
        </w:r>
        <w:r w:rsidR="00D6758E">
          <w:rPr>
            <w:noProof/>
            <w:webHidden/>
          </w:rPr>
          <w:fldChar w:fldCharType="begin"/>
        </w:r>
        <w:r w:rsidR="00D6758E">
          <w:rPr>
            <w:noProof/>
            <w:webHidden/>
          </w:rPr>
          <w:instrText xml:space="preserve"> PAGEREF _Toc75427859 \h </w:instrText>
        </w:r>
        <w:r w:rsidR="00D6758E">
          <w:rPr>
            <w:noProof/>
            <w:webHidden/>
          </w:rPr>
        </w:r>
        <w:r w:rsidR="00D6758E">
          <w:rPr>
            <w:noProof/>
            <w:webHidden/>
          </w:rPr>
          <w:fldChar w:fldCharType="separate"/>
        </w:r>
        <w:r w:rsidR="00D6758E">
          <w:rPr>
            <w:noProof/>
            <w:webHidden/>
          </w:rPr>
          <w:t>16</w:t>
        </w:r>
        <w:r w:rsidR="00D6758E">
          <w:rPr>
            <w:noProof/>
            <w:webHidden/>
          </w:rPr>
          <w:fldChar w:fldCharType="end"/>
        </w:r>
      </w:hyperlink>
    </w:p>
    <w:p w:rsidR="00D6758E" w:rsidRDefault="000C2224">
      <w:pPr>
        <w:pStyle w:val="TDC2"/>
        <w:rPr>
          <w:rFonts w:asciiTheme="minorHAnsi" w:eastAsiaTheme="minorEastAsia" w:hAnsiTheme="minorHAnsi" w:cstheme="minorBidi"/>
          <w:noProof/>
          <w:szCs w:val="22"/>
          <w:lang w:val="es-ES" w:eastAsia="es-ES"/>
        </w:rPr>
      </w:pPr>
      <w:hyperlink w:anchor="_Toc75427860" w:history="1">
        <w:r w:rsidR="00D6758E" w:rsidRPr="00251AAB">
          <w:rPr>
            <w:rStyle w:val="Hipervnculo"/>
            <w:noProof/>
          </w:rPr>
          <w:t>Anexo. Conclusiones informe Cámara de Comptos sobre la Fundación Miguel Servet-Navarrabiomed (septiembre 2016)</w:t>
        </w:r>
        <w:r w:rsidR="00D6758E">
          <w:rPr>
            <w:noProof/>
            <w:webHidden/>
          </w:rPr>
          <w:tab/>
        </w:r>
        <w:r w:rsidR="00D6758E">
          <w:rPr>
            <w:noProof/>
            <w:webHidden/>
          </w:rPr>
          <w:fldChar w:fldCharType="begin"/>
        </w:r>
        <w:r w:rsidR="00D6758E">
          <w:rPr>
            <w:noProof/>
            <w:webHidden/>
          </w:rPr>
          <w:instrText xml:space="preserve"> PAGEREF _Toc75427860 \h </w:instrText>
        </w:r>
        <w:r w:rsidR="00D6758E">
          <w:rPr>
            <w:noProof/>
            <w:webHidden/>
          </w:rPr>
        </w:r>
        <w:r w:rsidR="00D6758E">
          <w:rPr>
            <w:noProof/>
            <w:webHidden/>
          </w:rPr>
          <w:fldChar w:fldCharType="separate"/>
        </w:r>
        <w:r w:rsidR="00D6758E">
          <w:rPr>
            <w:noProof/>
            <w:webHidden/>
          </w:rPr>
          <w:t>17</w:t>
        </w:r>
        <w:r w:rsidR="00D6758E">
          <w:rPr>
            <w:noProof/>
            <w:webHidden/>
          </w:rPr>
          <w:fldChar w:fldCharType="end"/>
        </w:r>
      </w:hyperlink>
    </w:p>
    <w:p w:rsidR="00D6758E" w:rsidRDefault="000C2224">
      <w:pPr>
        <w:pStyle w:val="TDC1"/>
        <w:rPr>
          <w:rFonts w:asciiTheme="minorHAnsi" w:eastAsiaTheme="minorEastAsia" w:hAnsiTheme="minorHAnsi" w:cstheme="minorBidi"/>
          <w:smallCaps w:val="0"/>
          <w:noProof/>
          <w:szCs w:val="22"/>
          <w:lang w:val="es-ES" w:eastAsia="es-ES"/>
        </w:rPr>
      </w:pPr>
      <w:hyperlink w:anchor="_Toc75427861" w:history="1">
        <w:r w:rsidR="00D6758E" w:rsidRPr="00251AAB">
          <w:rPr>
            <w:rStyle w:val="Hipervnculo"/>
            <w:noProof/>
            <w:lang w:val="es-ES" w:eastAsia="es-ES"/>
          </w:rPr>
          <w:t>Alegaciones formuladas al informe provisional</w:t>
        </w:r>
        <w:r w:rsidR="00D6758E">
          <w:rPr>
            <w:noProof/>
            <w:webHidden/>
          </w:rPr>
          <w:tab/>
        </w:r>
        <w:r w:rsidR="00D6758E">
          <w:rPr>
            <w:noProof/>
            <w:webHidden/>
          </w:rPr>
          <w:fldChar w:fldCharType="begin"/>
        </w:r>
        <w:r w:rsidR="00D6758E">
          <w:rPr>
            <w:noProof/>
            <w:webHidden/>
          </w:rPr>
          <w:instrText xml:space="preserve"> PAGEREF _Toc75427861 \h </w:instrText>
        </w:r>
        <w:r w:rsidR="00D6758E">
          <w:rPr>
            <w:noProof/>
            <w:webHidden/>
          </w:rPr>
        </w:r>
        <w:r w:rsidR="00D6758E">
          <w:rPr>
            <w:noProof/>
            <w:webHidden/>
          </w:rPr>
          <w:fldChar w:fldCharType="separate"/>
        </w:r>
        <w:r w:rsidR="00D6758E">
          <w:rPr>
            <w:noProof/>
            <w:webHidden/>
          </w:rPr>
          <w:t>22</w:t>
        </w:r>
        <w:r w:rsidR="00D6758E">
          <w:rPr>
            <w:noProof/>
            <w:webHidden/>
          </w:rPr>
          <w:fldChar w:fldCharType="end"/>
        </w:r>
      </w:hyperlink>
    </w:p>
    <w:p w:rsidR="00D6758E" w:rsidRDefault="000C2224">
      <w:pPr>
        <w:pStyle w:val="TDC1"/>
        <w:rPr>
          <w:rFonts w:asciiTheme="minorHAnsi" w:eastAsiaTheme="minorEastAsia" w:hAnsiTheme="minorHAnsi" w:cstheme="minorBidi"/>
          <w:smallCaps w:val="0"/>
          <w:noProof/>
          <w:szCs w:val="22"/>
          <w:lang w:val="es-ES" w:eastAsia="es-ES"/>
        </w:rPr>
      </w:pPr>
      <w:hyperlink w:anchor="_Toc75427862" w:history="1">
        <w:r w:rsidR="00D6758E" w:rsidRPr="00251AAB">
          <w:rPr>
            <w:rStyle w:val="Hipervnculo"/>
            <w:noProof/>
            <w:lang w:val="es-ES" w:eastAsia="es-ES"/>
          </w:rPr>
          <w:t>Contestación de la Cámara de Comptos a las alegaciones presentadas al informe provisional</w:t>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F1AFB" w:rsidRPr="009F2B7D" w:rsidRDefault="001728D0" w:rsidP="009F2B7D">
      <w:pPr>
        <w:pStyle w:val="atitulo1"/>
      </w:pPr>
      <w:r w:rsidRPr="009F2B7D">
        <w:lastRenderedPageBreak/>
        <w:t xml:space="preserve"> </w:t>
      </w:r>
      <w:bookmarkStart w:id="0" w:name="_Toc3461799"/>
      <w:bookmarkStart w:id="1" w:name="_Toc73013234"/>
      <w:bookmarkStart w:id="2" w:name="_Toc75427851"/>
      <w:r w:rsidR="00EF1AFB" w:rsidRPr="009F2B7D">
        <w:t>I. Introducción</w:t>
      </w:r>
      <w:bookmarkEnd w:id="0"/>
      <w:bookmarkEnd w:id="1"/>
      <w:bookmarkEnd w:id="2"/>
    </w:p>
    <w:p w:rsidR="00EF1AFB" w:rsidRPr="0011613C" w:rsidRDefault="00EF1AFB" w:rsidP="0011613C">
      <w:pPr>
        <w:pStyle w:val="texto"/>
      </w:pPr>
      <w:r w:rsidRPr="0011613C">
        <w:t>La Junta de Portavoces del Parlamento de Navarra, en su sesión de 13 de o</w:t>
      </w:r>
      <w:r w:rsidRPr="0011613C">
        <w:t>c</w:t>
      </w:r>
      <w:r w:rsidRPr="0011613C">
        <w:t>tubre de 2020, acordó solicitar a la Cámara un informe de fiscalización sobre “</w:t>
      </w:r>
      <w:r w:rsidRPr="00015430">
        <w:rPr>
          <w:i/>
        </w:rPr>
        <w:t>la Fundación Miguel Servet y las fuentes de financiación de la investigación sanitaria pública en la Comunidad Foral de Navarra durante el periodo 2016-2020</w:t>
      </w:r>
      <w:r w:rsidRPr="0011613C">
        <w:t>”.</w:t>
      </w:r>
    </w:p>
    <w:p w:rsidR="00EF1AFB" w:rsidRPr="0011613C" w:rsidRDefault="00EF1AFB" w:rsidP="0011613C">
      <w:pPr>
        <w:pStyle w:val="texto"/>
      </w:pPr>
      <w:r w:rsidRPr="0011613C">
        <w:t>En septiembre de 2016, la Cámara de Comptos emitió un informe sobre la Fundación</w:t>
      </w:r>
      <w:r w:rsidR="003A6A45">
        <w:t xml:space="preserve"> Miguel Servet (Fundación en adelante),</w:t>
      </w:r>
      <w:r w:rsidRPr="0011613C">
        <w:t xml:space="preserve"> en el cual se analizaba la organización de la investigación sanitaria pública en Navarra, las cuentas de la Fundación y su actividad, sobre el cual hemos realizado un seguimiento de las recomendaciones emitidas.</w:t>
      </w:r>
    </w:p>
    <w:p w:rsidR="00EF1AFB" w:rsidRPr="0011613C" w:rsidRDefault="003A6A45" w:rsidP="0011613C">
      <w:pPr>
        <w:pStyle w:val="texto"/>
      </w:pPr>
      <w:r>
        <w:t>El informe se estructura en cuatro</w:t>
      </w:r>
      <w:r w:rsidR="00EF1AFB" w:rsidRPr="0011613C">
        <w:t xml:space="preserve"> epígrafes incluida esta introducción; en el segundo se describen</w:t>
      </w:r>
      <w:r>
        <w:t xml:space="preserve"> aspectos generales</w:t>
      </w:r>
      <w:r w:rsidR="00EF1AFB" w:rsidRPr="0011613C">
        <w:t xml:space="preserve"> los objetivos y alcance del presente informe, y el tercero contiene las conclusiones y recomendaciones del trabajo realizado. Incluye además un anexo con las conclusiones del informe que real</w:t>
      </w:r>
      <w:r w:rsidR="00EF1AFB" w:rsidRPr="0011613C">
        <w:t>i</w:t>
      </w:r>
      <w:r w:rsidR="00EF1AFB" w:rsidRPr="0011613C">
        <w:t>zó esta Cámara en septiembre de 2016 sobre la Fundación.</w:t>
      </w:r>
    </w:p>
    <w:p w:rsidR="00EF1AFB" w:rsidRDefault="00EF1AFB" w:rsidP="0011613C">
      <w:pPr>
        <w:pStyle w:val="texto"/>
      </w:pPr>
      <w:r w:rsidRPr="0011613C">
        <w:t>El trabajo lo realizó entre el mes de abril y mayo un equipo integrado por una técnica de auditoría y una auditora, con la colaboración de los servicios j</w:t>
      </w:r>
      <w:r w:rsidRPr="0011613C">
        <w:t>u</w:t>
      </w:r>
      <w:r w:rsidRPr="0011613C">
        <w:t>rídicos, informáticos y administrativos de la Cámara de Comptos.</w:t>
      </w:r>
    </w:p>
    <w:p w:rsidR="00517A7A" w:rsidRDefault="00D87814" w:rsidP="00517A7A">
      <w:pPr>
        <w:pStyle w:val="texto"/>
      </w:pPr>
      <w:r w:rsidRPr="00FD3ABE">
        <w:t xml:space="preserve">De conformidad con lo previsto en el artículo 11 de la Ley Foral 19/1984, reguladora de la Cámara de Comptos de Navarra, los resultados de este trabajo se pusieron de manifiesto, con el fin de </w:t>
      </w:r>
      <w:r w:rsidR="00517A7A">
        <w:t xml:space="preserve">que la </w:t>
      </w:r>
      <w:r w:rsidR="00517A7A" w:rsidRPr="00517A7A">
        <w:t xml:space="preserve">Presidenta del patronato de la Fundación y el Director de </w:t>
      </w:r>
      <w:proofErr w:type="spellStart"/>
      <w:r w:rsidR="00517A7A" w:rsidRPr="00517A7A">
        <w:t>Navarrabiomed</w:t>
      </w:r>
      <w:proofErr w:type="spellEnd"/>
      <w:r w:rsidR="00517A7A" w:rsidRPr="00517A7A">
        <w:t>-Fundación Miguel Servet</w:t>
      </w:r>
      <w:r w:rsidR="00517A7A">
        <w:t xml:space="preserve"> formul</w:t>
      </w:r>
      <w:r w:rsidR="00517A7A">
        <w:t>a</w:t>
      </w:r>
      <w:r w:rsidR="00517A7A">
        <w:t>ran alegaciones.</w:t>
      </w:r>
    </w:p>
    <w:p w:rsidR="00AE7CAF" w:rsidRDefault="00AE7CAF" w:rsidP="00AE7CAF">
      <w:pPr>
        <w:pStyle w:val="texto"/>
      </w:pPr>
      <w:r>
        <w:rPr>
          <w:lang w:val="es-ES"/>
        </w:rPr>
        <w:t xml:space="preserve">Ha presentado alegaciones, en el plazo fijado por la Cámara de Comptos, el </w:t>
      </w:r>
      <w:r w:rsidR="007A30D8" w:rsidRPr="00517A7A">
        <w:t xml:space="preserve">Director de </w:t>
      </w:r>
      <w:proofErr w:type="spellStart"/>
      <w:r w:rsidR="007A30D8" w:rsidRPr="00517A7A">
        <w:t>Navarrabiomed</w:t>
      </w:r>
      <w:proofErr w:type="spellEnd"/>
      <w:r w:rsidR="007A30D8" w:rsidRPr="00517A7A">
        <w:t>-Fundación Miguel Servet</w:t>
      </w:r>
      <w:r>
        <w:rPr>
          <w:lang w:val="es-ES"/>
        </w:rPr>
        <w:t>.</w:t>
      </w:r>
      <w:r w:rsidRPr="00C1191A">
        <w:rPr>
          <w:lang w:val="es-ES"/>
        </w:rPr>
        <w:t xml:space="preserve"> </w:t>
      </w:r>
      <w:r>
        <w:rPr>
          <w:lang w:val="es-ES"/>
        </w:rPr>
        <w:t xml:space="preserve">Estas alegaciones </w:t>
      </w:r>
      <w:r w:rsidRPr="00C1191A">
        <w:rPr>
          <w:lang w:val="es-ES"/>
        </w:rPr>
        <w:t>const</w:t>
      </w:r>
      <w:r w:rsidRPr="00C1191A">
        <w:rPr>
          <w:lang w:val="es-ES"/>
        </w:rPr>
        <w:t>i</w:t>
      </w:r>
      <w:r w:rsidRPr="00C1191A">
        <w:rPr>
          <w:lang w:val="es-ES"/>
        </w:rPr>
        <w:t>tuyen aclaraciones y se adjuntan al informe</w:t>
      </w:r>
      <w:r w:rsidRPr="005774BD">
        <w:t xml:space="preserve"> definitivo</w:t>
      </w:r>
      <w:r>
        <w:rPr>
          <w:szCs w:val="26"/>
        </w:rPr>
        <w:t>.</w:t>
      </w:r>
    </w:p>
    <w:p w:rsidR="00EF1AFB" w:rsidRPr="0011613C" w:rsidRDefault="00EF1AFB" w:rsidP="0011613C">
      <w:pPr>
        <w:pStyle w:val="texto"/>
      </w:pPr>
      <w:r w:rsidRPr="0011613C">
        <w:t>Agradecem</w:t>
      </w:r>
      <w:r w:rsidR="003A6A45">
        <w:t>os al personal de la Fundación,</w:t>
      </w:r>
      <w:r w:rsidRPr="0011613C">
        <w:t xml:space="preserve"> la colaboración prestada en la re</w:t>
      </w:r>
      <w:r w:rsidRPr="0011613C">
        <w:t>a</w:t>
      </w:r>
      <w:r w:rsidRPr="0011613C">
        <w:t xml:space="preserve">lización del presente trabajo. </w:t>
      </w:r>
    </w:p>
    <w:p w:rsidR="00EF1AFB" w:rsidRPr="0011613C" w:rsidRDefault="00EF1AFB" w:rsidP="0011613C">
      <w:pPr>
        <w:pStyle w:val="texto"/>
      </w:pPr>
    </w:p>
    <w:p w:rsidR="00EF1AFB" w:rsidRDefault="00EF1AFB" w:rsidP="00EF1AFB">
      <w:pPr>
        <w:spacing w:after="0"/>
        <w:ind w:firstLine="0"/>
        <w:jc w:val="left"/>
        <w:rPr>
          <w:rFonts w:ascii="Arial" w:hAnsi="Arial"/>
          <w:b/>
          <w:color w:val="000000"/>
          <w:kern w:val="28"/>
          <w:sz w:val="25"/>
          <w:szCs w:val="26"/>
        </w:rPr>
      </w:pPr>
      <w:bookmarkStart w:id="3" w:name="_Toc41485556"/>
      <w:bookmarkStart w:id="4" w:name="_Toc11396081"/>
      <w:bookmarkStart w:id="5" w:name="_Toc398207038"/>
      <w:bookmarkStart w:id="6" w:name="_Toc432757087"/>
      <w:bookmarkStart w:id="7" w:name="_Toc447195021"/>
      <w:bookmarkStart w:id="8" w:name="_Toc477171874"/>
      <w:bookmarkStart w:id="9" w:name="_Toc432757082"/>
      <w:bookmarkStart w:id="10" w:name="_Toc447195015"/>
      <w:r>
        <w:br w:type="page"/>
      </w:r>
    </w:p>
    <w:p w:rsidR="003A6A45" w:rsidRDefault="003A6A45" w:rsidP="003A6A45">
      <w:pPr>
        <w:pStyle w:val="atitulo1"/>
      </w:pPr>
      <w:bookmarkStart w:id="11" w:name="_Toc75427852"/>
      <w:bookmarkStart w:id="12" w:name="_Toc73013235"/>
      <w:r w:rsidRPr="009F2B7D">
        <w:lastRenderedPageBreak/>
        <w:t xml:space="preserve">II. </w:t>
      </w:r>
      <w:r>
        <w:t>La Fundación Miguel Servet</w:t>
      </w:r>
      <w:bookmarkEnd w:id="11"/>
    </w:p>
    <w:p w:rsidR="003A6A45" w:rsidRPr="0011613C" w:rsidRDefault="003A6A45" w:rsidP="003A6A45">
      <w:pPr>
        <w:pStyle w:val="texto"/>
      </w:pPr>
      <w:r w:rsidRPr="0011613C">
        <w:t>La investigación sanitaria pública en Navarra depende del Departamento de Salud y se articula básicamente a través de la Fundación y del Instituto de I</w:t>
      </w:r>
      <w:r w:rsidRPr="0011613C">
        <w:t>n</w:t>
      </w:r>
      <w:r w:rsidRPr="0011613C">
        <w:t>vestigación Sanitaria de Navarra (</w:t>
      </w:r>
      <w:proofErr w:type="spellStart"/>
      <w:r w:rsidRPr="0011613C">
        <w:t>IdiSNA</w:t>
      </w:r>
      <w:proofErr w:type="spellEnd"/>
      <w:r w:rsidRPr="0011613C">
        <w:t xml:space="preserve">). </w:t>
      </w:r>
    </w:p>
    <w:p w:rsidR="003A6A45" w:rsidRPr="0011613C" w:rsidRDefault="003A6A45" w:rsidP="003A6A45">
      <w:pPr>
        <w:pStyle w:val="texto"/>
      </w:pPr>
      <w:r w:rsidRPr="0011613C">
        <w:t xml:space="preserve">La Fundación Miguel Servet se constituyó como fundación privada mediante el Decreto Foral 211/1986, de 26 de septiembre, </w:t>
      </w:r>
      <w:r>
        <w:t>bajo el patrocinio de la A</w:t>
      </w:r>
      <w:r w:rsidR="003322DB">
        <w:t>dm</w:t>
      </w:r>
      <w:r w:rsidR="003322DB">
        <w:t>i</w:t>
      </w:r>
      <w:r w:rsidR="003322DB">
        <w:t>nistración de la Comunidad Foral de Navarra (ACFN en adelante)</w:t>
      </w:r>
      <w:r w:rsidRPr="0011613C">
        <w:t xml:space="preserve">. </w:t>
      </w:r>
    </w:p>
    <w:p w:rsidR="003A6A45" w:rsidRPr="0011613C" w:rsidRDefault="003A6A45" w:rsidP="003A6A45">
      <w:pPr>
        <w:pStyle w:val="texto"/>
      </w:pPr>
      <w:r w:rsidRPr="0011613C">
        <w:t xml:space="preserve">Posteriormente, el Acuerdo de 2 de mayo de 2006, del Gobierno de Navarra, le atribuyó el carácter de fundación pública y la integró en el sector público de la </w:t>
      </w:r>
      <w:r w:rsidR="003322DB">
        <w:t>ACFN</w:t>
      </w:r>
      <w:r w:rsidRPr="0011613C">
        <w:t>.</w:t>
      </w:r>
    </w:p>
    <w:p w:rsidR="003A6A45" w:rsidRPr="0011613C" w:rsidRDefault="003A6A45" w:rsidP="003A6A45">
      <w:pPr>
        <w:pStyle w:val="texto"/>
      </w:pPr>
      <w:r w:rsidRPr="0011613C">
        <w:t>La Fundación se configura como organismo de apoyo científico y técnico de la administración sanitaria de la Comunidad Foral para las actividades docentes y el fomento de la investigación sanitaria. La Fundación tiene plena capacidad jurídica y de obrar para el cumplimiento de sus fines.</w:t>
      </w:r>
    </w:p>
    <w:p w:rsidR="003A6A45" w:rsidRPr="0011613C" w:rsidRDefault="003A6A45" w:rsidP="003A6A45">
      <w:pPr>
        <w:pStyle w:val="texto"/>
      </w:pPr>
      <w:r w:rsidRPr="0011613C">
        <w:t>El Centro de Investigación Biomédica (CIB), inaugurado en 1994, era un centro técnico para la investigación de los profesionales del Servicio Navarro de Salud-</w:t>
      </w:r>
      <w:proofErr w:type="spellStart"/>
      <w:r w:rsidRPr="0011613C">
        <w:t>Osasunbidea</w:t>
      </w:r>
      <w:proofErr w:type="spellEnd"/>
      <w:r w:rsidRPr="0011613C">
        <w:t xml:space="preserve"> (SNS-O). En 2007, con objeto de incrementar y mejorar la investigación, se desarrolló el Plan Estratégico de Investigación para el p</w:t>
      </w:r>
      <w:r w:rsidRPr="0011613C">
        <w:t>e</w:t>
      </w:r>
      <w:r w:rsidRPr="0011613C">
        <w:t xml:space="preserve">riodo 2007-2011 y el Gobierno de Navarra aprobó la creación de un nuevo Centro de Investigación Biomédica. </w:t>
      </w:r>
    </w:p>
    <w:p w:rsidR="003A6A45" w:rsidRPr="0011613C" w:rsidRDefault="003A6A45" w:rsidP="003A6A45">
      <w:pPr>
        <w:pStyle w:val="texto"/>
      </w:pPr>
      <w:r w:rsidRPr="0011613C">
        <w:t>Mediante Decreto Foral 62/2012, de 18 de julio, se aprobaron los nuevos E</w:t>
      </w:r>
      <w:r w:rsidRPr="0011613C">
        <w:t>s</w:t>
      </w:r>
      <w:r w:rsidRPr="0011613C">
        <w:t>tatutos del SNS-O, uno de cuyos efectos fue la desaparición del CIB. Como consecuencia de esta desaparición, se hizo necesario modificar los estatutos de la Fundación para que asumiera alguna de las funciones de este centro, tal y como se aprobó por Acuerdo de Gobierno de 18 de julio de 2012.</w:t>
      </w:r>
    </w:p>
    <w:p w:rsidR="003A6A45" w:rsidRPr="0011613C" w:rsidRDefault="003A6A45" w:rsidP="003A6A45">
      <w:pPr>
        <w:pStyle w:val="texto"/>
      </w:pPr>
      <w:r w:rsidRPr="0011613C">
        <w:t xml:space="preserve">A partir de ese momento, el CIB pasa a denominarse </w:t>
      </w:r>
      <w:proofErr w:type="spellStart"/>
      <w:r w:rsidRPr="0011613C">
        <w:t>Navarrabiomed</w:t>
      </w:r>
      <w:proofErr w:type="spellEnd"/>
      <w:r w:rsidRPr="0011613C">
        <w:t xml:space="preserve"> y puede hablarse ya de una única entidad: la Fundación Miguel Servet–</w:t>
      </w:r>
      <w:proofErr w:type="spellStart"/>
      <w:r w:rsidRPr="0011613C">
        <w:t>Navarrabiomed</w:t>
      </w:r>
      <w:proofErr w:type="spellEnd"/>
      <w:r w:rsidRPr="0011613C">
        <w:t>, dedicada a la formación e investigación.</w:t>
      </w:r>
    </w:p>
    <w:p w:rsidR="003A6A45" w:rsidRPr="0011613C" w:rsidRDefault="003A6A45" w:rsidP="003A6A45">
      <w:pPr>
        <w:pStyle w:val="texto"/>
      </w:pPr>
      <w:r w:rsidRPr="0011613C">
        <w:t xml:space="preserve">Todos los miembros del patronato pertenecen </w:t>
      </w:r>
      <w:r w:rsidR="003322DB">
        <w:t>a la ACFN</w:t>
      </w:r>
      <w:r w:rsidRPr="0011613C">
        <w:t xml:space="preserve"> o a la Universidad Pública de Navarra.</w:t>
      </w:r>
    </w:p>
    <w:p w:rsidR="003A6A45" w:rsidRPr="0011613C" w:rsidRDefault="003A6A45" w:rsidP="003A6A45">
      <w:pPr>
        <w:pStyle w:val="texto"/>
      </w:pPr>
      <w:r w:rsidRPr="0011613C">
        <w:t>En relación con la Fundación señalamos que sus cuentas anuales son audit</w:t>
      </w:r>
      <w:r w:rsidRPr="0011613C">
        <w:t>a</w:t>
      </w:r>
      <w:r w:rsidRPr="0011613C">
        <w:t>das y, además, desde 2017, se realiza un informe sobre procedimientos acord</w:t>
      </w:r>
      <w:r w:rsidRPr="0011613C">
        <w:t>a</w:t>
      </w:r>
      <w:r w:rsidRPr="0011613C">
        <w:t>dos de revisión de legalidad. Estos informes son realizados por firmas de aud</w:t>
      </w:r>
      <w:r w:rsidRPr="0011613C">
        <w:t>i</w:t>
      </w:r>
      <w:r w:rsidRPr="0011613C">
        <w:t>toría privadas bajo la supervisión del Servicio de Control Financiero Permane</w:t>
      </w:r>
      <w:r w:rsidRPr="0011613C">
        <w:t>n</w:t>
      </w:r>
      <w:r w:rsidRPr="0011613C">
        <w:t xml:space="preserve">te y Auditoría del Departamento de Economía y Hacienda. </w:t>
      </w:r>
    </w:p>
    <w:p w:rsidR="003A6A45" w:rsidRDefault="003A6A45">
      <w:pPr>
        <w:spacing w:after="0"/>
        <w:ind w:firstLine="0"/>
        <w:jc w:val="left"/>
        <w:rPr>
          <w:rFonts w:ascii="Arial" w:hAnsi="Arial"/>
          <w:b/>
          <w:color w:val="000000"/>
          <w:kern w:val="28"/>
          <w:sz w:val="25"/>
          <w:szCs w:val="26"/>
        </w:rPr>
      </w:pPr>
      <w:r>
        <w:br w:type="page"/>
      </w:r>
    </w:p>
    <w:p w:rsidR="00EF1AFB" w:rsidRPr="009F2B7D" w:rsidRDefault="003A6A45" w:rsidP="009F2B7D">
      <w:pPr>
        <w:pStyle w:val="atitulo1"/>
      </w:pPr>
      <w:bookmarkStart w:id="13" w:name="_Toc75427853"/>
      <w:r>
        <w:lastRenderedPageBreak/>
        <w:t>I</w:t>
      </w:r>
      <w:r w:rsidR="00EF1AFB" w:rsidRPr="009F2B7D">
        <w:t>II. Objetivos y alcance</w:t>
      </w:r>
      <w:bookmarkEnd w:id="3"/>
      <w:bookmarkEnd w:id="4"/>
      <w:bookmarkEnd w:id="12"/>
      <w:bookmarkEnd w:id="13"/>
    </w:p>
    <w:p w:rsidR="00EF1AFB" w:rsidRPr="000F738A" w:rsidRDefault="00EF1AFB" w:rsidP="000F738A">
      <w:pPr>
        <w:pStyle w:val="texto"/>
      </w:pPr>
      <w:r w:rsidRPr="000F738A">
        <w:t>Los objetivos de este trabajo, teniendo en cuenta la petición parlamentaria, han sido los siguientes:</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6E77E2">
        <w:rPr>
          <w:szCs w:val="26"/>
        </w:rPr>
        <w:t>Analizar</w:t>
      </w:r>
      <w:r w:rsidRPr="000F738A">
        <w:t xml:space="preserve"> la evolución de diversos aspectos relacionados con la gestión de la Fundación.</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Realizar un seguimiento sobre el grado de cumplimiento de las recomend</w:t>
      </w:r>
      <w:r w:rsidRPr="000F738A">
        <w:t>a</w:t>
      </w:r>
      <w:r w:rsidRPr="000F738A">
        <w:t>ciones del informe de la Cámara de Comptos sobre la Fundación emitido en septiembre de 2016.</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Revisar la legalidad de las contrataciones de personal y de bienes corrie</w:t>
      </w:r>
      <w:r w:rsidRPr="000F738A">
        <w:t>n</w:t>
      </w:r>
      <w:r w:rsidRPr="000F738A">
        <w:t>tes y de servicios de los años 2019 y 2020.</w:t>
      </w:r>
    </w:p>
    <w:p w:rsidR="00EF1AFB" w:rsidRPr="000F738A" w:rsidRDefault="00EF1AFB" w:rsidP="000F738A">
      <w:pPr>
        <w:pStyle w:val="texto"/>
      </w:pPr>
      <w:r w:rsidRPr="000F738A">
        <w:t>El alcance temporal de nuestro trabajo ha sido el period</w:t>
      </w:r>
      <w:r w:rsidR="003322DB">
        <w:t>o 2016-2020; la i</w:t>
      </w:r>
      <w:r w:rsidR="003322DB">
        <w:t>n</w:t>
      </w:r>
      <w:r w:rsidR="003322DB">
        <w:t xml:space="preserve">formación analizada </w:t>
      </w:r>
      <w:r w:rsidRPr="000F738A">
        <w:t xml:space="preserve">ha sido </w:t>
      </w:r>
      <w:r w:rsidR="003322DB">
        <w:t>la</w:t>
      </w:r>
      <w:r w:rsidRPr="000F738A">
        <w:t xml:space="preserve"> siguiente: </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Indicadores de gestión de la Fundación relacionados con gastos, ingresos, financiación, personal y actividad.</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 xml:space="preserve">Recomendaciones realizadas por esta Cámara en su informe de septiembre de 2016. </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Muestra de contrataciones de personal y de gastos corrientes en bienes y servicios.</w:t>
      </w:r>
    </w:p>
    <w:p w:rsidR="009F2B7D"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Informes de auditoría financiera y de procedimientos acordados de legal</w:t>
      </w:r>
      <w:r w:rsidRPr="000F738A">
        <w:t>i</w:t>
      </w:r>
      <w:r w:rsidRPr="000F738A">
        <w:t>dad de la Fundación realizados bajo la supervisión del Servicio de Control F</w:t>
      </w:r>
      <w:r w:rsidRPr="000F738A">
        <w:t>i</w:t>
      </w:r>
      <w:r w:rsidRPr="000F738A">
        <w:t xml:space="preserve">nanciero Permanente y Auditoría. </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Partidas presupuestarias de la ACFN destinadas a la Fundación.</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rsidRPr="000F738A">
        <w:t>Normativa aplicable a la Fundación.</w:t>
      </w:r>
    </w:p>
    <w:p w:rsidR="00EF1AFB" w:rsidRDefault="00EF1AFB" w:rsidP="00EF1AFB">
      <w:pPr>
        <w:spacing w:after="0"/>
        <w:ind w:firstLine="0"/>
        <w:jc w:val="left"/>
        <w:rPr>
          <w:rFonts w:ascii="Arial" w:hAnsi="Arial"/>
          <w:b/>
          <w:color w:val="000000"/>
          <w:kern w:val="28"/>
          <w:sz w:val="25"/>
          <w:szCs w:val="26"/>
        </w:rPr>
      </w:pPr>
      <w:bookmarkStart w:id="14" w:name="_Toc41485557"/>
      <w:r>
        <w:br w:type="page"/>
      </w:r>
    </w:p>
    <w:p w:rsidR="00EF1AFB" w:rsidRPr="002509BE" w:rsidRDefault="00EF1AFB" w:rsidP="002509BE">
      <w:pPr>
        <w:pStyle w:val="atitulo1"/>
      </w:pPr>
      <w:bookmarkStart w:id="15" w:name="_Toc73013236"/>
      <w:bookmarkStart w:id="16" w:name="_Toc75427854"/>
      <w:r w:rsidRPr="002509BE">
        <w:lastRenderedPageBreak/>
        <w:t>I</w:t>
      </w:r>
      <w:r w:rsidR="000934DB">
        <w:t>V</w:t>
      </w:r>
      <w:r w:rsidRPr="002509BE">
        <w:t>. Conclusiones</w:t>
      </w:r>
      <w:bookmarkEnd w:id="14"/>
      <w:r w:rsidRPr="002509BE">
        <w:t xml:space="preserve"> y recomendaciones</w:t>
      </w:r>
      <w:bookmarkEnd w:id="15"/>
      <w:bookmarkEnd w:id="16"/>
    </w:p>
    <w:p w:rsidR="00EF1AFB" w:rsidRPr="00F377C9" w:rsidRDefault="00EF1AFB" w:rsidP="00DA11A9">
      <w:pPr>
        <w:pStyle w:val="atitulo3"/>
        <w:spacing w:before="240"/>
      </w:pPr>
      <w:r w:rsidRPr="00F377C9">
        <w:t xml:space="preserve">Responsabilidad </w:t>
      </w:r>
      <w:r>
        <w:t>de la Fundación</w:t>
      </w:r>
      <w:r w:rsidRPr="00F377C9">
        <w:t xml:space="preserve"> </w:t>
      </w:r>
    </w:p>
    <w:p w:rsidR="00EF1AFB" w:rsidRDefault="00EF1AFB" w:rsidP="00EF1AFB">
      <w:pPr>
        <w:pStyle w:val="texto"/>
      </w:pPr>
      <w:r>
        <w:t>La Dirección de la Fundación es la responsable de la gestión y de establecer los sistemas de control interno que considere necesarios para garantizar que la actividad de la Fundación esté libre de incumplimientos legales y de incorre</w:t>
      </w:r>
      <w:r>
        <w:t>c</w:t>
      </w:r>
      <w:r>
        <w:t>ciones materiales debidas a fraude o error</w:t>
      </w:r>
      <w:r w:rsidRPr="00F377C9">
        <w:t>.</w:t>
      </w:r>
    </w:p>
    <w:p w:rsidR="00EF1AFB" w:rsidRPr="00F377C9" w:rsidRDefault="00EF1AFB" w:rsidP="00DA11A9">
      <w:pPr>
        <w:pStyle w:val="atitulo3"/>
        <w:spacing w:before="240"/>
      </w:pPr>
      <w:r w:rsidRPr="00F377C9">
        <w:t>Responsabilidad de la Cámara de Comptos de Navarra</w:t>
      </w:r>
    </w:p>
    <w:p w:rsidR="00EF1AFB" w:rsidRPr="00F377C9" w:rsidRDefault="00EF1AFB" w:rsidP="00EF1AFB">
      <w:pPr>
        <w:pStyle w:val="texto"/>
      </w:pPr>
      <w:r w:rsidRPr="00F377C9">
        <w:t xml:space="preserve">Nuestra responsabilidad es expresar una </w:t>
      </w:r>
      <w:r>
        <w:t>conclusión basada en nuestra fisc</w:t>
      </w:r>
      <w:r>
        <w:t>a</w:t>
      </w:r>
      <w:r>
        <w:t>lización en relación con la evolución de determinados aspectos de la gestión de la Fundación, con el grado de cumplimiento de las recomendaciones realizadas por esta Cámara y con la legalidad en la contratación de personal y bienes c</w:t>
      </w:r>
      <w:r>
        <w:t>o</w:t>
      </w:r>
      <w:r>
        <w:t>rrientes y servicios.</w:t>
      </w:r>
      <w:r w:rsidRPr="00F377C9">
        <w:t xml:space="preserve"> </w:t>
      </w:r>
    </w:p>
    <w:p w:rsidR="00EF1AFB" w:rsidRDefault="00EF1AFB" w:rsidP="00EF1AFB">
      <w:pPr>
        <w:pStyle w:val="texto"/>
      </w:pPr>
      <w:r w:rsidRPr="00F377C9">
        <w:t>Para ello, hemos llevado a cabo la misma de conformidad con los principios fundamentales de fiscalización de las Instituciones Públicas de Control E</w:t>
      </w:r>
      <w:r w:rsidRPr="00F377C9">
        <w:t>x</w:t>
      </w:r>
      <w:r w:rsidRPr="00F377C9">
        <w:t xml:space="preserve">terno. Dichos principios exigen que cumplamos los requerimientos de ética, así como que planifiquemos y ejecutemos la </w:t>
      </w:r>
      <w:r>
        <w:t>auditoría de forma que obtengamos tanto un conocimiento adecuado de los procedimientos empleados en su caso para cumplir con las recomendaciones, como una seguridad razonable de que la información</w:t>
      </w:r>
      <w:r w:rsidRPr="00F377C9">
        <w:t xml:space="preserve"> est</w:t>
      </w:r>
      <w:r>
        <w:t>é</w:t>
      </w:r>
      <w:r w:rsidRPr="00F377C9">
        <w:t xml:space="preserve"> libre de incorrecciones materiales </w:t>
      </w:r>
      <w:r>
        <w:t>y que resulte</w:t>
      </w:r>
      <w:r w:rsidRPr="00F377C9">
        <w:t xml:space="preserve">, en todos los aspectos significativos, conforme con la normativa vigente. </w:t>
      </w:r>
    </w:p>
    <w:p w:rsidR="000934DB" w:rsidRPr="000934DB" w:rsidRDefault="000934DB" w:rsidP="000934DB">
      <w:pPr>
        <w:tabs>
          <w:tab w:val="center" w:pos="2835"/>
          <w:tab w:val="center" w:pos="3969"/>
          <w:tab w:val="center" w:pos="5103"/>
          <w:tab w:val="center" w:pos="6237"/>
          <w:tab w:val="center" w:pos="7371"/>
        </w:tabs>
        <w:ind w:firstLine="284"/>
        <w:rPr>
          <w:spacing w:val="6"/>
          <w:sz w:val="26"/>
          <w:szCs w:val="24"/>
        </w:rPr>
      </w:pPr>
      <w:r w:rsidRPr="000934DB">
        <w:rPr>
          <w:spacing w:val="6"/>
          <w:sz w:val="26"/>
          <w:szCs w:val="24"/>
        </w:rPr>
        <w:t>Una fiscalización requiere la aplicación de procedimientos para obtener ev</w:t>
      </w:r>
      <w:r w:rsidRPr="000934DB">
        <w:rPr>
          <w:spacing w:val="6"/>
          <w:sz w:val="26"/>
          <w:szCs w:val="24"/>
        </w:rPr>
        <w:t>i</w:t>
      </w:r>
      <w:r w:rsidRPr="000934DB">
        <w:rPr>
          <w:spacing w:val="6"/>
          <w:sz w:val="26"/>
          <w:szCs w:val="24"/>
        </w:rPr>
        <w:t xml:space="preserve">dencia de auditoría sobre el cumplimiento de </w:t>
      </w:r>
      <w:r>
        <w:rPr>
          <w:spacing w:val="6"/>
          <w:sz w:val="26"/>
          <w:szCs w:val="24"/>
        </w:rPr>
        <w:t>las recomendaciones emitidas en nuestro informe y sobre la legalidad en la contratación de personal y de bienes corrientes y servicios</w:t>
      </w:r>
      <w:r w:rsidRPr="000934DB">
        <w:rPr>
          <w:spacing w:val="6"/>
          <w:sz w:val="26"/>
          <w:szCs w:val="24"/>
        </w:rPr>
        <w:t>. Los procedimientos seleccionados dependen del juicio del auditor, incluida la valoración de los riesgos tanto de incorrección material, debida a fraude o error, como de incumplimientos significativos de la legal</w:t>
      </w:r>
      <w:r w:rsidRPr="000934DB">
        <w:rPr>
          <w:spacing w:val="6"/>
          <w:sz w:val="26"/>
          <w:szCs w:val="24"/>
        </w:rPr>
        <w:t>i</w:t>
      </w:r>
      <w:r w:rsidRPr="000934DB">
        <w:rPr>
          <w:spacing w:val="6"/>
          <w:sz w:val="26"/>
          <w:szCs w:val="24"/>
        </w:rPr>
        <w:t xml:space="preserve">dad. Al efectuar dichas valoraciones del riesgo, el auditor tiene en cuenta el control interno relevante para </w:t>
      </w:r>
      <w:r>
        <w:rPr>
          <w:spacing w:val="6"/>
          <w:sz w:val="26"/>
          <w:szCs w:val="24"/>
        </w:rPr>
        <w:t>cumplir con las recomendaciones</w:t>
      </w:r>
      <w:r w:rsidRPr="000934DB">
        <w:rPr>
          <w:spacing w:val="6"/>
          <w:sz w:val="26"/>
          <w:szCs w:val="24"/>
        </w:rPr>
        <w:t xml:space="preserve"> y para garant</w:t>
      </w:r>
      <w:r w:rsidRPr="000934DB">
        <w:rPr>
          <w:spacing w:val="6"/>
          <w:sz w:val="26"/>
          <w:szCs w:val="24"/>
        </w:rPr>
        <w:t>i</w:t>
      </w:r>
      <w:r w:rsidRPr="000934DB">
        <w:rPr>
          <w:spacing w:val="6"/>
          <w:sz w:val="26"/>
          <w:szCs w:val="24"/>
        </w:rPr>
        <w:t>zar el cumplimiento de la legalidad, con el fin de diseñar los procedimientos de auditoría que sean adecuados en función de las circunstancias, y no con la fin</w:t>
      </w:r>
      <w:r w:rsidRPr="000934DB">
        <w:rPr>
          <w:spacing w:val="6"/>
          <w:sz w:val="26"/>
          <w:szCs w:val="24"/>
        </w:rPr>
        <w:t>a</w:t>
      </w:r>
      <w:r w:rsidRPr="000934DB">
        <w:rPr>
          <w:spacing w:val="6"/>
          <w:sz w:val="26"/>
          <w:szCs w:val="24"/>
        </w:rPr>
        <w:t xml:space="preserve">lidad de expresar una opinión sobre la eficacia del control interno de la entidad. </w:t>
      </w:r>
    </w:p>
    <w:p w:rsidR="000934DB" w:rsidRPr="000934DB" w:rsidRDefault="000934DB" w:rsidP="000934DB">
      <w:pPr>
        <w:tabs>
          <w:tab w:val="center" w:pos="2835"/>
          <w:tab w:val="center" w:pos="3969"/>
          <w:tab w:val="center" w:pos="5103"/>
          <w:tab w:val="center" w:pos="6237"/>
          <w:tab w:val="center" w:pos="7371"/>
        </w:tabs>
        <w:ind w:firstLine="284"/>
        <w:rPr>
          <w:spacing w:val="6"/>
          <w:sz w:val="26"/>
          <w:szCs w:val="24"/>
        </w:rPr>
      </w:pPr>
      <w:r w:rsidRPr="000934DB">
        <w:rPr>
          <w:spacing w:val="6"/>
          <w:sz w:val="26"/>
          <w:szCs w:val="24"/>
        </w:rPr>
        <w:t>Una auditoría también incluye la evaluación de la adecuación de las políticas contables aplicadas y de la razonabilidad de las estimaciones contables realiz</w:t>
      </w:r>
      <w:r w:rsidRPr="000934DB">
        <w:rPr>
          <w:spacing w:val="6"/>
          <w:sz w:val="26"/>
          <w:szCs w:val="24"/>
        </w:rPr>
        <w:t>a</w:t>
      </w:r>
      <w:r w:rsidRPr="000934DB">
        <w:rPr>
          <w:spacing w:val="6"/>
          <w:sz w:val="26"/>
          <w:szCs w:val="24"/>
        </w:rPr>
        <w:t>das por la dirección</w:t>
      </w:r>
      <w:r>
        <w:rPr>
          <w:spacing w:val="6"/>
          <w:sz w:val="26"/>
          <w:szCs w:val="24"/>
        </w:rPr>
        <w:t xml:space="preserve"> en su caso</w:t>
      </w:r>
      <w:r w:rsidRPr="000934DB">
        <w:rPr>
          <w:spacing w:val="6"/>
          <w:sz w:val="26"/>
          <w:szCs w:val="24"/>
        </w:rPr>
        <w:t xml:space="preserve">, así como la evaluación de la presentación de </w:t>
      </w:r>
      <w:r>
        <w:rPr>
          <w:spacing w:val="6"/>
          <w:sz w:val="26"/>
          <w:szCs w:val="24"/>
        </w:rPr>
        <w:t>las cuentas anuales</w:t>
      </w:r>
      <w:r w:rsidRPr="000934DB">
        <w:rPr>
          <w:spacing w:val="6"/>
          <w:sz w:val="26"/>
          <w:szCs w:val="24"/>
        </w:rPr>
        <w:t>.</w:t>
      </w:r>
    </w:p>
    <w:p w:rsidR="00EF1AFB" w:rsidRPr="000934DB" w:rsidRDefault="000934DB" w:rsidP="000934DB">
      <w:pPr>
        <w:tabs>
          <w:tab w:val="center" w:pos="2835"/>
          <w:tab w:val="center" w:pos="3969"/>
          <w:tab w:val="center" w:pos="5103"/>
          <w:tab w:val="center" w:pos="6237"/>
          <w:tab w:val="center" w:pos="7371"/>
        </w:tabs>
        <w:ind w:firstLine="284"/>
        <w:rPr>
          <w:spacing w:val="6"/>
          <w:sz w:val="26"/>
          <w:szCs w:val="24"/>
        </w:rPr>
      </w:pPr>
      <w:r w:rsidRPr="000934DB">
        <w:rPr>
          <w:spacing w:val="6"/>
          <w:sz w:val="26"/>
          <w:szCs w:val="24"/>
        </w:rPr>
        <w:t>Consideramos que la evidencia de auditoría que hemos obtenido proporciona una base suficiente y adecuada para fundamentar nuestra opinión y conclusi</w:t>
      </w:r>
      <w:r w:rsidRPr="000934DB">
        <w:rPr>
          <w:spacing w:val="6"/>
          <w:sz w:val="26"/>
          <w:szCs w:val="24"/>
        </w:rPr>
        <w:t>o</w:t>
      </w:r>
      <w:r w:rsidRPr="000934DB">
        <w:rPr>
          <w:spacing w:val="6"/>
          <w:sz w:val="26"/>
          <w:szCs w:val="24"/>
        </w:rPr>
        <w:t>nes</w:t>
      </w:r>
      <w:r w:rsidR="00015430">
        <w:rPr>
          <w:spacing w:val="6"/>
          <w:sz w:val="26"/>
          <w:szCs w:val="24"/>
        </w:rPr>
        <w:t>.</w:t>
      </w:r>
    </w:p>
    <w:p w:rsidR="00EF1AFB" w:rsidRPr="00AD3E89" w:rsidRDefault="000934DB" w:rsidP="00AD3E89">
      <w:pPr>
        <w:pStyle w:val="atitulo2"/>
      </w:pPr>
      <w:bookmarkStart w:id="17" w:name="_Toc41485558"/>
      <w:bookmarkStart w:id="18" w:name="_Toc73013237"/>
      <w:bookmarkStart w:id="19" w:name="_Toc75427855"/>
      <w:r w:rsidRPr="00AD3E89">
        <w:lastRenderedPageBreak/>
        <w:t>IV</w:t>
      </w:r>
      <w:r w:rsidR="00EF1AFB" w:rsidRPr="00AD3E89">
        <w:t>.1</w:t>
      </w:r>
      <w:r w:rsidR="00DA11A9" w:rsidRPr="00AD3E89">
        <w:t>.</w:t>
      </w:r>
      <w:r w:rsidR="00EF1AFB" w:rsidRPr="00AD3E89">
        <w:t xml:space="preserve"> </w:t>
      </w:r>
      <w:bookmarkEnd w:id="17"/>
      <w:r w:rsidR="00BC1A10" w:rsidRPr="00AD3E89">
        <w:t>A</w:t>
      </w:r>
      <w:r w:rsidR="00EF1AFB" w:rsidRPr="00AD3E89">
        <w:t>spectos generales sobre la gestión de la Fundación Miguel Servet</w:t>
      </w:r>
      <w:bookmarkEnd w:id="18"/>
      <w:bookmarkEnd w:id="19"/>
    </w:p>
    <w:p w:rsidR="00EF1AFB" w:rsidRDefault="00EF1AFB" w:rsidP="00EF1AFB">
      <w:pPr>
        <w:pStyle w:val="texto"/>
        <w:spacing w:before="120" w:after="240"/>
      </w:pPr>
      <w:bookmarkStart w:id="20" w:name="#10007318"/>
      <w:bookmarkStart w:id="21" w:name="_Toc41485559"/>
      <w:bookmarkEnd w:id="20"/>
      <w:r>
        <w:t>A continuación, analizamos la evolución para el periodo 2016-2020 de alg</w:t>
      </w:r>
      <w:r>
        <w:t>u</w:t>
      </w:r>
      <w:r>
        <w:t>nos aspectos relacionados con la gestión de la Fundación.</w:t>
      </w:r>
    </w:p>
    <w:p w:rsidR="00EF1AFB" w:rsidRPr="00261BB6" w:rsidRDefault="00EF1AFB" w:rsidP="00EE7347">
      <w:pPr>
        <w:pStyle w:val="atitulo3"/>
        <w:spacing w:before="240"/>
      </w:pPr>
      <w:r w:rsidRPr="00261BB6">
        <w:t>Gastos de la Fundación</w:t>
      </w:r>
    </w:p>
    <w:p w:rsidR="00EF1AFB" w:rsidRDefault="00EF1AFB" w:rsidP="00EE7347">
      <w:pPr>
        <w:pStyle w:val="texto"/>
        <w:spacing w:before="240" w:after="240"/>
      </w:pPr>
      <w:r>
        <w:t xml:space="preserve">La evolución de los gastos de la Fundación en el periodo 2016-2020, de acuerdo a sus </w:t>
      </w:r>
      <w:r w:rsidR="006D758F">
        <w:t>cuentas</w:t>
      </w:r>
      <w:r w:rsidR="000B5988">
        <w:t xml:space="preserve"> anuales</w:t>
      </w:r>
      <w:r w:rsidR="006D758F">
        <w:t xml:space="preserve"> auditadas</w:t>
      </w:r>
      <w:r>
        <w:t>, es la siguiente:</w:t>
      </w:r>
    </w:p>
    <w:tbl>
      <w:tblPr>
        <w:tblStyle w:val="Tablaconcuadrcula"/>
        <w:tblW w:w="878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58"/>
        <w:gridCol w:w="1075"/>
        <w:gridCol w:w="1075"/>
        <w:gridCol w:w="1075"/>
        <w:gridCol w:w="1075"/>
        <w:gridCol w:w="1075"/>
        <w:gridCol w:w="878"/>
        <w:gridCol w:w="878"/>
      </w:tblGrid>
      <w:tr w:rsidR="00EF1AFB" w:rsidRPr="00094A9C" w:rsidTr="00373351">
        <w:trPr>
          <w:trHeight w:val="255"/>
        </w:trPr>
        <w:tc>
          <w:tcPr>
            <w:tcW w:w="1444" w:type="dxa"/>
            <w:shd w:val="clear" w:color="auto" w:fill="8DB3E2" w:themeFill="text2" w:themeFillTint="66"/>
          </w:tcPr>
          <w:p w:rsidR="00EF1AFB" w:rsidRPr="00094A9C" w:rsidRDefault="00EF1AFB" w:rsidP="00373351">
            <w:pPr>
              <w:pStyle w:val="cuadroCabe"/>
              <w:ind w:left="-113" w:right="-196"/>
              <w:jc w:val="left"/>
              <w:rPr>
                <w:sz w:val="17"/>
                <w:szCs w:val="17"/>
              </w:rPr>
            </w:pP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sidRPr="00094A9C">
              <w:rPr>
                <w:sz w:val="17"/>
                <w:szCs w:val="17"/>
              </w:rPr>
              <w:t>2016</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sidRPr="00094A9C">
              <w:rPr>
                <w:sz w:val="17"/>
                <w:szCs w:val="17"/>
              </w:rPr>
              <w:t>2017</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sidRPr="00094A9C">
              <w:rPr>
                <w:sz w:val="17"/>
                <w:szCs w:val="17"/>
              </w:rPr>
              <w:t>2018</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sidRPr="00094A9C">
              <w:rPr>
                <w:sz w:val="17"/>
                <w:szCs w:val="17"/>
              </w:rPr>
              <w:t>2019</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sidRPr="00094A9C">
              <w:rPr>
                <w:sz w:val="17"/>
                <w:szCs w:val="17"/>
              </w:rPr>
              <w:t>2020</w:t>
            </w:r>
          </w:p>
        </w:tc>
        <w:tc>
          <w:tcPr>
            <w:tcW w:w="765" w:type="dxa"/>
            <w:shd w:val="clear" w:color="auto" w:fill="8DB3E2" w:themeFill="text2" w:themeFillTint="66"/>
            <w:vAlign w:val="center"/>
          </w:tcPr>
          <w:p w:rsidR="00EF1AFB" w:rsidRPr="00094A9C" w:rsidRDefault="00094A9C" w:rsidP="00094A9C">
            <w:pPr>
              <w:pStyle w:val="cuadroCabe"/>
              <w:jc w:val="right"/>
              <w:rPr>
                <w:sz w:val="17"/>
                <w:szCs w:val="17"/>
              </w:rPr>
            </w:pPr>
            <w:r w:rsidRPr="00094A9C">
              <w:rPr>
                <w:sz w:val="17"/>
                <w:szCs w:val="17"/>
              </w:rPr>
              <w:t>Var.% 2020/</w:t>
            </w:r>
            <w:r w:rsidR="00EF1AFB" w:rsidRPr="00094A9C">
              <w:rPr>
                <w:sz w:val="17"/>
                <w:szCs w:val="17"/>
              </w:rPr>
              <w:t>16</w:t>
            </w:r>
          </w:p>
        </w:tc>
        <w:tc>
          <w:tcPr>
            <w:tcW w:w="765" w:type="dxa"/>
            <w:shd w:val="clear" w:color="auto" w:fill="8DB3E2" w:themeFill="text2" w:themeFillTint="66"/>
            <w:vAlign w:val="center"/>
          </w:tcPr>
          <w:p w:rsidR="00EF1AFB" w:rsidRPr="00094A9C" w:rsidRDefault="00EF1AFB" w:rsidP="00801DA4">
            <w:pPr>
              <w:pStyle w:val="cuadroCabe"/>
              <w:ind w:left="-89"/>
              <w:jc w:val="right"/>
              <w:rPr>
                <w:sz w:val="17"/>
                <w:szCs w:val="17"/>
              </w:rPr>
            </w:pPr>
            <w:r w:rsidRPr="00094A9C">
              <w:rPr>
                <w:sz w:val="17"/>
                <w:szCs w:val="17"/>
              </w:rPr>
              <w:t>Var.% 2020/19</w:t>
            </w:r>
          </w:p>
        </w:tc>
      </w:tr>
      <w:tr w:rsidR="00EF1AFB" w:rsidRPr="009F2B7D" w:rsidTr="00373351">
        <w:trPr>
          <w:trHeight w:val="198"/>
        </w:trPr>
        <w:tc>
          <w:tcPr>
            <w:tcW w:w="1444" w:type="dxa"/>
            <w:tcBorders>
              <w:bottom w:val="single" w:sz="2" w:space="0" w:color="auto"/>
            </w:tcBorders>
            <w:vAlign w:val="center"/>
          </w:tcPr>
          <w:p w:rsidR="00EF1AFB" w:rsidRPr="009F2B7D" w:rsidRDefault="00EF1AFB" w:rsidP="00EE7347">
            <w:pPr>
              <w:pStyle w:val="cuatexto"/>
              <w:jc w:val="left"/>
              <w:rPr>
                <w:sz w:val="18"/>
                <w:szCs w:val="18"/>
              </w:rPr>
            </w:pPr>
            <w:r w:rsidRPr="009F2B7D">
              <w:rPr>
                <w:sz w:val="18"/>
                <w:szCs w:val="18"/>
              </w:rPr>
              <w:t>Gastos personal</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2.404.592</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2.622.620</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3.193.278</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4.027.948</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4.213.044</w:t>
            </w:r>
          </w:p>
        </w:tc>
        <w:tc>
          <w:tcPr>
            <w:tcW w:w="765" w:type="dxa"/>
            <w:tcBorders>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75</w:t>
            </w:r>
          </w:p>
        </w:tc>
        <w:tc>
          <w:tcPr>
            <w:tcW w:w="765" w:type="dxa"/>
            <w:tcBorders>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5</w:t>
            </w:r>
          </w:p>
        </w:tc>
      </w:tr>
      <w:tr w:rsidR="00EF1AFB" w:rsidRPr="009F2B7D" w:rsidTr="00373351">
        <w:trPr>
          <w:trHeight w:val="198"/>
        </w:trPr>
        <w:tc>
          <w:tcPr>
            <w:tcW w:w="1444" w:type="dxa"/>
            <w:tcBorders>
              <w:top w:val="single" w:sz="2" w:space="0" w:color="auto"/>
              <w:bottom w:val="single" w:sz="2" w:space="0" w:color="auto"/>
            </w:tcBorders>
            <w:vAlign w:val="center"/>
          </w:tcPr>
          <w:p w:rsidR="00EF1AFB" w:rsidRPr="009F2B7D" w:rsidRDefault="00EF1AFB" w:rsidP="00373351">
            <w:pPr>
              <w:pStyle w:val="cuatexto"/>
              <w:jc w:val="left"/>
              <w:rPr>
                <w:sz w:val="18"/>
                <w:szCs w:val="18"/>
              </w:rPr>
            </w:pPr>
            <w:proofErr w:type="spellStart"/>
            <w:r w:rsidRPr="009F2B7D">
              <w:rPr>
                <w:sz w:val="18"/>
                <w:szCs w:val="18"/>
              </w:rPr>
              <w:t>Gtos</w:t>
            </w:r>
            <w:proofErr w:type="spellEnd"/>
            <w:r w:rsidR="00373351">
              <w:rPr>
                <w:sz w:val="18"/>
                <w:szCs w:val="18"/>
              </w:rPr>
              <w:t xml:space="preserve">. </w:t>
            </w:r>
            <w:proofErr w:type="gramStart"/>
            <w:r w:rsidR="00373351">
              <w:rPr>
                <w:sz w:val="18"/>
                <w:szCs w:val="18"/>
              </w:rPr>
              <w:t>bienes</w:t>
            </w:r>
            <w:proofErr w:type="gramEnd"/>
            <w:r w:rsidR="00373351">
              <w:rPr>
                <w:sz w:val="18"/>
                <w:szCs w:val="18"/>
              </w:rPr>
              <w:t xml:space="preserve"> y </w:t>
            </w:r>
            <w:proofErr w:type="spellStart"/>
            <w:r w:rsidR="00373351">
              <w:rPr>
                <w:sz w:val="18"/>
                <w:szCs w:val="18"/>
              </w:rPr>
              <w:t>se</w:t>
            </w:r>
            <w:r w:rsidRPr="009F2B7D">
              <w:rPr>
                <w:sz w:val="18"/>
                <w:szCs w:val="18"/>
              </w:rPr>
              <w:t>rv</w:t>
            </w:r>
            <w:proofErr w:type="spellEnd"/>
            <w:r w:rsidR="00373351">
              <w:rPr>
                <w:sz w:val="18"/>
                <w:szCs w:val="18"/>
              </w:rPr>
              <w:t>.</w:t>
            </w:r>
          </w:p>
        </w:tc>
        <w:tc>
          <w:tcPr>
            <w:tcW w:w="936" w:type="dxa"/>
            <w:tcBorders>
              <w:top w:val="single" w:sz="2" w:space="0" w:color="auto"/>
              <w:bottom w:val="single" w:sz="2" w:space="0" w:color="auto"/>
            </w:tcBorders>
            <w:vAlign w:val="center"/>
          </w:tcPr>
          <w:p w:rsidR="00EF1AFB" w:rsidRPr="009F2B7D" w:rsidRDefault="00EF1AFB" w:rsidP="00EE7347">
            <w:pPr>
              <w:pStyle w:val="cuatexto"/>
              <w:ind w:left="-204"/>
              <w:jc w:val="right"/>
              <w:rPr>
                <w:rFonts w:cs="Calibri"/>
                <w:color w:val="000000"/>
                <w:sz w:val="18"/>
                <w:szCs w:val="18"/>
                <w:lang w:val="es-ES" w:eastAsia="es-ES"/>
              </w:rPr>
            </w:pPr>
            <w:r w:rsidRPr="009F2B7D">
              <w:rPr>
                <w:rFonts w:cs="Calibri"/>
                <w:color w:val="000000"/>
                <w:sz w:val="18"/>
                <w:szCs w:val="18"/>
                <w:lang w:val="es-ES" w:eastAsia="es-ES"/>
              </w:rPr>
              <w:t>1.568.238</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2.590.270</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2.318.846</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3.044.683</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2.114.540</w:t>
            </w:r>
          </w:p>
        </w:tc>
        <w:tc>
          <w:tcPr>
            <w:tcW w:w="765"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35</w:t>
            </w:r>
          </w:p>
        </w:tc>
        <w:tc>
          <w:tcPr>
            <w:tcW w:w="765"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-31</w:t>
            </w:r>
          </w:p>
        </w:tc>
      </w:tr>
      <w:tr w:rsidR="00EF1AFB" w:rsidRPr="009F2B7D" w:rsidTr="00097E98">
        <w:trPr>
          <w:trHeight w:val="198"/>
        </w:trPr>
        <w:tc>
          <w:tcPr>
            <w:tcW w:w="1444" w:type="dxa"/>
            <w:tcBorders>
              <w:top w:val="single" w:sz="2" w:space="0" w:color="auto"/>
              <w:bottom w:val="single" w:sz="4" w:space="0" w:color="auto"/>
            </w:tcBorders>
            <w:vAlign w:val="center"/>
          </w:tcPr>
          <w:p w:rsidR="00EF1AFB" w:rsidRPr="009F2B7D" w:rsidRDefault="00EF1AFB" w:rsidP="00EE7347">
            <w:pPr>
              <w:pStyle w:val="cuatexto"/>
              <w:jc w:val="left"/>
              <w:rPr>
                <w:sz w:val="18"/>
                <w:szCs w:val="18"/>
              </w:rPr>
            </w:pPr>
            <w:r w:rsidRPr="009F2B7D">
              <w:rPr>
                <w:sz w:val="18"/>
                <w:szCs w:val="18"/>
              </w:rPr>
              <w:t>Otros</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780.533*</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226.103</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314.187</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439.642</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375.476</w:t>
            </w:r>
          </w:p>
        </w:tc>
        <w:tc>
          <w:tcPr>
            <w:tcW w:w="765"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-52</w:t>
            </w:r>
          </w:p>
        </w:tc>
        <w:tc>
          <w:tcPr>
            <w:tcW w:w="765"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lang w:val="es-ES" w:eastAsia="es-ES"/>
              </w:rPr>
            </w:pPr>
            <w:r w:rsidRPr="009F2B7D">
              <w:rPr>
                <w:rFonts w:cs="Calibri"/>
                <w:color w:val="000000"/>
                <w:sz w:val="18"/>
                <w:szCs w:val="18"/>
                <w:lang w:val="es-ES" w:eastAsia="es-ES"/>
              </w:rPr>
              <w:t>-15</w:t>
            </w:r>
          </w:p>
        </w:tc>
      </w:tr>
      <w:tr w:rsidR="00EF1AFB" w:rsidRPr="00094A9C" w:rsidTr="00373351">
        <w:trPr>
          <w:trHeight w:val="255"/>
        </w:trPr>
        <w:tc>
          <w:tcPr>
            <w:tcW w:w="1444" w:type="dxa"/>
            <w:tcBorders>
              <w:top w:val="single" w:sz="4" w:space="0" w:color="auto"/>
              <w:bottom w:val="single" w:sz="4" w:space="0" w:color="auto"/>
            </w:tcBorders>
            <w:shd w:val="clear" w:color="auto" w:fill="8DB3E2" w:themeFill="text2" w:themeFillTint="66"/>
            <w:vAlign w:val="center"/>
          </w:tcPr>
          <w:p w:rsidR="00EF1AFB" w:rsidRPr="00094A9C" w:rsidRDefault="006D758F" w:rsidP="00EE7347">
            <w:pPr>
              <w:pStyle w:val="cuadroCabe"/>
              <w:jc w:val="left"/>
              <w:rPr>
                <w:sz w:val="17"/>
                <w:szCs w:val="17"/>
              </w:rPr>
            </w:pPr>
            <w:r w:rsidRPr="00094A9C">
              <w:rPr>
                <w:sz w:val="17"/>
                <w:szCs w:val="17"/>
              </w:rPr>
              <w:t>Total</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lang w:val="es-ES" w:eastAsia="es-ES"/>
              </w:rPr>
            </w:pPr>
            <w:r w:rsidRPr="00094A9C">
              <w:rPr>
                <w:color w:val="000000"/>
                <w:sz w:val="17"/>
                <w:szCs w:val="17"/>
                <w:lang w:val="es-ES" w:eastAsia="es-ES"/>
              </w:rPr>
              <w:t>4.753.363</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lang w:val="es-ES" w:eastAsia="es-ES"/>
              </w:rPr>
            </w:pPr>
            <w:r w:rsidRPr="00094A9C">
              <w:rPr>
                <w:color w:val="000000"/>
                <w:sz w:val="17"/>
                <w:szCs w:val="17"/>
                <w:lang w:val="es-ES" w:eastAsia="es-ES"/>
              </w:rPr>
              <w:t>5.438.993</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lang w:val="es-ES" w:eastAsia="es-ES"/>
              </w:rPr>
            </w:pPr>
            <w:r w:rsidRPr="00094A9C">
              <w:rPr>
                <w:color w:val="000000"/>
                <w:sz w:val="17"/>
                <w:szCs w:val="17"/>
                <w:lang w:val="es-ES" w:eastAsia="es-ES"/>
              </w:rPr>
              <w:t>5.826.311</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lang w:val="es-ES" w:eastAsia="es-ES"/>
              </w:rPr>
            </w:pPr>
            <w:r w:rsidRPr="00094A9C">
              <w:rPr>
                <w:color w:val="000000"/>
                <w:sz w:val="17"/>
                <w:szCs w:val="17"/>
                <w:lang w:val="es-ES" w:eastAsia="es-ES"/>
              </w:rPr>
              <w:t>7.512.273</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lang w:val="es-ES" w:eastAsia="es-ES"/>
              </w:rPr>
            </w:pPr>
            <w:r w:rsidRPr="00094A9C">
              <w:rPr>
                <w:color w:val="000000"/>
                <w:sz w:val="17"/>
                <w:szCs w:val="17"/>
                <w:lang w:val="es-ES" w:eastAsia="es-ES"/>
              </w:rPr>
              <w:t>6.703.060</w:t>
            </w:r>
          </w:p>
        </w:tc>
        <w:tc>
          <w:tcPr>
            <w:tcW w:w="765"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lang w:val="es-ES" w:eastAsia="es-ES"/>
              </w:rPr>
            </w:pPr>
            <w:r w:rsidRPr="00094A9C">
              <w:rPr>
                <w:color w:val="000000"/>
                <w:sz w:val="17"/>
                <w:szCs w:val="17"/>
                <w:lang w:val="es-ES" w:eastAsia="es-ES"/>
              </w:rPr>
              <w:t>41</w:t>
            </w:r>
          </w:p>
        </w:tc>
        <w:tc>
          <w:tcPr>
            <w:tcW w:w="765"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lang w:val="es-ES" w:eastAsia="es-ES"/>
              </w:rPr>
            </w:pPr>
            <w:r w:rsidRPr="00094A9C">
              <w:rPr>
                <w:color w:val="000000"/>
                <w:sz w:val="17"/>
                <w:szCs w:val="17"/>
                <w:lang w:val="es-ES" w:eastAsia="es-ES"/>
              </w:rPr>
              <w:t>-11</w:t>
            </w:r>
          </w:p>
        </w:tc>
      </w:tr>
      <w:tr w:rsidR="00EF1AFB" w:rsidRPr="004333DE" w:rsidTr="007174D0">
        <w:trPr>
          <w:trHeight w:val="255"/>
        </w:trPr>
        <w:tc>
          <w:tcPr>
            <w:tcW w:w="765" w:type="dxa"/>
            <w:gridSpan w:val="8"/>
            <w:tcBorders>
              <w:top w:val="single" w:sz="4" w:space="0" w:color="auto"/>
              <w:bottom w:val="nil"/>
            </w:tcBorders>
            <w:shd w:val="clear" w:color="auto" w:fill="auto"/>
            <w:vAlign w:val="center"/>
          </w:tcPr>
          <w:p w:rsidR="00EF1AFB" w:rsidRPr="004333DE" w:rsidRDefault="00EF1AFB" w:rsidP="0005554D">
            <w:pPr>
              <w:autoSpaceDE w:val="0"/>
              <w:autoSpaceDN w:val="0"/>
              <w:adjustRightInd w:val="0"/>
              <w:spacing w:before="60" w:after="0"/>
              <w:ind w:firstLine="0"/>
              <w:rPr>
                <w:rFonts w:ascii="Arial" w:hAnsi="Arial" w:cs="Arial"/>
                <w:color w:val="000000"/>
                <w:sz w:val="14"/>
                <w:szCs w:val="14"/>
                <w:lang w:val="es-ES" w:eastAsia="es-ES"/>
              </w:rPr>
            </w:pPr>
            <w:r w:rsidRPr="004333DE">
              <w:rPr>
                <w:rFonts w:ascii="Arial" w:hAnsi="Arial" w:cs="Arial"/>
                <w:color w:val="000000"/>
                <w:sz w:val="14"/>
                <w:szCs w:val="14"/>
                <w:lang w:val="es-ES" w:eastAsia="es-ES"/>
              </w:rPr>
              <w:t>*</w:t>
            </w:r>
            <w:r w:rsidR="00EE7347">
              <w:rPr>
                <w:rFonts w:ascii="Arial" w:hAnsi="Arial" w:cs="Arial"/>
                <w:color w:val="000000"/>
                <w:sz w:val="14"/>
                <w:szCs w:val="14"/>
                <w:lang w:val="es-ES" w:eastAsia="es-ES"/>
              </w:rPr>
              <w:t xml:space="preserve"> </w:t>
            </w:r>
            <w:r w:rsidRPr="004333DE">
              <w:rPr>
                <w:rFonts w:ascii="Arial" w:hAnsi="Arial" w:cs="Arial"/>
                <w:color w:val="000000"/>
                <w:sz w:val="14"/>
                <w:szCs w:val="14"/>
                <w:lang w:val="es-ES" w:eastAsia="es-ES"/>
              </w:rPr>
              <w:t xml:space="preserve">En 2016, </w:t>
            </w:r>
            <w:r w:rsidR="0005554D">
              <w:rPr>
                <w:rFonts w:ascii="Arial" w:hAnsi="Arial" w:cs="Arial"/>
                <w:color w:val="000000"/>
                <w:sz w:val="14"/>
                <w:szCs w:val="14"/>
                <w:lang w:val="es-ES" w:eastAsia="es-ES"/>
              </w:rPr>
              <w:t xml:space="preserve">siguiendo las indicaciones del financiador Programa Operativo de Cooperación Transfronteriza España-Francia-Andorra (POCTEFA) se realizó un traspaso de subvención a los beneficiarios del proyecto de red de cooperación transpirenaica (REFBIO) para la ejecución de actividades de investigación por un importe total </w:t>
            </w:r>
            <w:r w:rsidRPr="004333DE">
              <w:rPr>
                <w:rFonts w:ascii="Arial" w:hAnsi="Arial" w:cs="Arial"/>
                <w:color w:val="000000"/>
                <w:sz w:val="14"/>
                <w:szCs w:val="14"/>
                <w:lang w:val="es-ES" w:eastAsia="es-ES"/>
              </w:rPr>
              <w:t>de 589.000 euros.</w:t>
            </w:r>
          </w:p>
        </w:tc>
      </w:tr>
    </w:tbl>
    <w:p w:rsidR="00EF1AFB" w:rsidRDefault="00EF1AFB" w:rsidP="006D758F">
      <w:pPr>
        <w:pStyle w:val="texto"/>
        <w:spacing w:before="240" w:after="120"/>
      </w:pPr>
      <w:r>
        <w:t>Los gastos de la Fundación en 2020 ascendieron a 6,70 millones, importe que experimenta un crecimiento del 41 por ciento respecto a 2016</w:t>
      </w:r>
      <w:r w:rsidR="006D758F">
        <w:t xml:space="preserve"> por el incr</w:t>
      </w:r>
      <w:r w:rsidR="006D758F">
        <w:t>e</w:t>
      </w:r>
      <w:r w:rsidR="006D758F">
        <w:t xml:space="preserve">mento de la actividad de la organización que implica </w:t>
      </w:r>
      <w:r w:rsidR="00CC22B9">
        <w:t>que los gastos de personal y de bienes y servicios asciendan un 75 y un 35 por ciento respectivamente; respecto a 2019, los gastos disminuyen un</w:t>
      </w:r>
      <w:r>
        <w:t xml:space="preserve"> 11 por ciento </w:t>
      </w:r>
      <w:r w:rsidR="00CC22B9">
        <w:t>debido fundamenta</w:t>
      </w:r>
      <w:r w:rsidR="00CC22B9">
        <w:t>l</w:t>
      </w:r>
      <w:r w:rsidR="00CC22B9">
        <w:t>mente a la bajada en un 31 por ciento de los gastos en bienes y servicios der</w:t>
      </w:r>
      <w:r w:rsidR="00CC22B9">
        <w:t>i</w:t>
      </w:r>
      <w:r w:rsidR="00CC22B9">
        <w:t>vada de la crisis sanitaria motivada por la COVID-19.</w:t>
      </w:r>
      <w:r w:rsidR="006D758F">
        <w:t xml:space="preserve"> </w:t>
      </w:r>
    </w:p>
    <w:p w:rsidR="00EF1AFB" w:rsidRDefault="006D758F" w:rsidP="00EF1AFB">
      <w:pPr>
        <w:pStyle w:val="texto"/>
        <w:spacing w:after="240"/>
      </w:pPr>
      <w:r w:rsidRPr="00A47382">
        <w:rPr>
          <w:noProof/>
          <w:lang w:val="es-ES" w:eastAsia="es-ES"/>
        </w:rPr>
        <w:drawing>
          <wp:anchor distT="0" distB="0" distL="114300" distR="114300" simplePos="0" relativeHeight="251658752" behindDoc="0" locked="0" layoutInCell="1" allowOverlap="1">
            <wp:simplePos x="0" y="0"/>
            <wp:positionH relativeFrom="margin">
              <wp:align>center</wp:align>
            </wp:positionH>
            <wp:positionV relativeFrom="paragraph">
              <wp:posOffset>532130</wp:posOffset>
            </wp:positionV>
            <wp:extent cx="5295900" cy="2796969"/>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31" t="12111" r="4090" b="3460"/>
                    <a:stretch/>
                  </pic:blipFill>
                  <pic:spPr bwMode="auto">
                    <a:xfrm>
                      <a:off x="0" y="0"/>
                      <a:ext cx="5295900" cy="2796969"/>
                    </a:xfrm>
                    <a:prstGeom prst="rect">
                      <a:avLst/>
                    </a:prstGeom>
                    <a:noFill/>
                    <a:ln>
                      <a:noFill/>
                    </a:ln>
                    <a:extLst>
                      <a:ext uri="{53640926-AAD7-44D8-BBD7-CCE9431645EC}">
                        <a14:shadowObscured xmlns:a14="http://schemas.microsoft.com/office/drawing/2010/main"/>
                      </a:ext>
                    </a:extLst>
                  </pic:spPr>
                </pic:pic>
              </a:graphicData>
            </a:graphic>
          </wp:anchor>
        </w:drawing>
      </w:r>
      <w:r w:rsidR="00EF1AFB">
        <w:t>El gráfico siguiente muestra el porcentaje que representa cada concepto de gasto sobre el total en el periodo 2016-2020:</w:t>
      </w:r>
    </w:p>
    <w:p w:rsidR="00EF1AFB" w:rsidRPr="000F738A" w:rsidRDefault="00EF1AFB" w:rsidP="006D758F">
      <w:pPr>
        <w:pStyle w:val="texto"/>
        <w:tabs>
          <w:tab w:val="clear" w:pos="2835"/>
          <w:tab w:val="clear" w:pos="3969"/>
          <w:tab w:val="clear" w:pos="5103"/>
          <w:tab w:val="clear" w:pos="6237"/>
          <w:tab w:val="clear" w:pos="7371"/>
        </w:tabs>
        <w:spacing w:before="360" w:after="120"/>
        <w:ind w:firstLine="425"/>
      </w:pPr>
      <w:r w:rsidRPr="000F738A">
        <w:lastRenderedPageBreak/>
        <w:t>Los gastos de personal suponen en el conjunto del periodo el 54 por ciento del total, si bien en 2020 este porcentaje ascendió al 63 por ciento; los gastos en bienes corrientes y servicios (aprovisionamientos y otros gastos de explot</w:t>
      </w:r>
      <w:r w:rsidRPr="000F738A">
        <w:t>a</w:t>
      </w:r>
      <w:r w:rsidRPr="000F738A">
        <w:t xml:space="preserve">ción) representan el 39 por ciento del periodo (31 por ciento en 2020), y el siete por ciento restante son otros gastos </w:t>
      </w:r>
      <w:r w:rsidR="00CC22B9">
        <w:t>principalmente</w:t>
      </w:r>
      <w:r w:rsidRPr="000F738A">
        <w:t xml:space="preserve"> amortizaciones. </w:t>
      </w:r>
    </w:p>
    <w:p w:rsidR="00EF1AFB" w:rsidRPr="00261BB6" w:rsidRDefault="00EF1AFB" w:rsidP="003748FB">
      <w:pPr>
        <w:pStyle w:val="atitulo3"/>
        <w:spacing w:before="240"/>
      </w:pPr>
      <w:r w:rsidRPr="00261BB6">
        <w:t>Personal de la Fundación</w:t>
      </w:r>
    </w:p>
    <w:p w:rsidR="00EF1AFB" w:rsidRPr="000F738A" w:rsidRDefault="00EF1AFB" w:rsidP="003748FB">
      <w:pPr>
        <w:pStyle w:val="texto"/>
        <w:spacing w:after="240"/>
      </w:pPr>
      <w:r w:rsidRPr="000F738A">
        <w:t xml:space="preserve">El personal de la Fundación a 31 de </w:t>
      </w:r>
      <w:r w:rsidRPr="00261BB6">
        <w:t>diciembre</w:t>
      </w:r>
      <w:r w:rsidRPr="000F738A">
        <w:t xml:space="preserve"> según su dedicación en el p</w:t>
      </w:r>
      <w:r w:rsidRPr="000F738A">
        <w:t>e</w:t>
      </w:r>
      <w:r w:rsidRPr="000F738A">
        <w:t>riodo 2016-2020 es el siguiente:</w:t>
      </w:r>
    </w:p>
    <w:tbl>
      <w:tblPr>
        <w:tblW w:w="8789"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133"/>
        <w:gridCol w:w="682"/>
        <w:gridCol w:w="682"/>
        <w:gridCol w:w="682"/>
        <w:gridCol w:w="682"/>
        <w:gridCol w:w="682"/>
        <w:gridCol w:w="1152"/>
        <w:gridCol w:w="1094"/>
      </w:tblGrid>
      <w:tr w:rsidR="00EF1AFB" w:rsidRPr="008D60AD" w:rsidTr="00096A34">
        <w:trPr>
          <w:trHeight w:val="255"/>
        </w:trPr>
        <w:tc>
          <w:tcPr>
            <w:tcW w:w="2865" w:type="dxa"/>
            <w:shd w:val="clear" w:color="auto" w:fill="8DB3E2" w:themeFill="text2" w:themeFillTint="66"/>
          </w:tcPr>
          <w:p w:rsidR="00EF1AFB" w:rsidRPr="008D60AD" w:rsidRDefault="00EF1AFB" w:rsidP="00580A23">
            <w:pPr>
              <w:pStyle w:val="cuadroCabe"/>
              <w:jc w:val="right"/>
              <w:rPr>
                <w:lang w:val="es-ES" w:eastAsia="es-ES"/>
              </w:rPr>
            </w:pP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2016</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2017</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2018</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2019</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2020</w:t>
            </w:r>
          </w:p>
        </w:tc>
        <w:tc>
          <w:tcPr>
            <w:tcW w:w="1054" w:type="dxa"/>
            <w:shd w:val="clear" w:color="auto" w:fill="8DB3E2" w:themeFill="text2" w:themeFillTint="66"/>
            <w:vAlign w:val="center"/>
          </w:tcPr>
          <w:p w:rsidR="00EF1AFB" w:rsidRPr="008D60AD" w:rsidRDefault="00EF1AFB" w:rsidP="00580A23">
            <w:pPr>
              <w:pStyle w:val="cuadroCabe"/>
              <w:jc w:val="right"/>
              <w:rPr>
                <w:bCs/>
                <w:lang w:val="es-ES" w:eastAsia="es-ES"/>
              </w:rPr>
            </w:pPr>
            <w:r w:rsidRPr="008D60AD">
              <w:rPr>
                <w:bCs/>
                <w:lang w:val="es-ES" w:eastAsia="es-ES"/>
              </w:rPr>
              <w:t xml:space="preserve">% Var </w:t>
            </w:r>
            <w:r>
              <w:rPr>
                <w:bCs/>
                <w:lang w:val="es-ES" w:eastAsia="es-ES"/>
              </w:rPr>
              <w:t>2020</w:t>
            </w:r>
            <w:r w:rsidRPr="008D60AD">
              <w:rPr>
                <w:bCs/>
                <w:lang w:val="es-ES" w:eastAsia="es-ES"/>
              </w:rPr>
              <w:t>/20</w:t>
            </w:r>
            <w:r>
              <w:rPr>
                <w:bCs/>
                <w:lang w:val="es-ES" w:eastAsia="es-ES"/>
              </w:rPr>
              <w:t>16</w:t>
            </w:r>
          </w:p>
        </w:tc>
        <w:tc>
          <w:tcPr>
            <w:tcW w:w="1001" w:type="dxa"/>
            <w:shd w:val="clear" w:color="auto" w:fill="8DB3E2" w:themeFill="text2" w:themeFillTint="66"/>
            <w:vAlign w:val="center"/>
          </w:tcPr>
          <w:p w:rsidR="00EF1AFB" w:rsidRPr="008D60AD" w:rsidRDefault="00EF1AFB" w:rsidP="00580A23">
            <w:pPr>
              <w:pStyle w:val="cuadroCabe"/>
              <w:jc w:val="right"/>
              <w:rPr>
                <w:bCs/>
                <w:lang w:val="es-ES" w:eastAsia="es-ES"/>
              </w:rPr>
            </w:pPr>
            <w:r w:rsidRPr="008D60AD">
              <w:rPr>
                <w:bCs/>
                <w:lang w:val="es-ES" w:eastAsia="es-ES"/>
              </w:rPr>
              <w:t xml:space="preserve">% Var </w:t>
            </w:r>
            <w:r>
              <w:rPr>
                <w:bCs/>
                <w:lang w:val="es-ES" w:eastAsia="es-ES"/>
              </w:rPr>
              <w:t>2020/2019</w:t>
            </w:r>
          </w:p>
        </w:tc>
      </w:tr>
      <w:tr w:rsidR="00EF1AFB" w:rsidRPr="00473CC4" w:rsidTr="00096A34">
        <w:trPr>
          <w:trHeight w:val="198"/>
        </w:trPr>
        <w:tc>
          <w:tcPr>
            <w:tcW w:w="2865" w:type="dxa"/>
            <w:tcBorders>
              <w:bottom w:val="nil"/>
            </w:tcBorders>
            <w:vAlign w:val="center"/>
          </w:tcPr>
          <w:p w:rsidR="00EF1AFB" w:rsidRPr="00473CC4" w:rsidRDefault="00EF1AFB" w:rsidP="00580A23">
            <w:pPr>
              <w:pStyle w:val="cuatexto"/>
              <w:rPr>
                <w:rFonts w:ascii="Arial" w:hAnsi="Arial" w:cs="Arial"/>
                <w:sz w:val="18"/>
                <w:szCs w:val="18"/>
                <w:lang w:val="es-ES" w:eastAsia="es-ES"/>
              </w:rPr>
            </w:pPr>
            <w:r w:rsidRPr="00473CC4">
              <w:rPr>
                <w:rFonts w:ascii="Arial" w:hAnsi="Arial" w:cs="Arial"/>
                <w:sz w:val="18"/>
                <w:szCs w:val="18"/>
                <w:lang w:val="es-ES" w:eastAsia="es-ES"/>
              </w:rPr>
              <w:t>Personal propio de estructura:</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38</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39</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41</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48</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53</w:t>
            </w:r>
          </w:p>
        </w:tc>
        <w:tc>
          <w:tcPr>
            <w:tcW w:w="1054" w:type="dxa"/>
            <w:tcBorders>
              <w:bottom w:val="nil"/>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39</w:t>
            </w:r>
          </w:p>
        </w:tc>
        <w:tc>
          <w:tcPr>
            <w:tcW w:w="1001" w:type="dxa"/>
            <w:tcBorders>
              <w:bottom w:val="nil"/>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10</w:t>
            </w:r>
          </w:p>
        </w:tc>
      </w:tr>
      <w:tr w:rsidR="00EF1AFB" w:rsidRPr="00096A34" w:rsidTr="00096A34">
        <w:trPr>
          <w:trHeight w:val="198"/>
        </w:trPr>
        <w:tc>
          <w:tcPr>
            <w:tcW w:w="2865" w:type="dxa"/>
            <w:tcBorders>
              <w:top w:val="nil"/>
              <w:bottom w:val="nil"/>
            </w:tcBorders>
            <w:vAlign w:val="center"/>
          </w:tcPr>
          <w:p w:rsidR="00EF1AFB" w:rsidRPr="00096A34" w:rsidRDefault="00EF1AFB" w:rsidP="00580A23">
            <w:pPr>
              <w:pStyle w:val="cuatexto"/>
              <w:rPr>
                <w:sz w:val="18"/>
                <w:szCs w:val="18"/>
                <w:lang w:val="es-ES" w:eastAsia="es-ES"/>
              </w:rPr>
            </w:pPr>
            <w:r w:rsidRPr="00096A34">
              <w:rPr>
                <w:sz w:val="18"/>
                <w:szCs w:val="18"/>
                <w:lang w:val="es-ES" w:eastAsia="es-ES"/>
              </w:rPr>
              <w:t>Dirección</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w:t>
            </w:r>
          </w:p>
        </w:tc>
        <w:tc>
          <w:tcPr>
            <w:tcW w:w="105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w:t>
            </w:r>
          </w:p>
        </w:tc>
        <w:tc>
          <w:tcPr>
            <w:tcW w:w="1001"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w:t>
            </w:r>
          </w:p>
        </w:tc>
      </w:tr>
      <w:tr w:rsidR="00EF1AFB" w:rsidRPr="00096A34" w:rsidTr="00096A34">
        <w:trPr>
          <w:trHeight w:val="198"/>
        </w:trPr>
        <w:tc>
          <w:tcPr>
            <w:tcW w:w="2865" w:type="dxa"/>
            <w:tcBorders>
              <w:top w:val="nil"/>
              <w:bottom w:val="nil"/>
            </w:tcBorders>
            <w:vAlign w:val="center"/>
          </w:tcPr>
          <w:p w:rsidR="00EF1AFB" w:rsidRPr="00096A34" w:rsidRDefault="00EF1AFB" w:rsidP="00580A23">
            <w:pPr>
              <w:pStyle w:val="cuatexto"/>
              <w:rPr>
                <w:sz w:val="18"/>
                <w:szCs w:val="18"/>
                <w:lang w:val="es-ES" w:eastAsia="es-ES"/>
              </w:rPr>
            </w:pPr>
            <w:r w:rsidRPr="00096A34">
              <w:rPr>
                <w:sz w:val="18"/>
                <w:szCs w:val="18"/>
                <w:lang w:val="es-ES" w:eastAsia="es-ES"/>
              </w:rPr>
              <w:t>Administración y apoyo investigación</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23</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23</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24</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26</w:t>
            </w:r>
          </w:p>
        </w:tc>
        <w:tc>
          <w:tcPr>
            <w:tcW w:w="62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29</w:t>
            </w:r>
          </w:p>
        </w:tc>
        <w:tc>
          <w:tcPr>
            <w:tcW w:w="1054"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26</w:t>
            </w:r>
          </w:p>
        </w:tc>
        <w:tc>
          <w:tcPr>
            <w:tcW w:w="1001" w:type="dxa"/>
            <w:tcBorders>
              <w:top w:val="nil"/>
              <w:bottom w:val="nil"/>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12</w:t>
            </w:r>
          </w:p>
        </w:tc>
      </w:tr>
      <w:tr w:rsidR="00EF1AFB" w:rsidRPr="00096A34" w:rsidTr="00096A34">
        <w:trPr>
          <w:trHeight w:val="198"/>
        </w:trPr>
        <w:tc>
          <w:tcPr>
            <w:tcW w:w="2865" w:type="dxa"/>
            <w:tcBorders>
              <w:top w:val="nil"/>
              <w:bottom w:val="single" w:sz="2" w:space="0" w:color="auto"/>
            </w:tcBorders>
            <w:vAlign w:val="center"/>
          </w:tcPr>
          <w:p w:rsidR="00EF1AFB" w:rsidRPr="00096A34" w:rsidRDefault="00EF1AFB" w:rsidP="00580A23">
            <w:pPr>
              <w:pStyle w:val="cuatexto"/>
              <w:rPr>
                <w:sz w:val="18"/>
                <w:szCs w:val="18"/>
                <w:lang w:val="es-ES" w:eastAsia="es-ES"/>
              </w:rPr>
            </w:pPr>
            <w:r w:rsidRPr="00096A34">
              <w:rPr>
                <w:sz w:val="18"/>
                <w:szCs w:val="18"/>
                <w:lang w:val="es-ES" w:eastAsia="es-ES"/>
              </w:rPr>
              <w:t>Investigador</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13</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14</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15</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20</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22</w:t>
            </w:r>
          </w:p>
        </w:tc>
        <w:tc>
          <w:tcPr>
            <w:tcW w:w="1054" w:type="dxa"/>
            <w:tcBorders>
              <w:top w:val="nil"/>
              <w:bottom w:val="single" w:sz="2" w:space="0" w:color="auto"/>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69</w:t>
            </w:r>
          </w:p>
        </w:tc>
        <w:tc>
          <w:tcPr>
            <w:tcW w:w="1001" w:type="dxa"/>
            <w:tcBorders>
              <w:top w:val="nil"/>
              <w:bottom w:val="single" w:sz="2" w:space="0" w:color="auto"/>
            </w:tcBorders>
            <w:vAlign w:val="center"/>
          </w:tcPr>
          <w:p w:rsidR="00EF1AFB" w:rsidRPr="00096A34" w:rsidRDefault="00EF1AFB" w:rsidP="00580A23">
            <w:pPr>
              <w:pStyle w:val="cuatexto"/>
              <w:jc w:val="right"/>
              <w:rPr>
                <w:sz w:val="18"/>
                <w:szCs w:val="18"/>
                <w:lang w:val="es-ES" w:eastAsia="es-ES"/>
              </w:rPr>
            </w:pPr>
            <w:r w:rsidRPr="00096A34">
              <w:rPr>
                <w:sz w:val="18"/>
                <w:szCs w:val="18"/>
                <w:lang w:val="es-ES" w:eastAsia="es-ES"/>
              </w:rPr>
              <w:t>10</w:t>
            </w:r>
          </w:p>
        </w:tc>
      </w:tr>
      <w:tr w:rsidR="00EF1AFB" w:rsidRPr="00473CC4" w:rsidTr="00096A34">
        <w:trPr>
          <w:trHeight w:val="198"/>
        </w:trPr>
        <w:tc>
          <w:tcPr>
            <w:tcW w:w="2865" w:type="dxa"/>
            <w:tcBorders>
              <w:top w:val="single" w:sz="2" w:space="0" w:color="auto"/>
              <w:bottom w:val="single" w:sz="4" w:space="0" w:color="auto"/>
            </w:tcBorders>
            <w:vAlign w:val="center"/>
          </w:tcPr>
          <w:p w:rsidR="00EF1AFB" w:rsidRPr="00473CC4" w:rsidRDefault="00EF1AFB" w:rsidP="00580A23">
            <w:pPr>
              <w:pStyle w:val="cuatexto"/>
              <w:rPr>
                <w:rFonts w:ascii="Arial" w:hAnsi="Arial" w:cs="Arial"/>
                <w:sz w:val="18"/>
                <w:szCs w:val="18"/>
                <w:lang w:val="es-ES" w:eastAsia="es-ES"/>
              </w:rPr>
            </w:pPr>
            <w:r w:rsidRPr="00473CC4">
              <w:rPr>
                <w:rFonts w:ascii="Arial" w:hAnsi="Arial" w:cs="Arial"/>
                <w:sz w:val="18"/>
                <w:szCs w:val="18"/>
                <w:lang w:val="es-ES" w:eastAsia="es-ES"/>
              </w:rPr>
              <w:t xml:space="preserve">Personal contratado para proyectos </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42</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52</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67</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59</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66</w:t>
            </w:r>
          </w:p>
        </w:tc>
        <w:tc>
          <w:tcPr>
            <w:tcW w:w="105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57</w:t>
            </w:r>
          </w:p>
        </w:tc>
        <w:tc>
          <w:tcPr>
            <w:tcW w:w="1001"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lang w:val="es-ES" w:eastAsia="es-ES"/>
              </w:rPr>
            </w:pPr>
            <w:r w:rsidRPr="00473CC4">
              <w:rPr>
                <w:rFonts w:ascii="Arial" w:hAnsi="Arial" w:cs="Arial"/>
                <w:sz w:val="18"/>
                <w:szCs w:val="18"/>
                <w:lang w:val="es-ES" w:eastAsia="es-ES"/>
              </w:rPr>
              <w:t>12</w:t>
            </w:r>
          </w:p>
        </w:tc>
      </w:tr>
      <w:tr w:rsidR="00EF1AFB" w:rsidRPr="008D60AD" w:rsidTr="00096A34">
        <w:trPr>
          <w:trHeight w:val="255"/>
        </w:trPr>
        <w:tc>
          <w:tcPr>
            <w:tcW w:w="2865" w:type="dxa"/>
            <w:shd w:val="clear" w:color="auto" w:fill="8DB3E2" w:themeFill="text2" w:themeFillTint="66"/>
            <w:vAlign w:val="center"/>
          </w:tcPr>
          <w:p w:rsidR="00EF1AFB" w:rsidRPr="008D60AD" w:rsidRDefault="00EF1AFB" w:rsidP="00580A23">
            <w:pPr>
              <w:pStyle w:val="cuadroCabe"/>
              <w:rPr>
                <w:lang w:val="es-ES" w:eastAsia="es-ES"/>
              </w:rPr>
            </w:pPr>
            <w:r>
              <w:rPr>
                <w:lang w:val="es-ES" w:eastAsia="es-ES"/>
              </w:rPr>
              <w:t xml:space="preserve">Total </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80</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91</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108</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107</w:t>
            </w:r>
          </w:p>
        </w:tc>
        <w:tc>
          <w:tcPr>
            <w:tcW w:w="624" w:type="dxa"/>
            <w:shd w:val="clear" w:color="auto" w:fill="8DB3E2" w:themeFill="text2" w:themeFillTint="66"/>
            <w:vAlign w:val="center"/>
          </w:tcPr>
          <w:p w:rsidR="00EF1AFB" w:rsidRPr="008D60AD" w:rsidRDefault="00EF1AFB" w:rsidP="00580A23">
            <w:pPr>
              <w:pStyle w:val="cuadroCabe"/>
              <w:jc w:val="right"/>
              <w:rPr>
                <w:lang w:val="es-ES" w:eastAsia="es-ES"/>
              </w:rPr>
            </w:pPr>
            <w:r w:rsidRPr="008D60AD">
              <w:rPr>
                <w:lang w:val="es-ES" w:eastAsia="es-ES"/>
              </w:rPr>
              <w:t>119</w:t>
            </w:r>
          </w:p>
        </w:tc>
        <w:tc>
          <w:tcPr>
            <w:tcW w:w="1054" w:type="dxa"/>
            <w:shd w:val="clear" w:color="auto" w:fill="8DB3E2" w:themeFill="text2" w:themeFillTint="66"/>
            <w:vAlign w:val="center"/>
          </w:tcPr>
          <w:p w:rsidR="00EF1AFB" w:rsidRPr="008D60AD" w:rsidRDefault="00EF1AFB" w:rsidP="00580A23">
            <w:pPr>
              <w:pStyle w:val="cuadroCabe"/>
              <w:jc w:val="right"/>
              <w:rPr>
                <w:lang w:val="es-ES" w:eastAsia="es-ES"/>
              </w:rPr>
            </w:pPr>
            <w:r>
              <w:rPr>
                <w:lang w:val="es-ES" w:eastAsia="es-ES"/>
              </w:rPr>
              <w:t>49</w:t>
            </w:r>
          </w:p>
        </w:tc>
        <w:tc>
          <w:tcPr>
            <w:tcW w:w="1001" w:type="dxa"/>
            <w:shd w:val="clear" w:color="auto" w:fill="8DB3E2" w:themeFill="text2" w:themeFillTint="66"/>
            <w:vAlign w:val="center"/>
          </w:tcPr>
          <w:p w:rsidR="00EF1AFB" w:rsidRPr="008D60AD" w:rsidRDefault="00EF1AFB" w:rsidP="00580A23">
            <w:pPr>
              <w:pStyle w:val="cuadroCabe"/>
              <w:jc w:val="right"/>
              <w:rPr>
                <w:lang w:val="es-ES" w:eastAsia="es-ES"/>
              </w:rPr>
            </w:pPr>
            <w:r>
              <w:rPr>
                <w:lang w:val="es-ES" w:eastAsia="es-ES"/>
              </w:rPr>
              <w:t>11</w:t>
            </w:r>
          </w:p>
        </w:tc>
      </w:tr>
    </w:tbl>
    <w:p w:rsidR="00EF1AFB" w:rsidRDefault="003322DB" w:rsidP="00EF1AFB">
      <w:pPr>
        <w:pStyle w:val="texto"/>
        <w:spacing w:before="240" w:after="120"/>
      </w:pPr>
      <w:r>
        <w:t>E</w:t>
      </w:r>
      <w:r w:rsidR="00EF1AFB">
        <w:t>l personal a 31 de diciembre</w:t>
      </w:r>
      <w:r>
        <w:t xml:space="preserve"> en 2020</w:t>
      </w:r>
      <w:r w:rsidR="00EF1AFB">
        <w:t xml:space="preserve"> aumentó un 49 y un 11 por ciento respecto a 2016 y 2019 respectivamente. El personal</w:t>
      </w:r>
      <w:r w:rsidR="00CC22B9">
        <w:t xml:space="preserve"> total </w:t>
      </w:r>
      <w:r w:rsidR="0005554D">
        <w:t xml:space="preserve">contratado </w:t>
      </w:r>
      <w:r w:rsidR="00CC22B9">
        <w:t xml:space="preserve">a 31 de diciembre de 2020 ascendía a 119 personas, del cual </w:t>
      </w:r>
      <w:r w:rsidR="0005554D">
        <w:t>53 personas corresponden a la estructura (45 por ciento) y 66 personas (55 por ciento) a proyectos de i</w:t>
      </w:r>
      <w:r w:rsidR="0005554D">
        <w:t>n</w:t>
      </w:r>
      <w:r w:rsidR="0005554D">
        <w:t>vestigación</w:t>
      </w:r>
      <w:r w:rsidR="00EF1AFB">
        <w:t xml:space="preserve">. </w:t>
      </w:r>
    </w:p>
    <w:p w:rsidR="00EF1AFB" w:rsidRDefault="00EF1AFB" w:rsidP="00EF1AFB">
      <w:pPr>
        <w:pStyle w:val="texto"/>
        <w:spacing w:before="120" w:after="120"/>
      </w:pPr>
      <w:r>
        <w:t xml:space="preserve">En el conjunto del periodo, el personal </w:t>
      </w:r>
      <w:r w:rsidR="00CC22B9">
        <w:t>de estructura</w:t>
      </w:r>
      <w:r>
        <w:t xml:space="preserve"> de la Fundación (dire</w:t>
      </w:r>
      <w:r>
        <w:t>c</w:t>
      </w:r>
      <w:r>
        <w:t>ción, administración y apoyo a la investigación e investigador) supone</w:t>
      </w:r>
      <w:r w:rsidR="003322DB">
        <w:t xml:space="preserve"> de m</w:t>
      </w:r>
      <w:r w:rsidR="003322DB">
        <w:t>e</w:t>
      </w:r>
      <w:r w:rsidR="003322DB">
        <w:t>dia</w:t>
      </w:r>
      <w:r>
        <w:t xml:space="preserve"> el 44 por ciento del total y el contratado para proyectos el 56 por ciento.</w:t>
      </w:r>
    </w:p>
    <w:p w:rsidR="00EF1AFB" w:rsidRDefault="00EF1AFB" w:rsidP="00EF1AFB">
      <w:pPr>
        <w:pStyle w:val="texto"/>
        <w:spacing w:before="120" w:after="240"/>
      </w:pPr>
      <w:r>
        <w:t>Por otro lado, el personal medio de la Fundación en cada uno de los años analizados fue el siguiente:</w:t>
      </w:r>
    </w:p>
    <w:tbl>
      <w:tblPr>
        <w:tblW w:w="8789"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212"/>
        <w:gridCol w:w="666"/>
        <w:gridCol w:w="666"/>
        <w:gridCol w:w="665"/>
        <w:gridCol w:w="665"/>
        <w:gridCol w:w="665"/>
        <w:gridCol w:w="1125"/>
        <w:gridCol w:w="1125"/>
      </w:tblGrid>
      <w:tr w:rsidR="00EF1AFB" w:rsidRPr="003B68F7" w:rsidTr="00096A34">
        <w:trPr>
          <w:trHeight w:val="255"/>
        </w:trPr>
        <w:tc>
          <w:tcPr>
            <w:tcW w:w="3011" w:type="dxa"/>
            <w:tcBorders>
              <w:bottom w:val="single" w:sz="4" w:space="0" w:color="auto"/>
            </w:tcBorders>
            <w:shd w:val="clear" w:color="auto" w:fill="8DB3E2" w:themeFill="text2" w:themeFillTint="66"/>
          </w:tcPr>
          <w:p w:rsidR="00EF1AFB" w:rsidRPr="003B68F7" w:rsidRDefault="00EF1AFB" w:rsidP="003B68F7">
            <w:pPr>
              <w:pStyle w:val="cuadroCabe"/>
            </w:pPr>
            <w:r w:rsidRPr="003B68F7">
              <w:t xml:space="preserve"> </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rsidRPr="003B68F7">
              <w:t>2016</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rsidRPr="003B68F7">
              <w:t>2017</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rsidRPr="003B68F7">
              <w:t>2018</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rsidRPr="003B68F7">
              <w:t>2019</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rsidRPr="003B68F7">
              <w:t>2020</w:t>
            </w:r>
          </w:p>
        </w:tc>
        <w:tc>
          <w:tcPr>
            <w:tcW w:w="1055" w:type="dxa"/>
            <w:tcBorders>
              <w:bottom w:val="single" w:sz="4" w:space="0" w:color="auto"/>
            </w:tcBorders>
            <w:shd w:val="clear" w:color="auto" w:fill="8DB3E2" w:themeFill="text2" w:themeFillTint="66"/>
            <w:vAlign w:val="center"/>
          </w:tcPr>
          <w:p w:rsidR="00EF1AFB" w:rsidRPr="003B68F7" w:rsidRDefault="00EF1AFB" w:rsidP="00F834BF">
            <w:pPr>
              <w:pStyle w:val="cuadroCabe"/>
              <w:jc w:val="right"/>
            </w:pPr>
            <w:r w:rsidRPr="003B68F7">
              <w:t>% Var 2020/16</w:t>
            </w:r>
          </w:p>
        </w:tc>
        <w:tc>
          <w:tcPr>
            <w:tcW w:w="1055" w:type="dxa"/>
            <w:tcBorders>
              <w:bottom w:val="single" w:sz="4" w:space="0" w:color="auto"/>
            </w:tcBorders>
            <w:shd w:val="clear" w:color="auto" w:fill="8DB3E2" w:themeFill="text2" w:themeFillTint="66"/>
            <w:vAlign w:val="center"/>
          </w:tcPr>
          <w:p w:rsidR="00EF1AFB" w:rsidRPr="003B68F7" w:rsidRDefault="00EF1AFB" w:rsidP="00F834BF">
            <w:pPr>
              <w:pStyle w:val="cuadroCabe"/>
              <w:jc w:val="right"/>
            </w:pPr>
            <w:r w:rsidRPr="003B68F7">
              <w:t>% Var 2020/19</w:t>
            </w:r>
          </w:p>
        </w:tc>
      </w:tr>
      <w:tr w:rsidR="00EF1AFB" w:rsidRPr="003B68F7" w:rsidTr="00096A34">
        <w:trPr>
          <w:trHeight w:val="198"/>
        </w:trPr>
        <w:tc>
          <w:tcPr>
            <w:tcW w:w="3011" w:type="dxa"/>
            <w:tcBorders>
              <w:top w:val="single" w:sz="4" w:space="0" w:color="auto"/>
              <w:bottom w:val="single" w:sz="4" w:space="0" w:color="auto"/>
            </w:tcBorders>
            <w:shd w:val="clear" w:color="auto" w:fill="auto"/>
            <w:vAlign w:val="center"/>
          </w:tcPr>
          <w:p w:rsidR="00EF1AFB" w:rsidRPr="003B68F7" w:rsidRDefault="00EF1AFB" w:rsidP="003B68F7">
            <w:pPr>
              <w:pStyle w:val="cuatexto"/>
            </w:pPr>
            <w:r w:rsidRPr="003B68F7">
              <w:t>Personal medio durante el año</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rsidRPr="003B68F7">
              <w:t>65,13</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rsidRPr="003B68F7">
              <w:t>68,21</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rsidRPr="003B68F7">
              <w:t>79,62</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rsidRPr="003B68F7">
              <w:t>102,64</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rsidRPr="003B68F7">
              <w:t>108,26</w:t>
            </w:r>
          </w:p>
        </w:tc>
        <w:tc>
          <w:tcPr>
            <w:tcW w:w="1055"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rsidRPr="003B68F7">
              <w:t>66</w:t>
            </w:r>
          </w:p>
        </w:tc>
        <w:tc>
          <w:tcPr>
            <w:tcW w:w="1055"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rsidRPr="003B68F7">
              <w:t>5</w:t>
            </w:r>
          </w:p>
        </w:tc>
      </w:tr>
    </w:tbl>
    <w:p w:rsidR="00EF1AFB" w:rsidRDefault="00EF1AFB" w:rsidP="00EF1AFB">
      <w:pPr>
        <w:pStyle w:val="texto"/>
        <w:spacing w:before="240" w:after="240"/>
      </w:pPr>
      <w:r>
        <w:t>En 2020 trabajaron 108 personas en la Fundación lo que supone un incr</w:t>
      </w:r>
      <w:r>
        <w:t>e</w:t>
      </w:r>
      <w:r>
        <w:t>mento del 66 y del cinco por ciento respecto a 2016 y 2019 respectivamente.</w:t>
      </w:r>
    </w:p>
    <w:p w:rsidR="00CC22B9" w:rsidRDefault="00CC22B9">
      <w:pPr>
        <w:spacing w:after="0"/>
        <w:ind w:firstLine="0"/>
        <w:jc w:val="left"/>
        <w:rPr>
          <w:rFonts w:ascii="Arial" w:hAnsi="Arial"/>
          <w:i/>
          <w:iCs/>
          <w:color w:val="000000"/>
          <w:spacing w:val="10"/>
          <w:kern w:val="28"/>
          <w:sz w:val="25"/>
          <w:szCs w:val="26"/>
        </w:rPr>
      </w:pPr>
      <w:r>
        <w:br w:type="page"/>
      </w:r>
    </w:p>
    <w:p w:rsidR="00EF1AFB" w:rsidRPr="00261BB6" w:rsidRDefault="00EF1AFB" w:rsidP="00102466">
      <w:pPr>
        <w:pStyle w:val="atitulo3"/>
        <w:spacing w:before="240"/>
      </w:pPr>
      <w:r w:rsidRPr="00261BB6">
        <w:lastRenderedPageBreak/>
        <w:t>Financiación de la Fundación</w:t>
      </w:r>
    </w:p>
    <w:p w:rsidR="00EF1AFB" w:rsidRDefault="00EF1AFB" w:rsidP="00EF1AFB">
      <w:pPr>
        <w:pStyle w:val="texto"/>
        <w:spacing w:after="240"/>
      </w:pPr>
      <w:r>
        <w:t xml:space="preserve">La evolución de la financiación obtenida por la Fundación en el periodo </w:t>
      </w:r>
      <w:r w:rsidR="004F5D8F">
        <w:t xml:space="preserve">  </w:t>
      </w:r>
      <w:r>
        <w:t>2016-2020, según los datos aportados por esta organización, es la siguiente:</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1703"/>
        <w:gridCol w:w="1046"/>
        <w:gridCol w:w="1045"/>
        <w:gridCol w:w="1045"/>
        <w:gridCol w:w="1045"/>
        <w:gridCol w:w="1045"/>
        <w:gridCol w:w="951"/>
        <w:gridCol w:w="909"/>
      </w:tblGrid>
      <w:tr w:rsidR="00EF1AFB" w:rsidRPr="00AE7E16" w:rsidTr="005339C4">
        <w:trPr>
          <w:trHeight w:val="255"/>
        </w:trPr>
        <w:tc>
          <w:tcPr>
            <w:tcW w:w="1732" w:type="dxa"/>
            <w:shd w:val="clear" w:color="auto" w:fill="8DB3E2" w:themeFill="text2" w:themeFillTint="66"/>
          </w:tcPr>
          <w:p w:rsidR="00EF1AFB" w:rsidRPr="00AE7E16" w:rsidRDefault="00EF1AFB" w:rsidP="00102466">
            <w:pPr>
              <w:pStyle w:val="cuadroCabe"/>
              <w:ind w:left="-107"/>
              <w:jc w:val="left"/>
            </w:pPr>
          </w:p>
        </w:tc>
        <w:tc>
          <w:tcPr>
            <w:tcW w:w="1049" w:type="dxa"/>
            <w:shd w:val="clear" w:color="auto" w:fill="8DB3E2" w:themeFill="text2" w:themeFillTint="66"/>
            <w:vAlign w:val="center"/>
          </w:tcPr>
          <w:p w:rsidR="00EF1AFB" w:rsidRPr="00AE7E16" w:rsidRDefault="00EF1AFB" w:rsidP="00E27567">
            <w:pPr>
              <w:pStyle w:val="cuadroCabe"/>
              <w:jc w:val="right"/>
            </w:pPr>
            <w:r w:rsidRPr="00AE7E16">
              <w:t>2016</w:t>
            </w:r>
          </w:p>
        </w:tc>
        <w:tc>
          <w:tcPr>
            <w:tcW w:w="1049" w:type="dxa"/>
            <w:shd w:val="clear" w:color="auto" w:fill="8DB3E2" w:themeFill="text2" w:themeFillTint="66"/>
            <w:vAlign w:val="center"/>
          </w:tcPr>
          <w:p w:rsidR="00EF1AFB" w:rsidRPr="00AE7E16" w:rsidRDefault="00EF1AFB" w:rsidP="00E27567">
            <w:pPr>
              <w:pStyle w:val="cuadroCabe"/>
              <w:jc w:val="right"/>
            </w:pPr>
            <w:r w:rsidRPr="00AE7E16">
              <w:t>2017</w:t>
            </w:r>
          </w:p>
        </w:tc>
        <w:tc>
          <w:tcPr>
            <w:tcW w:w="1049" w:type="dxa"/>
            <w:shd w:val="clear" w:color="auto" w:fill="8DB3E2" w:themeFill="text2" w:themeFillTint="66"/>
            <w:vAlign w:val="center"/>
          </w:tcPr>
          <w:p w:rsidR="00EF1AFB" w:rsidRPr="00AE7E16" w:rsidRDefault="00EF1AFB" w:rsidP="00E27567">
            <w:pPr>
              <w:pStyle w:val="cuadroCabe"/>
              <w:jc w:val="right"/>
            </w:pPr>
            <w:r w:rsidRPr="00AE7E16">
              <w:t>2018</w:t>
            </w:r>
          </w:p>
        </w:tc>
        <w:tc>
          <w:tcPr>
            <w:tcW w:w="1049" w:type="dxa"/>
            <w:shd w:val="clear" w:color="auto" w:fill="8DB3E2" w:themeFill="text2" w:themeFillTint="66"/>
            <w:vAlign w:val="center"/>
          </w:tcPr>
          <w:p w:rsidR="00EF1AFB" w:rsidRPr="00AE7E16" w:rsidRDefault="00EF1AFB" w:rsidP="00E27567">
            <w:pPr>
              <w:pStyle w:val="cuadroCabe"/>
              <w:jc w:val="right"/>
            </w:pPr>
            <w:r w:rsidRPr="00AE7E16">
              <w:t>2019</w:t>
            </w:r>
          </w:p>
        </w:tc>
        <w:tc>
          <w:tcPr>
            <w:tcW w:w="1049" w:type="dxa"/>
            <w:shd w:val="clear" w:color="auto" w:fill="8DB3E2" w:themeFill="text2" w:themeFillTint="66"/>
            <w:vAlign w:val="center"/>
          </w:tcPr>
          <w:p w:rsidR="00EF1AFB" w:rsidRPr="00AE7E16" w:rsidRDefault="00EF1AFB" w:rsidP="00E27567">
            <w:pPr>
              <w:pStyle w:val="cuadroCabe"/>
              <w:jc w:val="right"/>
            </w:pPr>
            <w:r w:rsidRPr="00AE7E16">
              <w:t>2020</w:t>
            </w:r>
          </w:p>
        </w:tc>
        <w:tc>
          <w:tcPr>
            <w:tcW w:w="953" w:type="dxa"/>
            <w:shd w:val="clear" w:color="auto" w:fill="8DB3E2" w:themeFill="text2" w:themeFillTint="66"/>
            <w:vAlign w:val="center"/>
          </w:tcPr>
          <w:p w:rsidR="00EF1AFB" w:rsidRPr="00AE7E16" w:rsidRDefault="005339C4" w:rsidP="00E27567">
            <w:pPr>
              <w:pStyle w:val="cuadroCabe"/>
              <w:jc w:val="right"/>
            </w:pPr>
            <w:r>
              <w:t>Var.% 2020/</w:t>
            </w:r>
            <w:r w:rsidR="00EF1AFB" w:rsidRPr="00AE7E16">
              <w:t>16</w:t>
            </w:r>
          </w:p>
        </w:tc>
        <w:tc>
          <w:tcPr>
            <w:tcW w:w="859" w:type="dxa"/>
            <w:shd w:val="clear" w:color="auto" w:fill="8DB3E2" w:themeFill="text2" w:themeFillTint="66"/>
            <w:vAlign w:val="center"/>
          </w:tcPr>
          <w:p w:rsidR="00EF1AFB" w:rsidRPr="00AE7E16" w:rsidRDefault="005339C4" w:rsidP="00E27567">
            <w:pPr>
              <w:pStyle w:val="cuadroCabe"/>
              <w:jc w:val="right"/>
            </w:pPr>
            <w:r>
              <w:t>Var.% 2020/</w:t>
            </w:r>
            <w:r w:rsidR="00EF1AFB" w:rsidRPr="00AE7E16">
              <w:t>19</w:t>
            </w:r>
          </w:p>
        </w:tc>
      </w:tr>
      <w:tr w:rsidR="00EF1AFB" w:rsidRPr="00102466" w:rsidTr="005339C4">
        <w:trPr>
          <w:trHeight w:val="198"/>
        </w:trPr>
        <w:tc>
          <w:tcPr>
            <w:tcW w:w="1732" w:type="dxa"/>
            <w:tcBorders>
              <w:bottom w:val="nil"/>
            </w:tcBorders>
          </w:tcPr>
          <w:p w:rsidR="00EF1AFB" w:rsidRPr="00102466" w:rsidRDefault="00EF1AFB" w:rsidP="00102466">
            <w:pPr>
              <w:pStyle w:val="cuatexto"/>
              <w:ind w:left="-107"/>
              <w:jc w:val="left"/>
              <w:rPr>
                <w:rFonts w:ascii="Arial" w:hAnsi="Arial" w:cs="Arial"/>
                <w:sz w:val="16"/>
                <w:szCs w:val="16"/>
              </w:rPr>
            </w:pPr>
            <w:r w:rsidRPr="00102466">
              <w:rPr>
                <w:rFonts w:ascii="Arial" w:hAnsi="Arial" w:cs="Arial"/>
                <w:sz w:val="16"/>
                <w:szCs w:val="16"/>
              </w:rPr>
              <w:t>Investigación:</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lang w:val="es-ES" w:eastAsia="es-ES"/>
              </w:rPr>
            </w:pPr>
            <w:r w:rsidRPr="00102466">
              <w:rPr>
                <w:rFonts w:ascii="Arial" w:hAnsi="Arial" w:cs="Arial"/>
                <w:color w:val="000000"/>
                <w:sz w:val="16"/>
                <w:szCs w:val="16"/>
                <w:lang w:val="es-ES" w:eastAsia="es-ES"/>
              </w:rPr>
              <w:t>2.297.412</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lang w:val="es-ES" w:eastAsia="es-ES"/>
              </w:rPr>
            </w:pPr>
            <w:r w:rsidRPr="00102466">
              <w:rPr>
                <w:rFonts w:ascii="Arial" w:hAnsi="Arial" w:cs="Arial"/>
                <w:color w:val="000000"/>
                <w:sz w:val="16"/>
                <w:szCs w:val="16"/>
                <w:lang w:val="es-ES" w:eastAsia="es-ES"/>
              </w:rPr>
              <w:t>3.795.165</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lang w:val="es-ES" w:eastAsia="es-ES"/>
              </w:rPr>
            </w:pPr>
            <w:r w:rsidRPr="00102466">
              <w:rPr>
                <w:rFonts w:ascii="Arial" w:hAnsi="Arial" w:cs="Arial"/>
                <w:color w:val="000000"/>
                <w:sz w:val="16"/>
                <w:szCs w:val="16"/>
                <w:lang w:val="es-ES" w:eastAsia="es-ES"/>
              </w:rPr>
              <w:t>3.881.438</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lang w:val="es-ES" w:eastAsia="es-ES"/>
              </w:rPr>
            </w:pPr>
            <w:r w:rsidRPr="00102466">
              <w:rPr>
                <w:rFonts w:ascii="Arial" w:hAnsi="Arial" w:cs="Arial"/>
                <w:color w:val="000000"/>
                <w:sz w:val="16"/>
                <w:szCs w:val="16"/>
                <w:lang w:val="es-ES" w:eastAsia="es-ES"/>
              </w:rPr>
              <w:t>5.351.656</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lang w:val="es-ES" w:eastAsia="es-ES"/>
              </w:rPr>
            </w:pPr>
            <w:r w:rsidRPr="00102466">
              <w:rPr>
                <w:rFonts w:ascii="Arial" w:hAnsi="Arial" w:cs="Arial"/>
                <w:color w:val="000000"/>
                <w:sz w:val="16"/>
                <w:szCs w:val="16"/>
                <w:lang w:val="es-ES" w:eastAsia="es-ES"/>
              </w:rPr>
              <w:t>5.136.317</w:t>
            </w:r>
          </w:p>
        </w:tc>
        <w:tc>
          <w:tcPr>
            <w:tcW w:w="953" w:type="dxa"/>
            <w:tcBorders>
              <w:bottom w:val="nil"/>
            </w:tcBorders>
          </w:tcPr>
          <w:p w:rsidR="00EF1AFB" w:rsidRPr="00102466" w:rsidRDefault="00EF1AFB" w:rsidP="00E27567">
            <w:pPr>
              <w:pStyle w:val="cuatexto"/>
              <w:jc w:val="right"/>
              <w:rPr>
                <w:rFonts w:ascii="Arial" w:hAnsi="Arial" w:cs="Arial"/>
                <w:color w:val="000000"/>
                <w:sz w:val="16"/>
                <w:szCs w:val="16"/>
                <w:lang w:val="es-ES" w:eastAsia="es-ES"/>
              </w:rPr>
            </w:pPr>
            <w:r w:rsidRPr="00102466">
              <w:rPr>
                <w:rFonts w:ascii="Arial" w:hAnsi="Arial" w:cs="Arial"/>
                <w:color w:val="000000"/>
                <w:sz w:val="16"/>
                <w:szCs w:val="16"/>
                <w:lang w:val="es-ES" w:eastAsia="es-ES"/>
              </w:rPr>
              <w:t>124</w:t>
            </w:r>
          </w:p>
        </w:tc>
        <w:tc>
          <w:tcPr>
            <w:tcW w:w="859" w:type="dxa"/>
            <w:tcBorders>
              <w:bottom w:val="nil"/>
            </w:tcBorders>
          </w:tcPr>
          <w:p w:rsidR="00EF1AFB" w:rsidRPr="00102466" w:rsidRDefault="00EF1AFB" w:rsidP="00E27567">
            <w:pPr>
              <w:pStyle w:val="cuatexto"/>
              <w:jc w:val="right"/>
              <w:rPr>
                <w:rFonts w:ascii="Arial" w:hAnsi="Arial" w:cs="Arial"/>
                <w:color w:val="000000"/>
                <w:sz w:val="16"/>
                <w:szCs w:val="16"/>
                <w:lang w:val="es-ES" w:eastAsia="es-ES"/>
              </w:rPr>
            </w:pPr>
            <w:r w:rsidRPr="00102466">
              <w:rPr>
                <w:rFonts w:ascii="Arial" w:hAnsi="Arial" w:cs="Arial"/>
                <w:color w:val="000000"/>
                <w:sz w:val="16"/>
                <w:szCs w:val="16"/>
                <w:lang w:val="es-ES" w:eastAsia="es-ES"/>
              </w:rPr>
              <w:t>-4</w:t>
            </w:r>
          </w:p>
        </w:tc>
      </w:tr>
      <w:tr w:rsidR="00EF1AFB" w:rsidRPr="00102466" w:rsidTr="005339C4">
        <w:trPr>
          <w:trHeight w:val="198"/>
        </w:trPr>
        <w:tc>
          <w:tcPr>
            <w:tcW w:w="1732" w:type="dxa"/>
            <w:tcBorders>
              <w:top w:val="nil"/>
              <w:bottom w:val="nil"/>
            </w:tcBorders>
          </w:tcPr>
          <w:p w:rsidR="00EF1AFB" w:rsidRPr="00102466" w:rsidRDefault="00EF1AFB" w:rsidP="00102466">
            <w:pPr>
              <w:pStyle w:val="cuatexto"/>
              <w:ind w:left="-107" w:firstLine="284"/>
              <w:jc w:val="left"/>
              <w:rPr>
                <w:sz w:val="16"/>
                <w:szCs w:val="16"/>
              </w:rPr>
            </w:pPr>
            <w:r w:rsidRPr="00102466">
              <w:rPr>
                <w:sz w:val="16"/>
                <w:szCs w:val="16"/>
              </w:rPr>
              <w:t>Autonómico</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1.426.477</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2.182.164</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2.008.541</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3.733.399</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3.042.406</w:t>
            </w:r>
          </w:p>
        </w:tc>
        <w:tc>
          <w:tcPr>
            <w:tcW w:w="953"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113</w:t>
            </w:r>
          </w:p>
        </w:tc>
        <w:tc>
          <w:tcPr>
            <w:tcW w:w="85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-19</w:t>
            </w:r>
          </w:p>
        </w:tc>
      </w:tr>
      <w:tr w:rsidR="00EF1AFB" w:rsidRPr="00102466" w:rsidTr="005339C4">
        <w:trPr>
          <w:trHeight w:val="198"/>
        </w:trPr>
        <w:tc>
          <w:tcPr>
            <w:tcW w:w="1732" w:type="dxa"/>
            <w:tcBorders>
              <w:top w:val="nil"/>
              <w:bottom w:val="nil"/>
            </w:tcBorders>
          </w:tcPr>
          <w:p w:rsidR="00EF1AFB" w:rsidRPr="00102466" w:rsidRDefault="00EF1AFB" w:rsidP="00102466">
            <w:pPr>
              <w:pStyle w:val="cuatexto"/>
              <w:ind w:left="-107" w:firstLine="284"/>
              <w:jc w:val="left"/>
              <w:rPr>
                <w:sz w:val="16"/>
                <w:szCs w:val="16"/>
              </w:rPr>
            </w:pPr>
            <w:r w:rsidRPr="00102466">
              <w:rPr>
                <w:sz w:val="16"/>
                <w:szCs w:val="16"/>
              </w:rPr>
              <w:t>Plan Nacional</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678.253</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638.532</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865.907</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742.570</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1.156.431</w:t>
            </w:r>
          </w:p>
        </w:tc>
        <w:tc>
          <w:tcPr>
            <w:tcW w:w="953"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71</w:t>
            </w:r>
          </w:p>
        </w:tc>
        <w:tc>
          <w:tcPr>
            <w:tcW w:w="85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56</w:t>
            </w:r>
          </w:p>
        </w:tc>
      </w:tr>
      <w:tr w:rsidR="00EF1AFB" w:rsidRPr="00102466" w:rsidTr="005339C4">
        <w:trPr>
          <w:trHeight w:val="198"/>
        </w:trPr>
        <w:tc>
          <w:tcPr>
            <w:tcW w:w="1732" w:type="dxa"/>
            <w:tcBorders>
              <w:top w:val="nil"/>
              <w:bottom w:val="nil"/>
            </w:tcBorders>
          </w:tcPr>
          <w:p w:rsidR="00EF1AFB" w:rsidRPr="00102466" w:rsidRDefault="00EF1AFB" w:rsidP="00102466">
            <w:pPr>
              <w:pStyle w:val="cuatexto"/>
              <w:ind w:left="-107" w:firstLine="284"/>
              <w:jc w:val="left"/>
              <w:rPr>
                <w:sz w:val="16"/>
                <w:szCs w:val="16"/>
              </w:rPr>
            </w:pPr>
            <w:r w:rsidRPr="00102466">
              <w:rPr>
                <w:sz w:val="16"/>
                <w:szCs w:val="16"/>
              </w:rPr>
              <w:t>Fondos Europeos</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148.682</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503.331</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558.953</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455.594</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560.698</w:t>
            </w:r>
          </w:p>
        </w:tc>
        <w:tc>
          <w:tcPr>
            <w:tcW w:w="953"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277</w:t>
            </w:r>
          </w:p>
        </w:tc>
        <w:tc>
          <w:tcPr>
            <w:tcW w:w="859" w:type="dxa"/>
            <w:tcBorders>
              <w:top w:val="nil"/>
              <w:bottom w:val="nil"/>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23</w:t>
            </w:r>
          </w:p>
        </w:tc>
      </w:tr>
      <w:tr w:rsidR="00EF1AFB" w:rsidRPr="00102466" w:rsidTr="005339C4">
        <w:trPr>
          <w:trHeight w:val="198"/>
        </w:trPr>
        <w:tc>
          <w:tcPr>
            <w:tcW w:w="1732" w:type="dxa"/>
            <w:tcBorders>
              <w:top w:val="nil"/>
              <w:bottom w:val="single" w:sz="2" w:space="0" w:color="auto"/>
            </w:tcBorders>
          </w:tcPr>
          <w:p w:rsidR="00EF1AFB" w:rsidRPr="00102466" w:rsidRDefault="00EF1AFB" w:rsidP="00102466">
            <w:pPr>
              <w:pStyle w:val="cuatexto"/>
              <w:ind w:left="-107" w:firstLine="284"/>
              <w:jc w:val="left"/>
              <w:rPr>
                <w:sz w:val="16"/>
                <w:szCs w:val="16"/>
              </w:rPr>
            </w:pPr>
            <w:r w:rsidRPr="00102466">
              <w:rPr>
                <w:sz w:val="16"/>
                <w:szCs w:val="16"/>
              </w:rPr>
              <w:t>Otros</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44.000</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471.138</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448.037</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420.093</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376.782</w:t>
            </w:r>
          </w:p>
        </w:tc>
        <w:tc>
          <w:tcPr>
            <w:tcW w:w="953"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756</w:t>
            </w:r>
          </w:p>
        </w:tc>
        <w:tc>
          <w:tcPr>
            <w:tcW w:w="85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lang w:val="es-ES" w:eastAsia="es-ES"/>
              </w:rPr>
            </w:pPr>
            <w:r w:rsidRPr="00102466">
              <w:rPr>
                <w:rFonts w:cs="Calibri"/>
                <w:color w:val="000000"/>
                <w:sz w:val="16"/>
                <w:szCs w:val="16"/>
                <w:lang w:val="es-ES" w:eastAsia="es-ES"/>
              </w:rPr>
              <w:t>-10</w:t>
            </w:r>
          </w:p>
        </w:tc>
      </w:tr>
      <w:tr w:rsidR="00EF1AFB" w:rsidRPr="00F85894" w:rsidTr="005339C4">
        <w:trPr>
          <w:trHeight w:val="198"/>
        </w:trPr>
        <w:tc>
          <w:tcPr>
            <w:tcW w:w="1732" w:type="dxa"/>
            <w:tcBorders>
              <w:top w:val="single" w:sz="2" w:space="0" w:color="auto"/>
              <w:bottom w:val="single" w:sz="4" w:space="0" w:color="auto"/>
            </w:tcBorders>
            <w:vAlign w:val="center"/>
          </w:tcPr>
          <w:p w:rsidR="00EF1AFB" w:rsidRPr="00F85894" w:rsidRDefault="00EF1AFB" w:rsidP="00102466">
            <w:pPr>
              <w:pStyle w:val="cuatexto"/>
              <w:ind w:left="-107"/>
              <w:jc w:val="left"/>
              <w:rPr>
                <w:rFonts w:ascii="Arial" w:hAnsi="Arial" w:cs="Arial"/>
                <w:sz w:val="16"/>
                <w:szCs w:val="16"/>
              </w:rPr>
            </w:pPr>
            <w:r w:rsidRPr="00F85894">
              <w:rPr>
                <w:rFonts w:ascii="Arial" w:hAnsi="Arial" w:cs="Arial"/>
                <w:sz w:val="16"/>
                <w:szCs w:val="16"/>
              </w:rPr>
              <w:t>Estructural (ACFN)</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lang w:val="es-ES" w:eastAsia="es-ES"/>
              </w:rPr>
            </w:pPr>
            <w:r w:rsidRPr="00F85894">
              <w:rPr>
                <w:rFonts w:ascii="Arial" w:hAnsi="Arial" w:cs="Arial"/>
                <w:color w:val="000000"/>
                <w:sz w:val="16"/>
                <w:szCs w:val="16"/>
                <w:lang w:val="es-ES" w:eastAsia="es-ES"/>
              </w:rPr>
              <w:t>1.350.000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lang w:val="es-ES" w:eastAsia="es-ES"/>
              </w:rPr>
            </w:pPr>
            <w:r w:rsidRPr="00F85894">
              <w:rPr>
                <w:rFonts w:ascii="Arial" w:hAnsi="Arial" w:cs="Arial"/>
                <w:color w:val="000000"/>
                <w:sz w:val="16"/>
                <w:szCs w:val="16"/>
                <w:lang w:val="es-ES" w:eastAsia="es-ES"/>
              </w:rPr>
              <w:t>2.700.000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lang w:val="es-ES" w:eastAsia="es-ES"/>
              </w:rPr>
            </w:pPr>
            <w:r w:rsidRPr="00F85894">
              <w:rPr>
                <w:rFonts w:ascii="Arial" w:hAnsi="Arial" w:cs="Arial"/>
                <w:color w:val="000000"/>
                <w:sz w:val="16"/>
                <w:szCs w:val="16"/>
                <w:lang w:val="es-ES" w:eastAsia="es-ES"/>
              </w:rPr>
              <w:t>3.225.000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lang w:val="es-ES" w:eastAsia="es-ES"/>
              </w:rPr>
            </w:pPr>
            <w:r w:rsidRPr="00F85894">
              <w:rPr>
                <w:rFonts w:ascii="Arial" w:hAnsi="Arial" w:cs="Arial"/>
                <w:color w:val="000000"/>
                <w:sz w:val="16"/>
                <w:szCs w:val="16"/>
                <w:lang w:val="es-ES" w:eastAsia="es-ES"/>
              </w:rPr>
              <w:t>3.370.000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lang w:val="es-ES" w:eastAsia="es-ES"/>
              </w:rPr>
            </w:pPr>
            <w:r w:rsidRPr="00F85894">
              <w:rPr>
                <w:rFonts w:ascii="Arial" w:hAnsi="Arial" w:cs="Arial"/>
                <w:color w:val="000000"/>
                <w:sz w:val="16"/>
                <w:szCs w:val="16"/>
                <w:lang w:val="es-ES" w:eastAsia="es-ES"/>
              </w:rPr>
              <w:t>3.500.000</w:t>
            </w:r>
          </w:p>
        </w:tc>
        <w:tc>
          <w:tcPr>
            <w:tcW w:w="953"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lang w:val="es-ES" w:eastAsia="es-ES"/>
              </w:rPr>
            </w:pPr>
            <w:r w:rsidRPr="00F85894">
              <w:rPr>
                <w:rFonts w:ascii="Arial" w:hAnsi="Arial" w:cs="Arial"/>
                <w:color w:val="000000"/>
                <w:sz w:val="16"/>
                <w:szCs w:val="16"/>
                <w:lang w:val="es-ES" w:eastAsia="es-ES"/>
              </w:rPr>
              <w:t>159</w:t>
            </w:r>
          </w:p>
        </w:tc>
        <w:tc>
          <w:tcPr>
            <w:tcW w:w="85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lang w:val="es-ES" w:eastAsia="es-ES"/>
              </w:rPr>
            </w:pPr>
            <w:r w:rsidRPr="00F85894">
              <w:rPr>
                <w:rFonts w:ascii="Arial" w:hAnsi="Arial" w:cs="Arial"/>
                <w:color w:val="000000"/>
                <w:sz w:val="16"/>
                <w:szCs w:val="16"/>
                <w:lang w:val="es-ES" w:eastAsia="es-ES"/>
              </w:rPr>
              <w:t>4</w:t>
            </w:r>
          </w:p>
        </w:tc>
      </w:tr>
      <w:tr w:rsidR="00EF1AFB" w:rsidRPr="00AE7E16" w:rsidTr="005339C4">
        <w:trPr>
          <w:trHeight w:val="255"/>
        </w:trPr>
        <w:tc>
          <w:tcPr>
            <w:tcW w:w="1732" w:type="dxa"/>
            <w:tcBorders>
              <w:top w:val="single" w:sz="4" w:space="0" w:color="auto"/>
            </w:tcBorders>
            <w:shd w:val="clear" w:color="auto" w:fill="8DB3E2" w:themeFill="text2" w:themeFillTint="66"/>
            <w:vAlign w:val="center"/>
          </w:tcPr>
          <w:p w:rsidR="00EF1AFB" w:rsidRPr="005F4907" w:rsidRDefault="00EF1AFB" w:rsidP="00102466">
            <w:pPr>
              <w:pStyle w:val="cuadroCabe"/>
              <w:ind w:left="-107"/>
              <w:jc w:val="left"/>
            </w:pPr>
            <w:r w:rsidRPr="005F4907">
              <w:t>Total financiación</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lang w:val="es-ES" w:eastAsia="es-ES"/>
              </w:rPr>
            </w:pPr>
            <w:r w:rsidRPr="005F4907">
              <w:rPr>
                <w:rFonts w:ascii="Arial Narrow" w:hAnsi="Arial Narrow" w:cs="Calibri"/>
                <w:color w:val="000000"/>
                <w:sz w:val="19"/>
                <w:szCs w:val="19"/>
                <w:lang w:val="es-ES" w:eastAsia="es-ES"/>
              </w:rPr>
              <w:t>3.647.412</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lang w:val="es-ES" w:eastAsia="es-ES"/>
              </w:rPr>
            </w:pPr>
            <w:r w:rsidRPr="005F4907">
              <w:rPr>
                <w:rFonts w:ascii="Arial Narrow" w:hAnsi="Arial Narrow" w:cs="Calibri"/>
                <w:color w:val="000000"/>
                <w:sz w:val="19"/>
                <w:szCs w:val="19"/>
                <w:lang w:val="es-ES" w:eastAsia="es-ES"/>
              </w:rPr>
              <w:t>6.495.165</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lang w:val="es-ES" w:eastAsia="es-ES"/>
              </w:rPr>
            </w:pPr>
            <w:r w:rsidRPr="005F4907">
              <w:rPr>
                <w:rFonts w:ascii="Arial Narrow" w:hAnsi="Arial Narrow" w:cs="Calibri"/>
                <w:color w:val="000000"/>
                <w:sz w:val="19"/>
                <w:szCs w:val="19"/>
                <w:lang w:val="es-ES" w:eastAsia="es-ES"/>
              </w:rPr>
              <w:t>7.106.438</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lang w:val="es-ES" w:eastAsia="es-ES"/>
              </w:rPr>
            </w:pPr>
            <w:r w:rsidRPr="005F4907">
              <w:rPr>
                <w:rFonts w:ascii="Arial Narrow" w:hAnsi="Arial Narrow" w:cs="Calibri"/>
                <w:color w:val="000000"/>
                <w:sz w:val="19"/>
                <w:szCs w:val="19"/>
                <w:lang w:val="es-ES" w:eastAsia="es-ES"/>
              </w:rPr>
              <w:t>8.721.656</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lang w:val="es-ES" w:eastAsia="es-ES"/>
              </w:rPr>
            </w:pPr>
            <w:r w:rsidRPr="005F4907">
              <w:rPr>
                <w:rFonts w:ascii="Arial Narrow" w:hAnsi="Arial Narrow" w:cs="Calibri"/>
                <w:color w:val="000000"/>
                <w:sz w:val="19"/>
                <w:szCs w:val="19"/>
                <w:lang w:val="es-ES" w:eastAsia="es-ES"/>
              </w:rPr>
              <w:t>8.636.317</w:t>
            </w:r>
          </w:p>
        </w:tc>
        <w:tc>
          <w:tcPr>
            <w:tcW w:w="953"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lang w:val="es-ES" w:eastAsia="es-ES"/>
              </w:rPr>
            </w:pPr>
            <w:r>
              <w:rPr>
                <w:rFonts w:ascii="Arial Narrow" w:hAnsi="Arial Narrow" w:cs="Calibri"/>
                <w:color w:val="000000"/>
                <w:sz w:val="19"/>
                <w:szCs w:val="19"/>
                <w:lang w:val="es-ES" w:eastAsia="es-ES"/>
              </w:rPr>
              <w:t>137</w:t>
            </w:r>
          </w:p>
        </w:tc>
        <w:tc>
          <w:tcPr>
            <w:tcW w:w="85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lang w:val="es-ES" w:eastAsia="es-ES"/>
              </w:rPr>
            </w:pPr>
            <w:r>
              <w:rPr>
                <w:rFonts w:ascii="Arial Narrow" w:hAnsi="Arial Narrow" w:cs="Calibri"/>
                <w:color w:val="000000"/>
                <w:sz w:val="19"/>
                <w:szCs w:val="19"/>
                <w:lang w:val="es-ES" w:eastAsia="es-ES"/>
              </w:rPr>
              <w:t>-1</w:t>
            </w:r>
          </w:p>
        </w:tc>
      </w:tr>
    </w:tbl>
    <w:p w:rsidR="00EF1AFB" w:rsidRDefault="00EF1AFB" w:rsidP="00EF1AFB">
      <w:pPr>
        <w:pStyle w:val="texto"/>
        <w:spacing w:before="240"/>
        <w:rPr>
          <w:szCs w:val="26"/>
        </w:rPr>
      </w:pPr>
      <w:r>
        <w:rPr>
          <w:szCs w:val="26"/>
        </w:rPr>
        <w:t>En 2020 la Fundación obtuvo un total de 8,64 millones de financiación, i</w:t>
      </w:r>
      <w:r>
        <w:rPr>
          <w:szCs w:val="26"/>
        </w:rPr>
        <w:t>m</w:t>
      </w:r>
      <w:r>
        <w:rPr>
          <w:szCs w:val="26"/>
        </w:rPr>
        <w:t>porte que supone un 137 por ciento más que en 2016 pero un uno por ciento menos que en 2019.</w:t>
      </w:r>
    </w:p>
    <w:p w:rsidR="00EF1AFB" w:rsidRDefault="00EF1AFB" w:rsidP="00EF1AFB">
      <w:pPr>
        <w:pStyle w:val="texto"/>
        <w:spacing w:after="360"/>
        <w:rPr>
          <w:szCs w:val="26"/>
        </w:rPr>
      </w:pPr>
      <w:r>
        <w:rPr>
          <w:szCs w:val="26"/>
        </w:rPr>
        <w:t>En el periodo analizado, la financiación concedida directamente para la i</w:t>
      </w:r>
      <w:r>
        <w:rPr>
          <w:szCs w:val="26"/>
        </w:rPr>
        <w:t>n</w:t>
      </w:r>
      <w:r>
        <w:rPr>
          <w:szCs w:val="26"/>
        </w:rPr>
        <w:t>vestigación supone el 59 por ciento del total y la estructural, que se correspo</w:t>
      </w:r>
      <w:r>
        <w:rPr>
          <w:szCs w:val="26"/>
        </w:rPr>
        <w:t>n</w:t>
      </w:r>
      <w:r>
        <w:rPr>
          <w:szCs w:val="26"/>
        </w:rPr>
        <w:t>de con los ingresos recibidos de la ACFN, el 41 por ciento restante. El siguie</w:t>
      </w:r>
      <w:r>
        <w:rPr>
          <w:szCs w:val="26"/>
        </w:rPr>
        <w:t>n</w:t>
      </w:r>
      <w:r>
        <w:rPr>
          <w:szCs w:val="26"/>
        </w:rPr>
        <w:t>te gráfico muestra la evolución de cada componente de la financiación:</w:t>
      </w:r>
    </w:p>
    <w:p w:rsidR="00EF1AFB" w:rsidRDefault="00EF1AFB" w:rsidP="00EF1AFB">
      <w:pPr>
        <w:pStyle w:val="texto"/>
        <w:rPr>
          <w:szCs w:val="26"/>
        </w:rPr>
      </w:pPr>
      <w:r w:rsidRPr="005F4907">
        <w:rPr>
          <w:noProof/>
          <w:szCs w:val="26"/>
          <w:lang w:val="es-ES" w:eastAsia="es-ES"/>
        </w:rPr>
        <w:drawing>
          <wp:inline distT="0" distB="0" distL="0" distR="0" wp14:anchorId="203FBDE4" wp14:editId="48649C22">
            <wp:extent cx="5000625" cy="3467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82" t="2086" r="3412" b="4202"/>
                    <a:stretch/>
                  </pic:blipFill>
                  <pic:spPr bwMode="auto">
                    <a:xfrm>
                      <a:off x="0" y="0"/>
                      <a:ext cx="5000625" cy="3467100"/>
                    </a:xfrm>
                    <a:prstGeom prst="rect">
                      <a:avLst/>
                    </a:prstGeom>
                    <a:noFill/>
                    <a:ln>
                      <a:noFill/>
                    </a:ln>
                    <a:extLst>
                      <a:ext uri="{53640926-AAD7-44D8-BBD7-CCE9431645EC}">
                        <a14:shadowObscured xmlns:a14="http://schemas.microsoft.com/office/drawing/2010/main"/>
                      </a:ext>
                    </a:extLst>
                  </pic:spPr>
                </pic:pic>
              </a:graphicData>
            </a:graphic>
          </wp:inline>
        </w:drawing>
      </w:r>
      <w:r>
        <w:rPr>
          <w:szCs w:val="26"/>
        </w:rPr>
        <w:t xml:space="preserve"> </w:t>
      </w:r>
    </w:p>
    <w:p w:rsidR="00EF1AFB" w:rsidRPr="00261BB6" w:rsidRDefault="00EF1AFB" w:rsidP="004F5D8F">
      <w:pPr>
        <w:pStyle w:val="atitulo3"/>
        <w:spacing w:before="240"/>
      </w:pPr>
      <w:r w:rsidRPr="00261BB6">
        <w:lastRenderedPageBreak/>
        <w:t>Fondos propios y tesorería de la Fundación</w:t>
      </w:r>
    </w:p>
    <w:p w:rsidR="00EF1AFB" w:rsidRDefault="00EF1AFB" w:rsidP="00EF1AFB">
      <w:pPr>
        <w:pStyle w:val="texto"/>
        <w:spacing w:before="120" w:after="240"/>
        <w:rPr>
          <w:szCs w:val="26"/>
        </w:rPr>
      </w:pPr>
      <w:r>
        <w:rPr>
          <w:szCs w:val="26"/>
        </w:rPr>
        <w:t xml:space="preserve">Los fondos propios y la tesorería de la Fundación presentaron los siguientes valores en el periodo analizado: </w:t>
      </w:r>
    </w:p>
    <w:tbl>
      <w:tblPr>
        <w:tblStyle w:val="Tablaconcuadrcula"/>
        <w:tblW w:w="8877" w:type="dxa"/>
        <w:tblBorders>
          <w:left w:val="none" w:sz="0" w:space="0" w:color="auto"/>
          <w:right w:val="none" w:sz="0" w:space="0" w:color="auto"/>
          <w:insideV w:val="none" w:sz="0" w:space="0" w:color="auto"/>
        </w:tblBorders>
        <w:tblLook w:val="04A0" w:firstRow="1" w:lastRow="0" w:firstColumn="1" w:lastColumn="0" w:noHBand="0" w:noVBand="1"/>
      </w:tblPr>
      <w:tblGrid>
        <w:gridCol w:w="1550"/>
        <w:gridCol w:w="1017"/>
        <w:gridCol w:w="1017"/>
        <w:gridCol w:w="1017"/>
        <w:gridCol w:w="1017"/>
        <w:gridCol w:w="1017"/>
        <w:gridCol w:w="1121"/>
        <w:gridCol w:w="1121"/>
      </w:tblGrid>
      <w:tr w:rsidR="00EF1AFB" w:rsidRPr="00F843E9" w:rsidTr="0071234A">
        <w:trPr>
          <w:trHeight w:val="255"/>
        </w:trPr>
        <w:tc>
          <w:tcPr>
            <w:tcW w:w="1550" w:type="dxa"/>
            <w:shd w:val="clear" w:color="auto" w:fill="8DB3E2" w:themeFill="text2" w:themeFillTint="66"/>
          </w:tcPr>
          <w:p w:rsidR="00EF1AFB" w:rsidRPr="00F843E9" w:rsidRDefault="00EF1AFB" w:rsidP="008E512D">
            <w:pPr>
              <w:pStyle w:val="cuadroCabe"/>
              <w:jc w:val="left"/>
            </w:pPr>
          </w:p>
        </w:tc>
        <w:tc>
          <w:tcPr>
            <w:tcW w:w="1017" w:type="dxa"/>
            <w:shd w:val="clear" w:color="auto" w:fill="8DB3E2" w:themeFill="text2" w:themeFillTint="66"/>
            <w:vAlign w:val="center"/>
          </w:tcPr>
          <w:p w:rsidR="00EF1AFB" w:rsidRPr="00F843E9" w:rsidRDefault="00EF1AFB" w:rsidP="008E512D">
            <w:pPr>
              <w:pStyle w:val="cuadroCabe"/>
              <w:jc w:val="right"/>
            </w:pPr>
            <w:r w:rsidRPr="00F843E9">
              <w:t>2016</w:t>
            </w:r>
          </w:p>
        </w:tc>
        <w:tc>
          <w:tcPr>
            <w:tcW w:w="1017" w:type="dxa"/>
            <w:shd w:val="clear" w:color="auto" w:fill="8DB3E2" w:themeFill="text2" w:themeFillTint="66"/>
            <w:vAlign w:val="center"/>
          </w:tcPr>
          <w:p w:rsidR="00EF1AFB" w:rsidRPr="00F843E9" w:rsidRDefault="00EF1AFB" w:rsidP="008E512D">
            <w:pPr>
              <w:pStyle w:val="cuadroCabe"/>
              <w:jc w:val="right"/>
            </w:pPr>
            <w:r w:rsidRPr="00F843E9">
              <w:t>2017</w:t>
            </w:r>
          </w:p>
        </w:tc>
        <w:tc>
          <w:tcPr>
            <w:tcW w:w="1017" w:type="dxa"/>
            <w:shd w:val="clear" w:color="auto" w:fill="8DB3E2" w:themeFill="text2" w:themeFillTint="66"/>
            <w:vAlign w:val="center"/>
          </w:tcPr>
          <w:p w:rsidR="00EF1AFB" w:rsidRPr="00F843E9" w:rsidRDefault="00EF1AFB" w:rsidP="008E512D">
            <w:pPr>
              <w:pStyle w:val="cuadroCabe"/>
              <w:jc w:val="right"/>
            </w:pPr>
            <w:r w:rsidRPr="00F843E9">
              <w:t>2018</w:t>
            </w:r>
          </w:p>
        </w:tc>
        <w:tc>
          <w:tcPr>
            <w:tcW w:w="1017" w:type="dxa"/>
            <w:shd w:val="clear" w:color="auto" w:fill="8DB3E2" w:themeFill="text2" w:themeFillTint="66"/>
            <w:vAlign w:val="center"/>
          </w:tcPr>
          <w:p w:rsidR="00EF1AFB" w:rsidRPr="00F843E9" w:rsidRDefault="00EF1AFB" w:rsidP="008E512D">
            <w:pPr>
              <w:pStyle w:val="cuadroCabe"/>
              <w:jc w:val="right"/>
            </w:pPr>
            <w:r w:rsidRPr="00F843E9">
              <w:t>2019</w:t>
            </w:r>
          </w:p>
        </w:tc>
        <w:tc>
          <w:tcPr>
            <w:tcW w:w="1017" w:type="dxa"/>
            <w:shd w:val="clear" w:color="auto" w:fill="8DB3E2" w:themeFill="text2" w:themeFillTint="66"/>
            <w:vAlign w:val="center"/>
          </w:tcPr>
          <w:p w:rsidR="00EF1AFB" w:rsidRPr="00F843E9" w:rsidRDefault="00EF1AFB" w:rsidP="008E512D">
            <w:pPr>
              <w:pStyle w:val="cuadroCabe"/>
              <w:jc w:val="right"/>
            </w:pPr>
            <w:r w:rsidRPr="00F843E9">
              <w:t>2020</w:t>
            </w:r>
          </w:p>
        </w:tc>
        <w:tc>
          <w:tcPr>
            <w:tcW w:w="1121" w:type="dxa"/>
            <w:shd w:val="clear" w:color="auto" w:fill="8DB3E2" w:themeFill="text2" w:themeFillTint="66"/>
            <w:vAlign w:val="center"/>
          </w:tcPr>
          <w:p w:rsidR="00EF1AFB" w:rsidRPr="00F843E9" w:rsidRDefault="00EF1AFB" w:rsidP="008E512D">
            <w:pPr>
              <w:pStyle w:val="cuadroCabe"/>
              <w:jc w:val="right"/>
            </w:pPr>
            <w:r w:rsidRPr="00F843E9">
              <w:t>Var.% 2020/2016</w:t>
            </w:r>
          </w:p>
        </w:tc>
        <w:tc>
          <w:tcPr>
            <w:tcW w:w="1121" w:type="dxa"/>
            <w:shd w:val="clear" w:color="auto" w:fill="8DB3E2" w:themeFill="text2" w:themeFillTint="66"/>
            <w:vAlign w:val="center"/>
          </w:tcPr>
          <w:p w:rsidR="00EF1AFB" w:rsidRPr="00F843E9" w:rsidRDefault="00EF1AFB" w:rsidP="008E512D">
            <w:pPr>
              <w:pStyle w:val="cuadroCabe"/>
              <w:jc w:val="right"/>
            </w:pPr>
            <w:r w:rsidRPr="00F843E9">
              <w:t>Var.% 2020/2019</w:t>
            </w:r>
          </w:p>
        </w:tc>
      </w:tr>
      <w:tr w:rsidR="00EF1AFB" w:rsidRPr="00AE7E16" w:rsidTr="008165C4">
        <w:trPr>
          <w:trHeight w:val="198"/>
        </w:trPr>
        <w:tc>
          <w:tcPr>
            <w:tcW w:w="1550" w:type="dxa"/>
            <w:tcBorders>
              <w:bottom w:val="single" w:sz="2" w:space="0" w:color="auto"/>
            </w:tcBorders>
            <w:vAlign w:val="center"/>
          </w:tcPr>
          <w:p w:rsidR="00EF1AFB" w:rsidRPr="00AE7E16" w:rsidRDefault="00EF1AFB" w:rsidP="008E512D">
            <w:pPr>
              <w:pStyle w:val="cuatexto"/>
              <w:jc w:val="left"/>
            </w:pPr>
            <w:r>
              <w:t>Fondos propios</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342.922</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791.971</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1.083.844</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1.119.299</w:t>
            </w:r>
          </w:p>
        </w:tc>
        <w:tc>
          <w:tcPr>
            <w:tcW w:w="1017" w:type="dxa"/>
            <w:tcBorders>
              <w:bottom w:val="single" w:sz="2" w:space="0" w:color="auto"/>
            </w:tcBorders>
            <w:vAlign w:val="center"/>
          </w:tcPr>
          <w:p w:rsidR="00EF1AFB" w:rsidRPr="00882221" w:rsidRDefault="00EF1AFB" w:rsidP="008E512D">
            <w:pPr>
              <w:pStyle w:val="cuatexto"/>
              <w:jc w:val="right"/>
              <w:rPr>
                <w:rFonts w:cs="Calibri"/>
                <w:color w:val="000000"/>
                <w:lang w:val="es-ES" w:eastAsia="es-ES"/>
              </w:rPr>
            </w:pPr>
            <w:r>
              <w:rPr>
                <w:rFonts w:cs="Calibri"/>
                <w:color w:val="000000"/>
                <w:lang w:val="es-ES" w:eastAsia="es-ES"/>
              </w:rPr>
              <w:t>1.284.343</w:t>
            </w:r>
          </w:p>
        </w:tc>
        <w:tc>
          <w:tcPr>
            <w:tcW w:w="1121" w:type="dxa"/>
            <w:tcBorders>
              <w:bottom w:val="single" w:sz="2" w:space="0" w:color="auto"/>
            </w:tcBorders>
            <w:vAlign w:val="center"/>
          </w:tcPr>
          <w:p w:rsidR="00EF1AFB" w:rsidRPr="00882221" w:rsidRDefault="00EF1AFB" w:rsidP="008E512D">
            <w:pPr>
              <w:pStyle w:val="cuatexto"/>
              <w:jc w:val="right"/>
              <w:rPr>
                <w:rFonts w:cs="Calibri"/>
                <w:color w:val="000000"/>
                <w:lang w:val="es-ES" w:eastAsia="es-ES"/>
              </w:rPr>
            </w:pPr>
            <w:r>
              <w:rPr>
                <w:rFonts w:cs="Calibri"/>
                <w:color w:val="000000"/>
                <w:lang w:val="es-ES" w:eastAsia="es-ES"/>
              </w:rPr>
              <w:t>275</w:t>
            </w:r>
          </w:p>
        </w:tc>
        <w:tc>
          <w:tcPr>
            <w:tcW w:w="1121" w:type="dxa"/>
            <w:tcBorders>
              <w:bottom w:val="single" w:sz="2" w:space="0" w:color="auto"/>
            </w:tcBorders>
            <w:vAlign w:val="center"/>
          </w:tcPr>
          <w:p w:rsidR="00EF1AFB" w:rsidRPr="00882221" w:rsidRDefault="00EF1AFB" w:rsidP="008E512D">
            <w:pPr>
              <w:pStyle w:val="cuatexto"/>
              <w:jc w:val="right"/>
              <w:rPr>
                <w:rFonts w:cs="Calibri"/>
                <w:color w:val="000000"/>
                <w:lang w:val="es-ES" w:eastAsia="es-ES"/>
              </w:rPr>
            </w:pPr>
            <w:r>
              <w:rPr>
                <w:rFonts w:cs="Calibri"/>
                <w:color w:val="000000"/>
                <w:lang w:val="es-ES" w:eastAsia="es-ES"/>
              </w:rPr>
              <w:t>15</w:t>
            </w:r>
          </w:p>
        </w:tc>
      </w:tr>
      <w:tr w:rsidR="00EF1AFB" w:rsidRPr="00AE7E16" w:rsidTr="004F5D8F">
        <w:trPr>
          <w:trHeight w:val="198"/>
        </w:trPr>
        <w:tc>
          <w:tcPr>
            <w:tcW w:w="1550" w:type="dxa"/>
            <w:tcBorders>
              <w:top w:val="single" w:sz="2" w:space="0" w:color="auto"/>
              <w:bottom w:val="single" w:sz="4" w:space="0" w:color="auto"/>
            </w:tcBorders>
            <w:vAlign w:val="center"/>
          </w:tcPr>
          <w:p w:rsidR="00EF1AFB" w:rsidRPr="00AE7E16" w:rsidRDefault="00EF1AFB" w:rsidP="008E512D">
            <w:pPr>
              <w:pStyle w:val="cuatexto"/>
              <w:jc w:val="left"/>
            </w:pPr>
            <w:r>
              <w:t>Tesorería</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2.077.806</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2.048.501</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4.844.704</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lang w:val="es-ES" w:eastAsia="es-ES"/>
              </w:rPr>
            </w:pPr>
            <w:r>
              <w:rPr>
                <w:rFonts w:cs="Calibri"/>
                <w:color w:val="000000"/>
                <w:lang w:val="es-ES" w:eastAsia="es-ES"/>
              </w:rPr>
              <w:t>5.275.111</w:t>
            </w:r>
          </w:p>
        </w:tc>
        <w:tc>
          <w:tcPr>
            <w:tcW w:w="1017" w:type="dxa"/>
            <w:tcBorders>
              <w:top w:val="single" w:sz="2" w:space="0" w:color="auto"/>
              <w:bottom w:val="single" w:sz="4" w:space="0" w:color="auto"/>
            </w:tcBorders>
            <w:vAlign w:val="center"/>
          </w:tcPr>
          <w:p w:rsidR="00EF1AFB" w:rsidRPr="00882221" w:rsidRDefault="00EF1AFB" w:rsidP="008E512D">
            <w:pPr>
              <w:pStyle w:val="cuatexto"/>
              <w:jc w:val="right"/>
              <w:rPr>
                <w:rFonts w:cs="Calibri"/>
                <w:color w:val="000000"/>
                <w:lang w:val="es-ES" w:eastAsia="es-ES"/>
              </w:rPr>
            </w:pPr>
            <w:r>
              <w:rPr>
                <w:rFonts w:cs="Calibri"/>
                <w:color w:val="000000"/>
                <w:lang w:val="es-ES" w:eastAsia="es-ES"/>
              </w:rPr>
              <w:t>7.694.038</w:t>
            </w:r>
          </w:p>
        </w:tc>
        <w:tc>
          <w:tcPr>
            <w:tcW w:w="1121" w:type="dxa"/>
            <w:tcBorders>
              <w:top w:val="single" w:sz="2" w:space="0" w:color="auto"/>
              <w:bottom w:val="single" w:sz="4" w:space="0" w:color="auto"/>
            </w:tcBorders>
            <w:vAlign w:val="center"/>
          </w:tcPr>
          <w:p w:rsidR="00EF1AFB" w:rsidRPr="00882221" w:rsidRDefault="00EF1AFB" w:rsidP="008E512D">
            <w:pPr>
              <w:pStyle w:val="cuatexto"/>
              <w:jc w:val="right"/>
              <w:rPr>
                <w:rFonts w:cs="Calibri"/>
                <w:color w:val="000000"/>
                <w:lang w:val="es-ES" w:eastAsia="es-ES"/>
              </w:rPr>
            </w:pPr>
            <w:r>
              <w:rPr>
                <w:rFonts w:cs="Calibri"/>
                <w:color w:val="000000"/>
                <w:lang w:val="es-ES" w:eastAsia="es-ES"/>
              </w:rPr>
              <w:t>270</w:t>
            </w:r>
          </w:p>
        </w:tc>
        <w:tc>
          <w:tcPr>
            <w:tcW w:w="1121" w:type="dxa"/>
            <w:tcBorders>
              <w:top w:val="single" w:sz="2" w:space="0" w:color="auto"/>
              <w:bottom w:val="single" w:sz="4" w:space="0" w:color="auto"/>
            </w:tcBorders>
            <w:vAlign w:val="center"/>
          </w:tcPr>
          <w:p w:rsidR="00EF1AFB" w:rsidRPr="00882221" w:rsidRDefault="00EF1AFB" w:rsidP="008E512D">
            <w:pPr>
              <w:pStyle w:val="cuatexto"/>
              <w:jc w:val="right"/>
              <w:rPr>
                <w:rFonts w:cs="Calibri"/>
                <w:color w:val="000000"/>
                <w:lang w:val="es-ES" w:eastAsia="es-ES"/>
              </w:rPr>
            </w:pPr>
            <w:r>
              <w:rPr>
                <w:rFonts w:cs="Calibri"/>
                <w:color w:val="000000"/>
                <w:lang w:val="es-ES" w:eastAsia="es-ES"/>
              </w:rPr>
              <w:t>46</w:t>
            </w:r>
          </w:p>
        </w:tc>
      </w:tr>
    </w:tbl>
    <w:p w:rsidR="00EF1AFB" w:rsidRDefault="00EF1AFB" w:rsidP="00015430">
      <w:pPr>
        <w:pStyle w:val="texto"/>
        <w:spacing w:before="240" w:after="120"/>
      </w:pPr>
      <w:r>
        <w:t>En 2020, los fondos propios de la Fundación alcanzaron los 1,28 millones tras experimentar un crecimiento muy significativo del 275 y del 15 por ciento respecto a 2016 y 2019</w:t>
      </w:r>
      <w:r w:rsidR="003322DB">
        <w:t>,</w:t>
      </w:r>
      <w:r>
        <w:t xml:space="preserve"> motivado </w:t>
      </w:r>
      <w:r w:rsidRPr="00261BB6">
        <w:t>principalmente</w:t>
      </w:r>
      <w:r>
        <w:t xml:space="preserve"> por la obte</w:t>
      </w:r>
      <w:r w:rsidR="000B5988">
        <w:t>nción de una m</w:t>
      </w:r>
      <w:r w:rsidR="000B5988">
        <w:t>a</w:t>
      </w:r>
      <w:r w:rsidR="000B5988">
        <w:t xml:space="preserve">yor financiación. </w:t>
      </w:r>
    </w:p>
    <w:p w:rsidR="00EF1AFB" w:rsidRDefault="00EF1AFB" w:rsidP="00EF1AFB">
      <w:pPr>
        <w:pStyle w:val="texto"/>
        <w:spacing w:before="120"/>
        <w:rPr>
          <w:szCs w:val="26"/>
        </w:rPr>
      </w:pPr>
      <w:r>
        <w:rPr>
          <w:szCs w:val="26"/>
        </w:rPr>
        <w:t>En cuanto a la tesorería, en 2020 alcanza los 7,69 millones cifra que también aumenta de forma muy relevante</w:t>
      </w:r>
      <w:r w:rsidR="003322DB">
        <w:rPr>
          <w:szCs w:val="26"/>
        </w:rPr>
        <w:t>,</w:t>
      </w:r>
      <w:r>
        <w:rPr>
          <w:szCs w:val="26"/>
        </w:rPr>
        <w:t xml:space="preserve"> un 270 y un 46 por ciento respecto a 2016 y 2019. Este incremento tan acusado se explica fundamentalmente por </w:t>
      </w:r>
      <w:r w:rsidR="000B5988">
        <w:rPr>
          <w:szCs w:val="26"/>
        </w:rPr>
        <w:t>los ingr</w:t>
      </w:r>
      <w:r w:rsidR="000B5988">
        <w:rPr>
          <w:szCs w:val="26"/>
        </w:rPr>
        <w:t>e</w:t>
      </w:r>
      <w:r w:rsidR="000B5988">
        <w:rPr>
          <w:szCs w:val="26"/>
        </w:rPr>
        <w:t>sos ligados a los</w:t>
      </w:r>
      <w:r>
        <w:rPr>
          <w:szCs w:val="26"/>
        </w:rPr>
        <w:t xml:space="preserve"> ensayos clínicos y por los cobros anticipados de algunas su</w:t>
      </w:r>
      <w:r>
        <w:rPr>
          <w:szCs w:val="26"/>
        </w:rPr>
        <w:t>b</w:t>
      </w:r>
      <w:r>
        <w:rPr>
          <w:szCs w:val="26"/>
        </w:rPr>
        <w:t>venciones plurianuales</w:t>
      </w:r>
      <w:r w:rsidR="00015430">
        <w:rPr>
          <w:szCs w:val="26"/>
        </w:rPr>
        <w:t>.</w:t>
      </w:r>
      <w:r>
        <w:rPr>
          <w:szCs w:val="26"/>
        </w:rPr>
        <w:t xml:space="preserve">  </w:t>
      </w:r>
    </w:p>
    <w:p w:rsidR="00EF1AFB" w:rsidRPr="00261BB6" w:rsidRDefault="00EF1AFB" w:rsidP="0001500B">
      <w:pPr>
        <w:pStyle w:val="atitulo3"/>
        <w:spacing w:before="240"/>
      </w:pPr>
      <w:r w:rsidRPr="00261BB6">
        <w:t>Actividad de la Fundación</w:t>
      </w:r>
    </w:p>
    <w:p w:rsidR="00EF1AFB" w:rsidRDefault="00EF1AFB" w:rsidP="0001500B">
      <w:pPr>
        <w:pStyle w:val="texto"/>
        <w:spacing w:before="240" w:after="240"/>
      </w:pPr>
      <w:r>
        <w:t xml:space="preserve">En el </w:t>
      </w:r>
      <w:r w:rsidRPr="00261BB6">
        <w:t>periodo</w:t>
      </w:r>
      <w:r>
        <w:t xml:space="preserve"> 2016-2020, la evolución de la actividad de la Fundación fue la siguiente: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298"/>
        <w:gridCol w:w="805"/>
        <w:gridCol w:w="805"/>
        <w:gridCol w:w="805"/>
        <w:gridCol w:w="805"/>
        <w:gridCol w:w="805"/>
        <w:gridCol w:w="1233"/>
        <w:gridCol w:w="1233"/>
      </w:tblGrid>
      <w:tr w:rsidR="00EF1AFB" w:rsidRPr="00665F41" w:rsidTr="008165C4">
        <w:trPr>
          <w:trHeight w:val="255"/>
        </w:trPr>
        <w:tc>
          <w:tcPr>
            <w:tcW w:w="2268" w:type="dxa"/>
            <w:tcBorders>
              <w:bottom w:val="single" w:sz="4" w:space="0" w:color="auto"/>
            </w:tcBorders>
            <w:shd w:val="clear" w:color="auto" w:fill="8DB3E2" w:themeFill="text2" w:themeFillTint="66"/>
            <w:noWrap/>
            <w:vAlign w:val="bottom"/>
            <w:hideMark/>
          </w:tcPr>
          <w:p w:rsidR="00EF1AFB" w:rsidRPr="00665F41" w:rsidRDefault="00EF1AFB" w:rsidP="0001500B">
            <w:pPr>
              <w:pStyle w:val="cuadroCabe"/>
              <w:jc w:val="left"/>
            </w:pP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rsidRPr="00665F41">
              <w:t>2016</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rsidRPr="00665F41">
              <w:t>2017</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rsidRPr="00665F41">
              <w:t>2018</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rsidRPr="00665F41">
              <w:t>2019</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rsidRPr="00665F41">
              <w:t>2020</w:t>
            </w:r>
          </w:p>
        </w:tc>
        <w:tc>
          <w:tcPr>
            <w:tcW w:w="1216"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rsidRPr="00665F41">
              <w:t>Var.% 2020/2016</w:t>
            </w:r>
          </w:p>
        </w:tc>
        <w:tc>
          <w:tcPr>
            <w:tcW w:w="1216"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rsidRPr="00665F41">
              <w:t>Var.% 2020/2019</w:t>
            </w:r>
          </w:p>
        </w:tc>
      </w:tr>
      <w:tr w:rsidR="00EF1AFB" w:rsidRPr="0001500B" w:rsidTr="008165C4">
        <w:trPr>
          <w:trHeight w:val="198"/>
        </w:trPr>
        <w:tc>
          <w:tcPr>
            <w:tcW w:w="2268" w:type="dxa"/>
            <w:tcBorders>
              <w:bottom w:val="nil"/>
            </w:tcBorders>
            <w:shd w:val="clear" w:color="auto" w:fill="auto"/>
            <w:noWrap/>
            <w:vAlign w:val="bottom"/>
            <w:hideMark/>
          </w:tcPr>
          <w:p w:rsidR="00EF1AFB" w:rsidRPr="0001500B" w:rsidRDefault="00EF1AFB" w:rsidP="0001500B">
            <w:pPr>
              <w:pStyle w:val="cuatexto"/>
              <w:jc w:val="left"/>
              <w:rPr>
                <w:rFonts w:ascii="Arial" w:hAnsi="Arial" w:cs="Arial"/>
                <w:sz w:val="18"/>
                <w:szCs w:val="18"/>
                <w:lang w:val="es-ES" w:eastAsia="es-ES"/>
              </w:rPr>
            </w:pPr>
            <w:r w:rsidRPr="0001500B">
              <w:rPr>
                <w:rFonts w:ascii="Arial" w:hAnsi="Arial" w:cs="Arial"/>
                <w:sz w:val="18"/>
                <w:szCs w:val="18"/>
                <w:lang w:val="es-ES" w:eastAsia="es-ES"/>
              </w:rPr>
              <w:t>Proyectos:</w:t>
            </w: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r>
      <w:tr w:rsidR="00EF1AFB" w:rsidRPr="00E4445C" w:rsidTr="008165C4">
        <w:trPr>
          <w:trHeight w:val="198"/>
        </w:trPr>
        <w:tc>
          <w:tcPr>
            <w:tcW w:w="2268" w:type="dxa"/>
            <w:tcBorders>
              <w:top w:val="nil"/>
              <w:bottom w:val="nil"/>
            </w:tcBorders>
            <w:shd w:val="clear" w:color="auto" w:fill="auto"/>
            <w:noWrap/>
            <w:vAlign w:val="bottom"/>
            <w:hideMark/>
          </w:tcPr>
          <w:p w:rsidR="00EF1AFB" w:rsidRPr="000B5988" w:rsidRDefault="00EF1AFB" w:rsidP="0001500B">
            <w:pPr>
              <w:pStyle w:val="cuatexto"/>
              <w:ind w:left="209"/>
              <w:jc w:val="left"/>
              <w:rPr>
                <w:sz w:val="18"/>
                <w:szCs w:val="18"/>
                <w:lang w:val="es-ES" w:eastAsia="es-ES"/>
              </w:rPr>
            </w:pPr>
            <w:r w:rsidRPr="000B5988">
              <w:rPr>
                <w:sz w:val="18"/>
                <w:szCs w:val="18"/>
                <w:lang w:val="es-ES" w:eastAsia="es-ES"/>
              </w:rPr>
              <w:t xml:space="preserve">Solicitados </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118</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124</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100</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120</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108</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-8</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-10</w:t>
            </w:r>
          </w:p>
        </w:tc>
      </w:tr>
      <w:tr w:rsidR="00EF1AFB" w:rsidRPr="00E4445C" w:rsidTr="008165C4">
        <w:trPr>
          <w:trHeight w:val="198"/>
        </w:trPr>
        <w:tc>
          <w:tcPr>
            <w:tcW w:w="2268" w:type="dxa"/>
            <w:tcBorders>
              <w:top w:val="nil"/>
              <w:bottom w:val="nil"/>
            </w:tcBorders>
            <w:shd w:val="clear" w:color="auto" w:fill="auto"/>
            <w:noWrap/>
            <w:vAlign w:val="bottom"/>
            <w:hideMark/>
          </w:tcPr>
          <w:p w:rsidR="00EF1AFB" w:rsidRPr="000B5988" w:rsidRDefault="00EF1AFB" w:rsidP="0001500B">
            <w:pPr>
              <w:pStyle w:val="cuatexto"/>
              <w:ind w:left="209"/>
              <w:jc w:val="left"/>
              <w:rPr>
                <w:sz w:val="18"/>
                <w:szCs w:val="18"/>
                <w:lang w:val="es-ES" w:eastAsia="es-ES"/>
              </w:rPr>
            </w:pPr>
            <w:r w:rsidRPr="000B5988">
              <w:rPr>
                <w:sz w:val="18"/>
                <w:szCs w:val="18"/>
                <w:lang w:val="es-ES" w:eastAsia="es-ES"/>
              </w:rPr>
              <w:t>Concedidos</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40</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39</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27</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39</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41</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2</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5</w:t>
            </w:r>
          </w:p>
        </w:tc>
      </w:tr>
      <w:tr w:rsidR="00EF1AFB" w:rsidRPr="00E4445C" w:rsidTr="008165C4">
        <w:trPr>
          <w:trHeight w:val="198"/>
        </w:trPr>
        <w:tc>
          <w:tcPr>
            <w:tcW w:w="2268" w:type="dxa"/>
            <w:tcBorders>
              <w:top w:val="nil"/>
              <w:bottom w:val="nil"/>
            </w:tcBorders>
            <w:shd w:val="clear" w:color="auto" w:fill="auto"/>
            <w:noWrap/>
            <w:vAlign w:val="center"/>
          </w:tcPr>
          <w:p w:rsidR="00EF1AFB" w:rsidRPr="000B5988" w:rsidRDefault="00EF1AFB" w:rsidP="0001500B">
            <w:pPr>
              <w:pStyle w:val="cuatexto"/>
              <w:ind w:left="209"/>
              <w:jc w:val="left"/>
              <w:rPr>
                <w:sz w:val="18"/>
                <w:szCs w:val="18"/>
                <w:lang w:val="es-ES" w:eastAsia="es-ES"/>
              </w:rPr>
            </w:pPr>
            <w:r w:rsidRPr="000B5988">
              <w:rPr>
                <w:sz w:val="18"/>
                <w:szCs w:val="18"/>
                <w:lang w:val="es-ES" w:eastAsia="es-ES"/>
              </w:rPr>
              <w:t>% concedidos s/solicitados</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34</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31</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27</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33</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38</w:t>
            </w:r>
          </w:p>
        </w:tc>
        <w:tc>
          <w:tcPr>
            <w:tcW w:w="1216"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12</w:t>
            </w:r>
          </w:p>
        </w:tc>
        <w:tc>
          <w:tcPr>
            <w:tcW w:w="1216"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17</w:t>
            </w:r>
          </w:p>
        </w:tc>
      </w:tr>
      <w:tr w:rsidR="00EF1AFB" w:rsidRPr="00E4445C" w:rsidTr="008165C4">
        <w:trPr>
          <w:trHeight w:val="198"/>
        </w:trPr>
        <w:tc>
          <w:tcPr>
            <w:tcW w:w="2268" w:type="dxa"/>
            <w:tcBorders>
              <w:top w:val="nil"/>
              <w:bottom w:val="single" w:sz="2" w:space="0" w:color="auto"/>
            </w:tcBorders>
            <w:shd w:val="clear" w:color="auto" w:fill="auto"/>
            <w:noWrap/>
            <w:vAlign w:val="bottom"/>
            <w:hideMark/>
          </w:tcPr>
          <w:p w:rsidR="00EF1AFB" w:rsidRPr="000B5988" w:rsidRDefault="00EF1AFB" w:rsidP="0001500B">
            <w:pPr>
              <w:pStyle w:val="cuatexto"/>
              <w:ind w:left="209"/>
              <w:jc w:val="left"/>
              <w:rPr>
                <w:sz w:val="18"/>
                <w:szCs w:val="18"/>
                <w:lang w:val="es-ES" w:eastAsia="es-ES"/>
              </w:rPr>
            </w:pPr>
            <w:r w:rsidRPr="000B5988">
              <w:rPr>
                <w:sz w:val="18"/>
                <w:szCs w:val="18"/>
                <w:lang w:val="es-ES" w:eastAsia="es-ES"/>
              </w:rPr>
              <w:t>Vigentes</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76</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115</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94</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115</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129</w:t>
            </w:r>
          </w:p>
        </w:tc>
        <w:tc>
          <w:tcPr>
            <w:tcW w:w="1216"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70</w:t>
            </w:r>
          </w:p>
        </w:tc>
        <w:tc>
          <w:tcPr>
            <w:tcW w:w="1216"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12</w:t>
            </w:r>
          </w:p>
        </w:tc>
      </w:tr>
      <w:tr w:rsidR="00EF1AFB" w:rsidRPr="0001500B" w:rsidTr="008165C4">
        <w:trPr>
          <w:trHeight w:val="198"/>
        </w:trPr>
        <w:tc>
          <w:tcPr>
            <w:tcW w:w="2268" w:type="dxa"/>
            <w:tcBorders>
              <w:top w:val="single" w:sz="2" w:space="0" w:color="auto"/>
              <w:bottom w:val="nil"/>
            </w:tcBorders>
            <w:shd w:val="clear" w:color="auto" w:fill="auto"/>
            <w:noWrap/>
            <w:vAlign w:val="bottom"/>
            <w:hideMark/>
          </w:tcPr>
          <w:p w:rsidR="00EF1AFB" w:rsidRPr="0001500B" w:rsidRDefault="00EF1AFB" w:rsidP="0001500B">
            <w:pPr>
              <w:pStyle w:val="cuatexto"/>
              <w:jc w:val="left"/>
              <w:rPr>
                <w:rFonts w:ascii="Arial" w:hAnsi="Arial" w:cs="Arial"/>
                <w:sz w:val="18"/>
                <w:szCs w:val="18"/>
                <w:lang w:val="es-ES" w:eastAsia="es-ES"/>
              </w:rPr>
            </w:pPr>
            <w:r w:rsidRPr="0001500B">
              <w:rPr>
                <w:rFonts w:ascii="Arial" w:hAnsi="Arial" w:cs="Arial"/>
                <w:sz w:val="18"/>
                <w:szCs w:val="18"/>
                <w:lang w:val="es-ES" w:eastAsia="es-ES"/>
              </w:rPr>
              <w:t>Ensayos clínicos:</w:t>
            </w: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r>
      <w:tr w:rsidR="00EF1AFB" w:rsidRPr="00E4445C" w:rsidTr="008165C4">
        <w:trPr>
          <w:trHeight w:val="198"/>
        </w:trPr>
        <w:tc>
          <w:tcPr>
            <w:tcW w:w="2268" w:type="dxa"/>
            <w:tcBorders>
              <w:top w:val="nil"/>
              <w:bottom w:val="nil"/>
            </w:tcBorders>
            <w:shd w:val="clear" w:color="auto" w:fill="auto"/>
            <w:noWrap/>
            <w:vAlign w:val="bottom"/>
            <w:hideMark/>
          </w:tcPr>
          <w:p w:rsidR="00EF1AFB" w:rsidRPr="000B5988" w:rsidRDefault="00EF1AFB" w:rsidP="0001500B">
            <w:pPr>
              <w:pStyle w:val="cuatexto"/>
              <w:ind w:left="209"/>
              <w:jc w:val="left"/>
              <w:rPr>
                <w:sz w:val="18"/>
                <w:szCs w:val="18"/>
                <w:lang w:val="es-ES" w:eastAsia="es-ES"/>
              </w:rPr>
            </w:pPr>
            <w:r w:rsidRPr="000B5988">
              <w:rPr>
                <w:sz w:val="18"/>
                <w:szCs w:val="18"/>
                <w:lang w:val="es-ES" w:eastAsia="es-ES"/>
              </w:rPr>
              <w:t>Iniciados</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95</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75</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81</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82</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80</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-16</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-2</w:t>
            </w:r>
          </w:p>
        </w:tc>
      </w:tr>
      <w:tr w:rsidR="00EF1AFB" w:rsidRPr="00E4445C" w:rsidTr="008165C4">
        <w:trPr>
          <w:trHeight w:val="198"/>
        </w:trPr>
        <w:tc>
          <w:tcPr>
            <w:tcW w:w="2268" w:type="dxa"/>
            <w:tcBorders>
              <w:top w:val="nil"/>
              <w:bottom w:val="single" w:sz="4" w:space="0" w:color="auto"/>
            </w:tcBorders>
            <w:shd w:val="clear" w:color="auto" w:fill="auto"/>
            <w:noWrap/>
            <w:vAlign w:val="bottom"/>
            <w:hideMark/>
          </w:tcPr>
          <w:p w:rsidR="00EF1AFB" w:rsidRPr="000B5988" w:rsidRDefault="00EF1AFB" w:rsidP="0001500B">
            <w:pPr>
              <w:pStyle w:val="cuatexto"/>
              <w:ind w:left="209"/>
              <w:jc w:val="left"/>
              <w:rPr>
                <w:sz w:val="18"/>
                <w:szCs w:val="18"/>
                <w:lang w:val="es-ES" w:eastAsia="es-ES"/>
              </w:rPr>
            </w:pPr>
            <w:r w:rsidRPr="000B5988">
              <w:rPr>
                <w:sz w:val="18"/>
                <w:szCs w:val="18"/>
                <w:lang w:val="es-ES" w:eastAsia="es-ES"/>
              </w:rPr>
              <w:t>Vigentes</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100</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139</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161</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202</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217</w:t>
            </w:r>
          </w:p>
        </w:tc>
        <w:tc>
          <w:tcPr>
            <w:tcW w:w="1216"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117</w:t>
            </w:r>
          </w:p>
        </w:tc>
        <w:tc>
          <w:tcPr>
            <w:tcW w:w="1216"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lang w:val="es-ES" w:eastAsia="es-ES"/>
              </w:rPr>
            </w:pPr>
            <w:r w:rsidRPr="000B5988">
              <w:rPr>
                <w:rFonts w:cs="Calibri"/>
                <w:sz w:val="18"/>
                <w:szCs w:val="18"/>
                <w:lang w:val="es-ES" w:eastAsia="es-ES"/>
              </w:rPr>
              <w:t>7</w:t>
            </w:r>
          </w:p>
        </w:tc>
      </w:tr>
    </w:tbl>
    <w:p w:rsidR="00EF1AFB" w:rsidRDefault="00EF1AFB" w:rsidP="00EF1AFB">
      <w:pPr>
        <w:pStyle w:val="texto"/>
        <w:spacing w:before="240"/>
        <w:rPr>
          <w:szCs w:val="26"/>
        </w:rPr>
      </w:pPr>
      <w:r>
        <w:rPr>
          <w:szCs w:val="26"/>
        </w:rPr>
        <w:t xml:space="preserve">En 2020, la Fundación obtuvo financiación para 41 proyectos cifra similar a la del resto de años del periodo analizado salvo en 2018 que alcanzó los 27 proyectos. </w:t>
      </w:r>
      <w:r w:rsidR="00836FF7">
        <w:rPr>
          <w:szCs w:val="26"/>
        </w:rPr>
        <w:t>El mayor porcentaje</w:t>
      </w:r>
      <w:r>
        <w:rPr>
          <w:szCs w:val="26"/>
        </w:rPr>
        <w:t xml:space="preserve"> de proyectos conseguidos</w:t>
      </w:r>
      <w:r w:rsidR="00836FF7">
        <w:rPr>
          <w:szCs w:val="26"/>
        </w:rPr>
        <w:t xml:space="preserve"> sobre solicitados</w:t>
      </w:r>
      <w:r>
        <w:rPr>
          <w:szCs w:val="26"/>
        </w:rPr>
        <w:t xml:space="preserve"> a</w:t>
      </w:r>
      <w:r>
        <w:rPr>
          <w:szCs w:val="26"/>
        </w:rPr>
        <w:t>l</w:t>
      </w:r>
      <w:r>
        <w:rPr>
          <w:szCs w:val="26"/>
        </w:rPr>
        <w:t>canza el valor máximo en el año 2020 con un 38 por ciento. También es 2020 el año en el que</w:t>
      </w:r>
      <w:r w:rsidR="003322DB">
        <w:rPr>
          <w:szCs w:val="26"/>
        </w:rPr>
        <w:t xml:space="preserve"> en</w:t>
      </w:r>
      <w:r>
        <w:rPr>
          <w:szCs w:val="26"/>
        </w:rPr>
        <w:t xml:space="preserve"> más proyectos se está trabajando con un total de 129, cifra s</w:t>
      </w:r>
      <w:r>
        <w:rPr>
          <w:szCs w:val="26"/>
        </w:rPr>
        <w:t>u</w:t>
      </w:r>
      <w:r>
        <w:rPr>
          <w:szCs w:val="26"/>
        </w:rPr>
        <w:t xml:space="preserve">perior a la de 2016 y 2019 en un 70 y en un 12 por ciento respectivamente. </w:t>
      </w:r>
    </w:p>
    <w:p w:rsidR="00EF1AFB" w:rsidRDefault="00EF1AFB" w:rsidP="00EF1AFB">
      <w:pPr>
        <w:pStyle w:val="texto"/>
        <w:spacing w:before="120"/>
        <w:rPr>
          <w:szCs w:val="26"/>
        </w:rPr>
      </w:pPr>
      <w:r>
        <w:rPr>
          <w:szCs w:val="26"/>
        </w:rPr>
        <w:t xml:space="preserve">Por otro lado, la Fundación también realiza ensayos clínicos. En 2020 inició 80 ensayos (cifra inferior en este caso a la de 2016 y 2019 en un 16 y en un dos por ciento) estando vigentes 217, importe que representa el valor más elevado del periodo analizado. </w:t>
      </w:r>
    </w:p>
    <w:p w:rsidR="00EF1AFB" w:rsidRPr="00413E50" w:rsidRDefault="00EF1AFB" w:rsidP="00A05D6E">
      <w:pPr>
        <w:pStyle w:val="atitulo3"/>
        <w:spacing w:before="240"/>
      </w:pPr>
      <w:r w:rsidRPr="00413E50">
        <w:lastRenderedPageBreak/>
        <w:t>Informes de auditoría y de procedimientos acordados de legalidad de la Fundación</w:t>
      </w:r>
    </w:p>
    <w:p w:rsidR="00EF1AFB" w:rsidRDefault="00EF1AFB" w:rsidP="00EF1AFB">
      <w:pPr>
        <w:pStyle w:val="texto"/>
        <w:rPr>
          <w:szCs w:val="26"/>
        </w:rPr>
      </w:pPr>
      <w:r>
        <w:rPr>
          <w:szCs w:val="26"/>
        </w:rPr>
        <w:t>En el periodo 2016-2020, la opinión de los informes sobre las cuentas fue en todos los años no modificada o favorable sin salvedades, salvo en 2017 en el que se indica una salvedad</w:t>
      </w:r>
      <w:r w:rsidR="0005554D">
        <w:rPr>
          <w:szCs w:val="26"/>
        </w:rPr>
        <w:t xml:space="preserve"> sobre la correcta</w:t>
      </w:r>
      <w:r>
        <w:rPr>
          <w:szCs w:val="26"/>
        </w:rPr>
        <w:t xml:space="preserve"> presentación y asignación de su</w:t>
      </w:r>
      <w:r>
        <w:rPr>
          <w:szCs w:val="26"/>
        </w:rPr>
        <w:t>b</w:t>
      </w:r>
      <w:r>
        <w:rPr>
          <w:szCs w:val="26"/>
        </w:rPr>
        <w:t>venciones</w:t>
      </w:r>
      <w:r w:rsidR="0005554D">
        <w:rPr>
          <w:szCs w:val="26"/>
        </w:rPr>
        <w:t xml:space="preserve"> a las partidas de balance</w:t>
      </w:r>
      <w:r>
        <w:rPr>
          <w:szCs w:val="26"/>
        </w:rPr>
        <w:t xml:space="preserve"> por un total de 0,17 millones. </w:t>
      </w:r>
    </w:p>
    <w:p w:rsidR="00EF1AFB" w:rsidRDefault="00EF1AFB" w:rsidP="00EF1AFB">
      <w:pPr>
        <w:pStyle w:val="texto"/>
        <w:rPr>
          <w:szCs w:val="26"/>
        </w:rPr>
      </w:pPr>
      <w:r>
        <w:rPr>
          <w:szCs w:val="26"/>
        </w:rPr>
        <w:t>Por otro lado, desde el año 2017 se realiza un informe sobre procedimientos acordados de revisión de legalidad por firmas privadas de auditoría bajo la s</w:t>
      </w:r>
      <w:r>
        <w:rPr>
          <w:szCs w:val="26"/>
        </w:rPr>
        <w:t>u</w:t>
      </w:r>
      <w:r>
        <w:rPr>
          <w:szCs w:val="26"/>
        </w:rPr>
        <w:t>pervisión del Servicio de Control Financiero Permanente y Auditoría del D</w:t>
      </w:r>
      <w:r>
        <w:rPr>
          <w:szCs w:val="26"/>
        </w:rPr>
        <w:t>e</w:t>
      </w:r>
      <w:r>
        <w:rPr>
          <w:szCs w:val="26"/>
        </w:rPr>
        <w:t xml:space="preserve">partamento de Economía y Hacienda. </w:t>
      </w:r>
    </w:p>
    <w:p w:rsidR="00EF1AFB" w:rsidRPr="004807F9" w:rsidRDefault="00EF1AFB" w:rsidP="00EF1AFB">
      <w:pPr>
        <w:pStyle w:val="texto"/>
        <w:rPr>
          <w:szCs w:val="26"/>
        </w:rPr>
      </w:pPr>
      <w:r>
        <w:rPr>
          <w:szCs w:val="26"/>
        </w:rPr>
        <w:t xml:space="preserve">En 2017 </w:t>
      </w:r>
      <w:r w:rsidR="0005556A">
        <w:rPr>
          <w:szCs w:val="26"/>
        </w:rPr>
        <w:t xml:space="preserve">y 2018 </w:t>
      </w:r>
      <w:r>
        <w:rPr>
          <w:szCs w:val="26"/>
        </w:rPr>
        <w:t>el resultado de esta revisión</w:t>
      </w:r>
      <w:r w:rsidR="0005556A">
        <w:rPr>
          <w:szCs w:val="26"/>
        </w:rPr>
        <w:t xml:space="preserve"> fue favorable, si bien se</w:t>
      </w:r>
      <w:r>
        <w:rPr>
          <w:szCs w:val="26"/>
        </w:rPr>
        <w:t xml:space="preserve"> incluyó una observación sobre la ausencia de aplicación de la normativa en la aplic</w:t>
      </w:r>
      <w:r>
        <w:rPr>
          <w:szCs w:val="26"/>
        </w:rPr>
        <w:t>a</w:t>
      </w:r>
      <w:r>
        <w:rPr>
          <w:szCs w:val="26"/>
        </w:rPr>
        <w:t>ción de la tasa de reposición de personal</w:t>
      </w:r>
      <w:r w:rsidR="0005556A">
        <w:rPr>
          <w:szCs w:val="26"/>
        </w:rPr>
        <w:t xml:space="preserve"> y de estabilización respectivamente; </w:t>
      </w:r>
      <w:r>
        <w:rPr>
          <w:szCs w:val="26"/>
        </w:rPr>
        <w:t>en 2019, la conclusión fue favorable. A la fecha de redacción de este informe, la revisión correspondiente a 2020 está pendiente de finalización.</w:t>
      </w:r>
    </w:p>
    <w:p w:rsidR="00EF1AFB" w:rsidRPr="00AD3E89" w:rsidRDefault="00226C80" w:rsidP="00AD3E89">
      <w:pPr>
        <w:pStyle w:val="atitulo2"/>
      </w:pPr>
      <w:bookmarkStart w:id="22" w:name="_Toc73013238"/>
      <w:bookmarkStart w:id="23" w:name="_Toc75427856"/>
      <w:r w:rsidRPr="00AD3E89">
        <w:t>IV</w:t>
      </w:r>
      <w:r w:rsidR="00EF1AFB" w:rsidRPr="00AD3E89">
        <w:t>.2</w:t>
      </w:r>
      <w:r w:rsidR="00AD3E89" w:rsidRPr="00AD3E89">
        <w:t>.</w:t>
      </w:r>
      <w:r w:rsidR="00EF1AFB" w:rsidRPr="00AD3E89">
        <w:t xml:space="preserve"> </w:t>
      </w:r>
      <w:bookmarkEnd w:id="21"/>
      <w:r w:rsidR="00EF1AFB" w:rsidRPr="00AD3E89">
        <w:t>Seguimiento de recomendaciones del informe de la Cámara de Comptos sobre la Fundación Miguel Servet (septiembre 2016)</w:t>
      </w:r>
      <w:bookmarkEnd w:id="22"/>
      <w:bookmarkEnd w:id="23"/>
      <w:r w:rsidR="00EF1AFB" w:rsidRPr="00AD3E89">
        <w:t xml:space="preserve"> </w:t>
      </w:r>
    </w:p>
    <w:p w:rsidR="00EF1AFB" w:rsidRDefault="00EF1AFB" w:rsidP="00EF1AFB">
      <w:pPr>
        <w:pStyle w:val="texto"/>
        <w:tabs>
          <w:tab w:val="clear" w:pos="2835"/>
          <w:tab w:val="clear" w:pos="3969"/>
          <w:tab w:val="clear" w:pos="5103"/>
          <w:tab w:val="clear" w:pos="6237"/>
          <w:tab w:val="clear" w:pos="7371"/>
          <w:tab w:val="left" w:pos="480"/>
          <w:tab w:val="num" w:pos="720"/>
          <w:tab w:val="num" w:pos="1080"/>
          <w:tab w:val="num" w:pos="2760"/>
        </w:tabs>
        <w:spacing w:after="120"/>
        <w:ind w:firstLine="289"/>
        <w:rPr>
          <w:szCs w:val="26"/>
        </w:rPr>
      </w:pPr>
      <w:r>
        <w:rPr>
          <w:szCs w:val="26"/>
        </w:rPr>
        <w:t>En septiembre de 2016, la Cámara de Comptos emitió un informe sobre la Fundación cuyas principales conclusiones se detallan en el anexo que acomp</w:t>
      </w:r>
      <w:r>
        <w:rPr>
          <w:szCs w:val="26"/>
        </w:rPr>
        <w:t>a</w:t>
      </w:r>
      <w:r>
        <w:rPr>
          <w:szCs w:val="26"/>
        </w:rPr>
        <w:t xml:space="preserve">ña a este informe. </w:t>
      </w:r>
    </w:p>
    <w:p w:rsidR="00EF1AFB" w:rsidRDefault="00EF1AFB" w:rsidP="00EF1AFB">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rPr>
      </w:pPr>
      <w:r>
        <w:rPr>
          <w:szCs w:val="26"/>
        </w:rPr>
        <w:t xml:space="preserve">El informe contenía doce recomendaciones; hemos calificado el grado de cumplimiento de cada recomendación según los siguientes criterios: </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1984"/>
        <w:gridCol w:w="6805"/>
      </w:tblGrid>
      <w:tr w:rsidR="00EF1AFB" w:rsidTr="00826DEE">
        <w:trPr>
          <w:trHeight w:val="255"/>
        </w:trPr>
        <w:tc>
          <w:tcPr>
            <w:tcW w:w="1984" w:type="dxa"/>
            <w:shd w:val="clear" w:color="auto" w:fill="8DB3E2" w:themeFill="text2" w:themeFillTint="66"/>
            <w:vAlign w:val="center"/>
          </w:tcPr>
          <w:p w:rsidR="00EF1AFB" w:rsidRPr="00D55FC9" w:rsidRDefault="00EF1AFB" w:rsidP="00A05D6E">
            <w:pPr>
              <w:pStyle w:val="cuadroCabe"/>
              <w:jc w:val="left"/>
              <w:rPr>
                <w:lang w:eastAsia="es-ES"/>
              </w:rPr>
            </w:pPr>
            <w:r w:rsidRPr="00D55FC9">
              <w:rPr>
                <w:lang w:eastAsia="es-ES"/>
              </w:rPr>
              <w:t>Categoría</w:t>
            </w:r>
          </w:p>
        </w:tc>
        <w:tc>
          <w:tcPr>
            <w:tcW w:w="6805" w:type="dxa"/>
            <w:shd w:val="clear" w:color="auto" w:fill="8DB3E2" w:themeFill="text2" w:themeFillTint="66"/>
            <w:vAlign w:val="center"/>
          </w:tcPr>
          <w:p w:rsidR="00EF1AFB" w:rsidRPr="00D55FC9" w:rsidRDefault="00EF1AFB" w:rsidP="002509BE">
            <w:pPr>
              <w:pStyle w:val="cuadroCabe"/>
              <w:rPr>
                <w:lang w:eastAsia="es-ES"/>
              </w:rPr>
            </w:pPr>
            <w:r w:rsidRPr="00D55FC9">
              <w:rPr>
                <w:lang w:eastAsia="es-ES"/>
              </w:rPr>
              <w:t xml:space="preserve"> Descripción</w:t>
            </w:r>
          </w:p>
        </w:tc>
      </w:tr>
      <w:tr w:rsidR="00EF1AFB" w:rsidRPr="00826DEE" w:rsidTr="00D647A2">
        <w:trPr>
          <w:trHeight w:val="198"/>
        </w:trPr>
        <w:tc>
          <w:tcPr>
            <w:tcW w:w="1984" w:type="dxa"/>
            <w:tcBorders>
              <w:bottom w:val="single" w:sz="2" w:space="0" w:color="auto"/>
            </w:tcBorders>
            <w:vAlign w:val="center"/>
          </w:tcPr>
          <w:p w:rsidR="00EF1AFB" w:rsidRPr="00826DEE" w:rsidRDefault="00EF1AFB" w:rsidP="00A05D6E">
            <w:pPr>
              <w:pStyle w:val="cuatexto"/>
              <w:jc w:val="left"/>
              <w:rPr>
                <w:szCs w:val="20"/>
                <w:lang w:eastAsia="es-ES"/>
              </w:rPr>
            </w:pPr>
            <w:r w:rsidRPr="00826DEE">
              <w:rPr>
                <w:szCs w:val="20"/>
                <w:lang w:eastAsia="es-ES"/>
              </w:rPr>
              <w:t>Total o sustancia</w:t>
            </w:r>
            <w:r w:rsidRPr="00826DEE">
              <w:rPr>
                <w:szCs w:val="20"/>
                <w:lang w:eastAsia="es-ES"/>
              </w:rPr>
              <w:t>l</w:t>
            </w:r>
            <w:r w:rsidRPr="00826DEE">
              <w:rPr>
                <w:szCs w:val="20"/>
                <w:lang w:eastAsia="es-ES"/>
              </w:rPr>
              <w:t>mente aplicada</w:t>
            </w:r>
          </w:p>
        </w:tc>
        <w:tc>
          <w:tcPr>
            <w:tcW w:w="6805" w:type="dxa"/>
            <w:tcBorders>
              <w:bottom w:val="single" w:sz="2" w:space="0" w:color="auto"/>
            </w:tcBorders>
            <w:vAlign w:val="center"/>
          </w:tcPr>
          <w:p w:rsidR="00EF1AFB" w:rsidRPr="00826DEE" w:rsidRDefault="00EF1AFB" w:rsidP="002509BE">
            <w:pPr>
              <w:pStyle w:val="cuatexto"/>
              <w:rPr>
                <w:szCs w:val="20"/>
                <w:lang w:eastAsia="es-ES"/>
              </w:rPr>
            </w:pPr>
            <w:r w:rsidRPr="00826DEE">
              <w:rPr>
                <w:szCs w:val="20"/>
              </w:rPr>
              <w:t>Si se han adoptado las medidas correctoras, razonables y proporcionadas, habie</w:t>
            </w:r>
            <w:r w:rsidRPr="00826DEE">
              <w:rPr>
                <w:szCs w:val="20"/>
              </w:rPr>
              <w:t>n</w:t>
            </w:r>
            <w:r w:rsidRPr="00826DEE">
              <w:rPr>
                <w:szCs w:val="20"/>
              </w:rPr>
              <w:t>do obtenido evidencia suficiente de ello, que permitan considerar que la recome</w:t>
            </w:r>
            <w:r w:rsidRPr="00826DEE">
              <w:rPr>
                <w:szCs w:val="20"/>
              </w:rPr>
              <w:t>n</w:t>
            </w:r>
            <w:r w:rsidRPr="00826DEE">
              <w:rPr>
                <w:szCs w:val="20"/>
              </w:rPr>
              <w:t>dación ha surtido sus efectos y no ha quedado pendiente de resolución ninguna cuestión de importancia significativa.</w:t>
            </w:r>
          </w:p>
        </w:tc>
      </w:tr>
      <w:tr w:rsidR="00EF1AFB" w:rsidRPr="00826DEE" w:rsidTr="00D647A2">
        <w:trPr>
          <w:trHeight w:val="198"/>
        </w:trPr>
        <w:tc>
          <w:tcPr>
            <w:tcW w:w="1984" w:type="dxa"/>
            <w:tcBorders>
              <w:top w:val="single" w:sz="2" w:space="0" w:color="auto"/>
              <w:bottom w:val="single" w:sz="2" w:space="0" w:color="auto"/>
            </w:tcBorders>
            <w:vAlign w:val="center"/>
          </w:tcPr>
          <w:p w:rsidR="00EF1AFB" w:rsidRPr="00826DEE" w:rsidRDefault="00EF1AFB" w:rsidP="00A05D6E">
            <w:pPr>
              <w:pStyle w:val="cuatexto"/>
              <w:jc w:val="left"/>
              <w:rPr>
                <w:szCs w:val="20"/>
                <w:lang w:eastAsia="es-ES"/>
              </w:rPr>
            </w:pPr>
            <w:r w:rsidRPr="00826DEE">
              <w:rPr>
                <w:szCs w:val="20"/>
                <w:lang w:eastAsia="es-ES"/>
              </w:rPr>
              <w:t xml:space="preserve">Aplicada </w:t>
            </w:r>
          </w:p>
          <w:p w:rsidR="00EF1AFB" w:rsidRPr="00826DEE" w:rsidRDefault="00EF1AFB" w:rsidP="00A05D6E">
            <w:pPr>
              <w:pStyle w:val="cuatexto"/>
              <w:jc w:val="left"/>
              <w:rPr>
                <w:szCs w:val="20"/>
                <w:lang w:eastAsia="es-ES"/>
              </w:rPr>
            </w:pPr>
            <w:r w:rsidRPr="00826DEE">
              <w:rPr>
                <w:szCs w:val="20"/>
                <w:lang w:eastAsia="es-ES"/>
              </w:rPr>
              <w:t>parcialmente</w:t>
            </w:r>
          </w:p>
        </w:tc>
        <w:tc>
          <w:tcPr>
            <w:tcW w:w="6805" w:type="dxa"/>
            <w:tcBorders>
              <w:top w:val="single" w:sz="2" w:space="0" w:color="auto"/>
              <w:bottom w:val="single" w:sz="2" w:space="0" w:color="auto"/>
            </w:tcBorders>
            <w:vAlign w:val="center"/>
          </w:tcPr>
          <w:p w:rsidR="00EF1AFB" w:rsidRPr="00826DEE" w:rsidRDefault="00EF1AFB" w:rsidP="002509BE">
            <w:pPr>
              <w:pStyle w:val="cuatexto"/>
              <w:rPr>
                <w:szCs w:val="20"/>
                <w:lang w:eastAsia="es-ES"/>
              </w:rPr>
            </w:pPr>
            <w:r w:rsidRPr="00826DEE">
              <w:rPr>
                <w:szCs w:val="20"/>
                <w:lang w:eastAsia="es-ES"/>
              </w:rPr>
              <w:t>Si se han tomado en consideración la recomendación se han realizado actuaciones encaminadas a corregir las deficiencias, debilidades o insuficiencias, pero sol</w:t>
            </w:r>
            <w:r w:rsidRPr="00826DEE">
              <w:rPr>
                <w:szCs w:val="20"/>
                <w:lang w:eastAsia="es-ES"/>
              </w:rPr>
              <w:t>a</w:t>
            </w:r>
            <w:r w:rsidRPr="00826DEE">
              <w:rPr>
                <w:szCs w:val="20"/>
                <w:lang w:eastAsia="es-ES"/>
              </w:rPr>
              <w:t>mente en un estado incipiente, en una parte de ellas o en algún aspecto, lo que no permite considerar que la recomendación se haya cumplido razonablemente.</w:t>
            </w:r>
          </w:p>
        </w:tc>
      </w:tr>
      <w:tr w:rsidR="00EF1AFB" w:rsidRPr="00826DEE" w:rsidTr="00D647A2">
        <w:trPr>
          <w:trHeight w:val="198"/>
        </w:trPr>
        <w:tc>
          <w:tcPr>
            <w:tcW w:w="1984" w:type="dxa"/>
            <w:tcBorders>
              <w:top w:val="single" w:sz="2" w:space="0" w:color="auto"/>
              <w:bottom w:val="single" w:sz="2" w:space="0" w:color="auto"/>
            </w:tcBorders>
            <w:vAlign w:val="center"/>
          </w:tcPr>
          <w:p w:rsidR="00EF1AFB" w:rsidRPr="00826DEE" w:rsidRDefault="00EF1AFB" w:rsidP="00A05D6E">
            <w:pPr>
              <w:pStyle w:val="cuatexto"/>
              <w:jc w:val="left"/>
              <w:rPr>
                <w:szCs w:val="20"/>
                <w:lang w:eastAsia="es-ES"/>
              </w:rPr>
            </w:pPr>
            <w:r w:rsidRPr="00826DEE">
              <w:rPr>
                <w:szCs w:val="20"/>
                <w:lang w:eastAsia="es-ES"/>
              </w:rPr>
              <w:t>No aplicada</w:t>
            </w:r>
          </w:p>
        </w:tc>
        <w:tc>
          <w:tcPr>
            <w:tcW w:w="6805" w:type="dxa"/>
            <w:tcBorders>
              <w:top w:val="single" w:sz="2" w:space="0" w:color="auto"/>
              <w:bottom w:val="single" w:sz="2" w:space="0" w:color="auto"/>
            </w:tcBorders>
            <w:vAlign w:val="center"/>
          </w:tcPr>
          <w:p w:rsidR="00EF1AFB" w:rsidRPr="00826DEE" w:rsidRDefault="00EF1AFB" w:rsidP="002509BE">
            <w:pPr>
              <w:pStyle w:val="cuatexto"/>
              <w:rPr>
                <w:szCs w:val="20"/>
                <w:lang w:eastAsia="es-ES"/>
              </w:rPr>
            </w:pPr>
            <w:r w:rsidRPr="00826DEE">
              <w:rPr>
                <w:szCs w:val="20"/>
                <w:lang w:eastAsia="es-ES"/>
              </w:rPr>
              <w:t>Si no se han realizado las actuaciones encaminadas a corregir las deficiencias, debilidades o insuficiencias o bien se han hecho insuficientemente o inadecuad</w:t>
            </w:r>
            <w:r w:rsidRPr="00826DEE">
              <w:rPr>
                <w:szCs w:val="20"/>
                <w:lang w:eastAsia="es-ES"/>
              </w:rPr>
              <w:t>a</w:t>
            </w:r>
            <w:r w:rsidRPr="00826DEE">
              <w:rPr>
                <w:szCs w:val="20"/>
                <w:lang w:eastAsia="es-ES"/>
              </w:rPr>
              <w:t>mente de forma que la recomendación sigue sin aplicarse.</w:t>
            </w:r>
          </w:p>
        </w:tc>
      </w:tr>
      <w:tr w:rsidR="00EF1AFB" w:rsidRPr="00826DEE" w:rsidTr="00D647A2">
        <w:trPr>
          <w:trHeight w:val="198"/>
        </w:trPr>
        <w:tc>
          <w:tcPr>
            <w:tcW w:w="1984" w:type="dxa"/>
            <w:tcBorders>
              <w:top w:val="single" w:sz="2" w:space="0" w:color="auto"/>
              <w:bottom w:val="single" w:sz="2" w:space="0" w:color="auto"/>
            </w:tcBorders>
            <w:vAlign w:val="center"/>
          </w:tcPr>
          <w:p w:rsidR="00EF1AFB" w:rsidRPr="00826DEE" w:rsidRDefault="00EF1AFB" w:rsidP="00A05D6E">
            <w:pPr>
              <w:pStyle w:val="cuatexto"/>
              <w:jc w:val="left"/>
              <w:rPr>
                <w:szCs w:val="20"/>
                <w:lang w:eastAsia="es-ES"/>
              </w:rPr>
            </w:pPr>
            <w:r w:rsidRPr="00826DEE">
              <w:rPr>
                <w:szCs w:val="20"/>
                <w:lang w:eastAsia="es-ES"/>
              </w:rPr>
              <w:t xml:space="preserve">Sin validez en el </w:t>
            </w:r>
          </w:p>
          <w:p w:rsidR="00EF1AFB" w:rsidRPr="00826DEE" w:rsidRDefault="00EF1AFB" w:rsidP="00A05D6E">
            <w:pPr>
              <w:pStyle w:val="cuatexto"/>
              <w:jc w:val="left"/>
              <w:rPr>
                <w:szCs w:val="20"/>
                <w:lang w:eastAsia="es-ES"/>
              </w:rPr>
            </w:pPr>
            <w:r w:rsidRPr="00826DEE">
              <w:rPr>
                <w:szCs w:val="20"/>
                <w:lang w:eastAsia="es-ES"/>
              </w:rPr>
              <w:t>marco actual</w:t>
            </w:r>
          </w:p>
        </w:tc>
        <w:tc>
          <w:tcPr>
            <w:tcW w:w="6805" w:type="dxa"/>
            <w:tcBorders>
              <w:top w:val="single" w:sz="2" w:space="0" w:color="auto"/>
              <w:bottom w:val="single" w:sz="2" w:space="0" w:color="auto"/>
            </w:tcBorders>
            <w:vAlign w:val="center"/>
          </w:tcPr>
          <w:p w:rsidR="00EF1AFB" w:rsidRPr="00826DEE" w:rsidRDefault="00EF1AFB" w:rsidP="002509BE">
            <w:pPr>
              <w:pStyle w:val="cuatexto"/>
              <w:rPr>
                <w:szCs w:val="20"/>
                <w:lang w:eastAsia="es-ES"/>
              </w:rPr>
            </w:pPr>
            <w:r w:rsidRPr="00826DEE">
              <w:rPr>
                <w:szCs w:val="20"/>
                <w:lang w:eastAsia="es-ES"/>
              </w:rPr>
              <w:t>Aquella recomendación que era válida y pertinente cuando se emitió el informe pero no puede aplicarse en el contexto actual al no darse las circunstancias que lo permitan o la misma casuística del momento de emisión del informe.</w:t>
            </w:r>
          </w:p>
        </w:tc>
      </w:tr>
      <w:tr w:rsidR="00EF1AFB" w:rsidRPr="00826DEE" w:rsidTr="00D647A2">
        <w:trPr>
          <w:trHeight w:val="198"/>
        </w:trPr>
        <w:tc>
          <w:tcPr>
            <w:tcW w:w="1984" w:type="dxa"/>
            <w:tcBorders>
              <w:top w:val="single" w:sz="2" w:space="0" w:color="auto"/>
            </w:tcBorders>
            <w:vAlign w:val="center"/>
          </w:tcPr>
          <w:p w:rsidR="00EF1AFB" w:rsidRPr="00826DEE" w:rsidRDefault="00EF1AFB" w:rsidP="00A05D6E">
            <w:pPr>
              <w:pStyle w:val="cuatexto"/>
              <w:jc w:val="left"/>
              <w:rPr>
                <w:szCs w:val="20"/>
              </w:rPr>
            </w:pPr>
            <w:r w:rsidRPr="00826DEE">
              <w:rPr>
                <w:szCs w:val="20"/>
              </w:rPr>
              <w:t>No verificada</w:t>
            </w:r>
          </w:p>
        </w:tc>
        <w:tc>
          <w:tcPr>
            <w:tcW w:w="6805" w:type="dxa"/>
            <w:tcBorders>
              <w:top w:val="single" w:sz="2" w:space="0" w:color="auto"/>
            </w:tcBorders>
            <w:vAlign w:val="center"/>
          </w:tcPr>
          <w:p w:rsidR="00EF1AFB" w:rsidRPr="00826DEE" w:rsidRDefault="00EF1AFB" w:rsidP="002509BE">
            <w:pPr>
              <w:pStyle w:val="cuatexto"/>
              <w:rPr>
                <w:szCs w:val="20"/>
              </w:rPr>
            </w:pPr>
            <w:r w:rsidRPr="00826DEE">
              <w:rPr>
                <w:szCs w:val="20"/>
              </w:rPr>
              <w:t xml:space="preserve">Aquella recomendación que, aunque haya sido aplicada por el ente, necesitaría de pruebas adicionales para contrastar lo expuesto. </w:t>
            </w:r>
          </w:p>
        </w:tc>
      </w:tr>
    </w:tbl>
    <w:p w:rsidR="00015430" w:rsidRDefault="00015430" w:rsidP="000B5988">
      <w:pPr>
        <w:pStyle w:val="texto"/>
        <w:tabs>
          <w:tab w:val="left" w:pos="284"/>
        </w:tabs>
        <w:spacing w:before="240" w:after="120"/>
        <w:jc w:val="left"/>
        <w:rPr>
          <w:szCs w:val="26"/>
        </w:rPr>
      </w:pPr>
    </w:p>
    <w:p w:rsidR="00015430" w:rsidRDefault="00015430">
      <w:pPr>
        <w:spacing w:after="0"/>
        <w:ind w:firstLine="0"/>
        <w:jc w:val="left"/>
        <w:rPr>
          <w:spacing w:val="6"/>
          <w:sz w:val="26"/>
          <w:szCs w:val="26"/>
        </w:rPr>
      </w:pPr>
      <w:r>
        <w:rPr>
          <w:szCs w:val="26"/>
        </w:rPr>
        <w:br w:type="page"/>
      </w:r>
    </w:p>
    <w:p w:rsidR="00EF1AFB" w:rsidRPr="000E2F86" w:rsidRDefault="00EF1AFB" w:rsidP="000B5988">
      <w:pPr>
        <w:pStyle w:val="texto"/>
        <w:tabs>
          <w:tab w:val="left" w:pos="284"/>
        </w:tabs>
        <w:spacing w:before="240" w:after="120"/>
        <w:jc w:val="left"/>
        <w:rPr>
          <w:szCs w:val="26"/>
        </w:rPr>
      </w:pPr>
      <w:r>
        <w:rPr>
          <w:szCs w:val="26"/>
        </w:rPr>
        <w:lastRenderedPageBreak/>
        <w:t>A continuación, mostramos los resultados obtenidos para cada recomend</w:t>
      </w:r>
      <w:r>
        <w:rPr>
          <w:szCs w:val="26"/>
        </w:rPr>
        <w:t>a</w:t>
      </w:r>
      <w:r>
        <w:rPr>
          <w:szCs w:val="26"/>
        </w:rPr>
        <w:t>ción incluida en el informe de la Cámara de Comptos de septiembre de 2016:</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0B5988">
        <w:rPr>
          <w:i/>
          <w:szCs w:val="26"/>
        </w:rPr>
        <w:t xml:space="preserve">Elaborar el plan estratégico para la investigación sanitaria pública que realiza el </w:t>
      </w:r>
      <w:proofErr w:type="spellStart"/>
      <w:r w:rsidRPr="000B5988">
        <w:rPr>
          <w:i/>
          <w:szCs w:val="26"/>
        </w:rPr>
        <w:t>Navarrabiomed</w:t>
      </w:r>
      <w:proofErr w:type="spellEnd"/>
      <w:r w:rsidRPr="000B5988">
        <w:rPr>
          <w:i/>
          <w:szCs w:val="26"/>
        </w:rPr>
        <w:t>, que, entre otras cuestiones, debe contemplar los o</w:t>
      </w:r>
      <w:r w:rsidRPr="000B5988">
        <w:rPr>
          <w:i/>
          <w:szCs w:val="26"/>
        </w:rPr>
        <w:t>b</w:t>
      </w:r>
      <w:r w:rsidRPr="000B5988">
        <w:rPr>
          <w:i/>
          <w:szCs w:val="26"/>
        </w:rPr>
        <w:t>jetivos de la investigación, el modelo y destino de la investigación, la estruct</w:t>
      </w:r>
      <w:r w:rsidRPr="000B5988">
        <w:rPr>
          <w:i/>
          <w:szCs w:val="26"/>
        </w:rPr>
        <w:t>u</w:t>
      </w:r>
      <w:r w:rsidRPr="000B5988">
        <w:rPr>
          <w:i/>
          <w:szCs w:val="26"/>
        </w:rPr>
        <w:t>ra fija necesaria para ese modelo y su financiación.</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0B5988">
        <w:rPr>
          <w:i/>
          <w:szCs w:val="26"/>
        </w:rPr>
        <w:t>Al elaborar el plan estratégico, junto a las áreas asistenciales, debe cons</w:t>
      </w:r>
      <w:r w:rsidRPr="000B5988">
        <w:rPr>
          <w:i/>
          <w:szCs w:val="26"/>
        </w:rPr>
        <w:t>i</w:t>
      </w:r>
      <w:r w:rsidRPr="000B5988">
        <w:rPr>
          <w:i/>
          <w:szCs w:val="26"/>
        </w:rPr>
        <w:t>derarse la posibilidad y conveniencia de investigar en áreas de salud pública y de asistencia primaria y, tras el convenio firmado con la Universidad Pública, de Navarra, en áreas tecnológicas en coordinación con la escuela de ingeni</w:t>
      </w:r>
      <w:r w:rsidRPr="000B5988">
        <w:rPr>
          <w:i/>
          <w:szCs w:val="26"/>
        </w:rPr>
        <w:t>e</w:t>
      </w:r>
      <w:r w:rsidRPr="000B5988">
        <w:rPr>
          <w:i/>
          <w:szCs w:val="26"/>
        </w:rPr>
        <w:t>ría.</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0B5988">
        <w:rPr>
          <w:i/>
          <w:szCs w:val="26"/>
        </w:rPr>
        <w:t>El Plan estratégico debe contemplar la existencia de personal trabajando en la fundación de diferentes procedencias (de la fundación, de la UPNA, asi</w:t>
      </w:r>
      <w:r w:rsidRPr="000B5988">
        <w:rPr>
          <w:i/>
          <w:szCs w:val="26"/>
        </w:rPr>
        <w:t>s</w:t>
      </w:r>
      <w:r w:rsidRPr="00A448F1">
        <w:rPr>
          <w:i/>
          <w:szCs w:val="26"/>
        </w:rPr>
        <w:t>tencial del Servicio Navarro de Salud-</w:t>
      </w:r>
      <w:proofErr w:type="spellStart"/>
      <w:r w:rsidRPr="00A448F1">
        <w:rPr>
          <w:i/>
          <w:szCs w:val="26"/>
        </w:rPr>
        <w:t>Osasunbidea</w:t>
      </w:r>
      <w:proofErr w:type="spellEnd"/>
      <w:r w:rsidRPr="00A448F1">
        <w:rPr>
          <w:i/>
          <w:szCs w:val="26"/>
        </w:rPr>
        <w:t>, de la estructura o de pr</w:t>
      </w:r>
      <w:r w:rsidRPr="00A448F1">
        <w:rPr>
          <w:i/>
          <w:szCs w:val="26"/>
        </w:rPr>
        <w:t>o</w:t>
      </w:r>
      <w:r w:rsidRPr="00A448F1">
        <w:rPr>
          <w:i/>
          <w:szCs w:val="26"/>
        </w:rPr>
        <w:t xml:space="preserve">yectos, del </w:t>
      </w:r>
      <w:proofErr w:type="spellStart"/>
      <w:r w:rsidRPr="00A448F1">
        <w:rPr>
          <w:i/>
          <w:szCs w:val="26"/>
        </w:rPr>
        <w:t>IdiSNA</w:t>
      </w:r>
      <w:proofErr w:type="spellEnd"/>
      <w:r w:rsidRPr="00A448F1">
        <w:rPr>
          <w:i/>
          <w:szCs w:val="26"/>
        </w:rPr>
        <w:t>, etc.), y con diferentes condic</w:t>
      </w:r>
      <w:r>
        <w:rPr>
          <w:i/>
          <w:szCs w:val="26"/>
        </w:rPr>
        <w:t xml:space="preserve">iones laborales, por lo que, en </w:t>
      </w:r>
      <w:r w:rsidRPr="00A448F1">
        <w:rPr>
          <w:i/>
          <w:szCs w:val="26"/>
        </w:rPr>
        <w:t>la medida de lo posible, es ne</w:t>
      </w:r>
      <w:r>
        <w:rPr>
          <w:i/>
          <w:szCs w:val="26"/>
        </w:rPr>
        <w:t>cesario regular estos aspectos.</w:t>
      </w:r>
    </w:p>
    <w:p w:rsidR="00EF1AFB" w:rsidRDefault="00EF1AFB" w:rsidP="00EF1AFB">
      <w:pPr>
        <w:pStyle w:val="texto"/>
        <w:tabs>
          <w:tab w:val="left" w:pos="284"/>
          <w:tab w:val="num" w:pos="1948"/>
        </w:tabs>
        <w:spacing w:before="120"/>
        <w:rPr>
          <w:szCs w:val="26"/>
        </w:rPr>
      </w:pPr>
      <w:r>
        <w:rPr>
          <w:szCs w:val="26"/>
        </w:rPr>
        <w:t>Estas tres recomendaciones han sido aplicadas total o sustancialmente. El plan estratégico fue aprobado en diciembre de 2017 y contemplaba</w:t>
      </w:r>
      <w:r w:rsidR="00836FF7">
        <w:rPr>
          <w:szCs w:val="26"/>
        </w:rPr>
        <w:t xml:space="preserve"> práctic</w:t>
      </w:r>
      <w:r w:rsidR="00836FF7">
        <w:rPr>
          <w:szCs w:val="26"/>
        </w:rPr>
        <w:t>a</w:t>
      </w:r>
      <w:r w:rsidR="00836FF7">
        <w:rPr>
          <w:szCs w:val="26"/>
        </w:rPr>
        <w:t>mente todos</w:t>
      </w:r>
      <w:r>
        <w:rPr>
          <w:szCs w:val="26"/>
        </w:rPr>
        <w:t xml:space="preserve"> los aspectos señalados en las recomendaciones. </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A448F1">
        <w:rPr>
          <w:i/>
          <w:szCs w:val="26"/>
        </w:rPr>
        <w:t>La investigación requiere unos plazos mayores que las legislaturas polít</w:t>
      </w:r>
      <w:r w:rsidRPr="00A448F1">
        <w:rPr>
          <w:i/>
          <w:szCs w:val="26"/>
        </w:rPr>
        <w:t>i</w:t>
      </w:r>
      <w:r w:rsidRPr="00A448F1">
        <w:rPr>
          <w:i/>
          <w:szCs w:val="26"/>
        </w:rPr>
        <w:t>cas por lo que sería conveniente establecer métodos que garanticen la estabil</w:t>
      </w:r>
      <w:r w:rsidRPr="00A448F1">
        <w:rPr>
          <w:i/>
          <w:szCs w:val="26"/>
        </w:rPr>
        <w:t>i</w:t>
      </w:r>
      <w:r w:rsidRPr="00A448F1">
        <w:rPr>
          <w:i/>
          <w:szCs w:val="26"/>
        </w:rPr>
        <w:t xml:space="preserve">dad en el trabajo de investigación con planes adaptados a </w:t>
      </w:r>
      <w:r>
        <w:rPr>
          <w:i/>
          <w:szCs w:val="26"/>
        </w:rPr>
        <w:t>los ritmos de la i</w:t>
      </w:r>
      <w:r>
        <w:rPr>
          <w:i/>
          <w:szCs w:val="26"/>
        </w:rPr>
        <w:t>n</w:t>
      </w:r>
      <w:r>
        <w:rPr>
          <w:i/>
          <w:szCs w:val="26"/>
        </w:rPr>
        <w:t>vestigación.</w:t>
      </w:r>
    </w:p>
    <w:p w:rsidR="00EF1AFB" w:rsidRDefault="00EF1AFB" w:rsidP="00EF1AFB">
      <w:pPr>
        <w:pStyle w:val="texto"/>
        <w:tabs>
          <w:tab w:val="clear" w:pos="2835"/>
          <w:tab w:val="clear" w:pos="3969"/>
          <w:tab w:val="clear" w:pos="5103"/>
          <w:tab w:val="clear" w:pos="6237"/>
          <w:tab w:val="clear" w:pos="7371"/>
        </w:tabs>
        <w:rPr>
          <w:i/>
          <w:szCs w:val="26"/>
        </w:rPr>
      </w:pPr>
      <w:r>
        <w:rPr>
          <w:szCs w:val="26"/>
        </w:rPr>
        <w:t xml:space="preserve">Esta recomendación ha sido aplicada totalmente. </w:t>
      </w:r>
      <w:r>
        <w:t>En la modificación de est</w:t>
      </w:r>
      <w:r>
        <w:t>a</w:t>
      </w:r>
      <w:r>
        <w:t>tutos realizada en 2018, se incluyó que el cargo del director fuera para un p</w:t>
      </w:r>
      <w:r>
        <w:t>e</w:t>
      </w:r>
      <w:r>
        <w:t>riodo de seis años prorrogable h</w:t>
      </w:r>
      <w:r w:rsidR="00825A64">
        <w:t>asta un máximo de tres años más lo que gara</w:t>
      </w:r>
      <w:r w:rsidR="00825A64">
        <w:t>n</w:t>
      </w:r>
      <w:r w:rsidR="00825A64">
        <w:t>tiza una mayor estabilidad en este puesto.</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A448F1">
        <w:rPr>
          <w:i/>
          <w:szCs w:val="26"/>
        </w:rPr>
        <w:t xml:space="preserve">Completar la regulación del </w:t>
      </w:r>
      <w:proofErr w:type="spellStart"/>
      <w:r w:rsidRPr="00A448F1">
        <w:rPr>
          <w:i/>
          <w:szCs w:val="26"/>
        </w:rPr>
        <w:t>IdiSNA</w:t>
      </w:r>
      <w:proofErr w:type="spellEnd"/>
      <w:r w:rsidRPr="00A448F1">
        <w:rPr>
          <w:i/>
          <w:szCs w:val="26"/>
        </w:rPr>
        <w:t xml:space="preserve"> principalmente en las cuestiones a</w:t>
      </w:r>
      <w:r w:rsidRPr="00A448F1">
        <w:rPr>
          <w:i/>
          <w:szCs w:val="26"/>
        </w:rPr>
        <w:t>d</w:t>
      </w:r>
      <w:r w:rsidRPr="00A448F1">
        <w:rPr>
          <w:i/>
          <w:szCs w:val="26"/>
        </w:rPr>
        <w:t xml:space="preserve">ministrativas, </w:t>
      </w:r>
      <w:r>
        <w:rPr>
          <w:i/>
          <w:szCs w:val="26"/>
        </w:rPr>
        <w:t>para</w:t>
      </w:r>
      <w:r w:rsidRPr="00A448F1">
        <w:rPr>
          <w:i/>
          <w:szCs w:val="26"/>
        </w:rPr>
        <w:t xml:space="preserve"> culminar el proceso de acreditación y la integ</w:t>
      </w:r>
      <w:r>
        <w:rPr>
          <w:i/>
          <w:szCs w:val="26"/>
        </w:rPr>
        <w:t>ración de la Universidad Pública de Navarra.</w:t>
      </w:r>
    </w:p>
    <w:p w:rsidR="00EF1AFB" w:rsidRDefault="00EF1AFB" w:rsidP="00EF1AFB">
      <w:pPr>
        <w:pStyle w:val="texto"/>
        <w:tabs>
          <w:tab w:val="clear" w:pos="2835"/>
          <w:tab w:val="clear" w:pos="3969"/>
          <w:tab w:val="clear" w:pos="5103"/>
          <w:tab w:val="clear" w:pos="6237"/>
          <w:tab w:val="clear" w:pos="7371"/>
        </w:tabs>
        <w:rPr>
          <w:i/>
          <w:szCs w:val="26"/>
        </w:rPr>
      </w:pPr>
      <w:r w:rsidRPr="001D1C27">
        <w:rPr>
          <w:szCs w:val="26"/>
        </w:rPr>
        <w:t>E</w:t>
      </w:r>
      <w:r>
        <w:rPr>
          <w:szCs w:val="26"/>
        </w:rPr>
        <w:t xml:space="preserve">sta recomendación ha sido aplicada totalmente. </w:t>
      </w:r>
      <w:r w:rsidRPr="001D1C27">
        <w:rPr>
          <w:szCs w:val="26"/>
        </w:rPr>
        <w:t>En mayo de 2017 la Un</w:t>
      </w:r>
      <w:r w:rsidRPr="001D1C27">
        <w:rPr>
          <w:szCs w:val="26"/>
        </w:rPr>
        <w:t>i</w:t>
      </w:r>
      <w:r w:rsidRPr="001D1C27">
        <w:rPr>
          <w:szCs w:val="26"/>
        </w:rPr>
        <w:t xml:space="preserve">versidad Pública de Navarra se incorporó al </w:t>
      </w:r>
      <w:proofErr w:type="spellStart"/>
      <w:r w:rsidRPr="001D1C27">
        <w:rPr>
          <w:szCs w:val="26"/>
        </w:rPr>
        <w:t>IdiSNA</w:t>
      </w:r>
      <w:proofErr w:type="spellEnd"/>
      <w:r w:rsidRPr="001D1C27">
        <w:rPr>
          <w:szCs w:val="26"/>
        </w:rPr>
        <w:t>, lo que supuso l</w:t>
      </w:r>
      <w:r>
        <w:rPr>
          <w:szCs w:val="26"/>
        </w:rPr>
        <w:t>a config</w:t>
      </w:r>
      <w:r>
        <w:rPr>
          <w:szCs w:val="26"/>
        </w:rPr>
        <w:t>u</w:t>
      </w:r>
      <w:r>
        <w:rPr>
          <w:szCs w:val="26"/>
        </w:rPr>
        <w:t>ración definitiva del i</w:t>
      </w:r>
      <w:r w:rsidRPr="001D1C27">
        <w:rPr>
          <w:szCs w:val="26"/>
        </w:rPr>
        <w:t xml:space="preserve">nstituto. </w:t>
      </w:r>
      <w:r>
        <w:rPr>
          <w:szCs w:val="26"/>
        </w:rPr>
        <w:t>E</w:t>
      </w:r>
      <w:r w:rsidRPr="001D1C27">
        <w:rPr>
          <w:szCs w:val="26"/>
        </w:rPr>
        <w:t>l Ministerio de Ciencia, Innovación y Univers</w:t>
      </w:r>
      <w:r w:rsidRPr="001D1C27">
        <w:rPr>
          <w:szCs w:val="26"/>
        </w:rPr>
        <w:t>i</w:t>
      </w:r>
      <w:r w:rsidRPr="001D1C27">
        <w:rPr>
          <w:szCs w:val="26"/>
        </w:rPr>
        <w:t xml:space="preserve">dades </w:t>
      </w:r>
      <w:r>
        <w:rPr>
          <w:szCs w:val="26"/>
        </w:rPr>
        <w:t>concedió</w:t>
      </w:r>
      <w:r w:rsidRPr="001D1C27">
        <w:rPr>
          <w:szCs w:val="26"/>
        </w:rPr>
        <w:t xml:space="preserve"> al </w:t>
      </w:r>
      <w:proofErr w:type="spellStart"/>
      <w:r w:rsidRPr="001D1C27">
        <w:rPr>
          <w:szCs w:val="26"/>
        </w:rPr>
        <w:t>ldlSNA</w:t>
      </w:r>
      <w:proofErr w:type="spellEnd"/>
      <w:r w:rsidRPr="001D1C27">
        <w:rPr>
          <w:szCs w:val="26"/>
        </w:rPr>
        <w:t xml:space="preserve"> la acreditación como instituto de investigación </w:t>
      </w:r>
      <w:r>
        <w:rPr>
          <w:szCs w:val="26"/>
        </w:rPr>
        <w:t>s</w:t>
      </w:r>
      <w:r w:rsidRPr="001D1C27">
        <w:rPr>
          <w:szCs w:val="26"/>
        </w:rPr>
        <w:t>an</w:t>
      </w:r>
      <w:r w:rsidRPr="001D1C27">
        <w:rPr>
          <w:szCs w:val="26"/>
        </w:rPr>
        <w:t>i</w:t>
      </w:r>
      <w:r w:rsidRPr="001D1C27">
        <w:rPr>
          <w:szCs w:val="26"/>
        </w:rPr>
        <w:t xml:space="preserve">taria, mediante </w:t>
      </w:r>
      <w:r>
        <w:rPr>
          <w:szCs w:val="26"/>
        </w:rPr>
        <w:t>una o</w:t>
      </w:r>
      <w:r w:rsidRPr="001D1C27">
        <w:rPr>
          <w:szCs w:val="26"/>
        </w:rPr>
        <w:t xml:space="preserve">rden </w:t>
      </w:r>
      <w:r>
        <w:rPr>
          <w:szCs w:val="26"/>
        </w:rPr>
        <w:t>ministerial en</w:t>
      </w:r>
      <w:r w:rsidRPr="001D1C27">
        <w:rPr>
          <w:szCs w:val="26"/>
        </w:rPr>
        <w:t xml:space="preserve"> enero de 2019.</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A448F1">
        <w:rPr>
          <w:i/>
          <w:szCs w:val="26"/>
        </w:rPr>
        <w:t>Realizar las actuaciones precisas para que</w:t>
      </w:r>
      <w:r>
        <w:rPr>
          <w:i/>
          <w:szCs w:val="26"/>
        </w:rPr>
        <w:t xml:space="preserve"> </w:t>
      </w:r>
      <w:proofErr w:type="spellStart"/>
      <w:r>
        <w:rPr>
          <w:i/>
          <w:szCs w:val="26"/>
        </w:rPr>
        <w:t>Navarrabiomed</w:t>
      </w:r>
      <w:proofErr w:type="spellEnd"/>
      <w:r>
        <w:rPr>
          <w:i/>
          <w:szCs w:val="26"/>
        </w:rPr>
        <w:t xml:space="preserve"> se integre en </w:t>
      </w:r>
      <w:r w:rsidRPr="00A448F1">
        <w:rPr>
          <w:i/>
          <w:szCs w:val="26"/>
        </w:rPr>
        <w:t>el conjunto del Departamento de Salud co</w:t>
      </w:r>
      <w:r>
        <w:rPr>
          <w:i/>
          <w:szCs w:val="26"/>
        </w:rPr>
        <w:t xml:space="preserve">mo un “servicio” que colabora y </w:t>
      </w:r>
      <w:r w:rsidRPr="00A448F1">
        <w:rPr>
          <w:i/>
          <w:szCs w:val="26"/>
        </w:rPr>
        <w:t>co</w:t>
      </w:r>
      <w:r w:rsidRPr="00A448F1">
        <w:rPr>
          <w:i/>
          <w:szCs w:val="26"/>
        </w:rPr>
        <w:t>m</w:t>
      </w:r>
      <w:r w:rsidRPr="00A448F1">
        <w:rPr>
          <w:i/>
          <w:szCs w:val="26"/>
        </w:rPr>
        <w:t>pleta la labor del personal asistencial de especialidad y pr</w:t>
      </w:r>
      <w:r>
        <w:rPr>
          <w:i/>
          <w:szCs w:val="26"/>
        </w:rPr>
        <w:t>imaria.</w:t>
      </w:r>
    </w:p>
    <w:p w:rsidR="00EF1AFB" w:rsidRPr="001D1C27" w:rsidRDefault="00EF1AFB" w:rsidP="00EF1AFB">
      <w:pPr>
        <w:pStyle w:val="texto"/>
        <w:tabs>
          <w:tab w:val="clear" w:pos="2835"/>
          <w:tab w:val="clear" w:pos="3969"/>
          <w:tab w:val="clear" w:pos="5103"/>
          <w:tab w:val="clear" w:pos="6237"/>
          <w:tab w:val="clear" w:pos="7371"/>
        </w:tabs>
        <w:rPr>
          <w:szCs w:val="26"/>
        </w:rPr>
      </w:pPr>
      <w:r w:rsidRPr="0091454A">
        <w:rPr>
          <w:szCs w:val="26"/>
        </w:rPr>
        <w:lastRenderedPageBreak/>
        <w:t>Esta recomendación ha sido totalmente aplicada.</w:t>
      </w:r>
      <w:r>
        <w:rPr>
          <w:szCs w:val="26"/>
        </w:rPr>
        <w:t xml:space="preserve"> </w:t>
      </w:r>
      <w:r w:rsidR="00B500F0">
        <w:rPr>
          <w:szCs w:val="26"/>
        </w:rPr>
        <w:t>Considerando que lo pr</w:t>
      </w:r>
      <w:r w:rsidR="00B500F0">
        <w:rPr>
          <w:szCs w:val="26"/>
        </w:rPr>
        <w:t>e</w:t>
      </w:r>
      <w:r w:rsidR="00B500F0">
        <w:rPr>
          <w:szCs w:val="26"/>
        </w:rPr>
        <w:t>tendido con esta recomendación era la estabilidad en la financiación de la Fu</w:t>
      </w:r>
      <w:r w:rsidR="00B500F0">
        <w:rPr>
          <w:szCs w:val="26"/>
        </w:rPr>
        <w:t>n</w:t>
      </w:r>
      <w:r w:rsidR="00B500F0">
        <w:rPr>
          <w:szCs w:val="26"/>
        </w:rPr>
        <w:t>dación, dado que pr</w:t>
      </w:r>
      <w:r>
        <w:rPr>
          <w:szCs w:val="26"/>
        </w:rPr>
        <w:t>eviamente al informe de la Cámara</w:t>
      </w:r>
      <w:r w:rsidR="00836FF7">
        <w:rPr>
          <w:szCs w:val="26"/>
        </w:rPr>
        <w:t>,</w:t>
      </w:r>
      <w:r>
        <w:rPr>
          <w:szCs w:val="26"/>
        </w:rPr>
        <w:t xml:space="preserve"> la financiación que r</w:t>
      </w:r>
      <w:r>
        <w:rPr>
          <w:szCs w:val="26"/>
        </w:rPr>
        <w:t>e</w:t>
      </w:r>
      <w:r>
        <w:rPr>
          <w:szCs w:val="26"/>
        </w:rPr>
        <w:t xml:space="preserve">cibía la Fundación </w:t>
      </w:r>
      <w:r w:rsidR="00B500F0">
        <w:rPr>
          <w:szCs w:val="26"/>
        </w:rPr>
        <w:t>provenía</w:t>
      </w:r>
      <w:r>
        <w:rPr>
          <w:szCs w:val="26"/>
        </w:rPr>
        <w:t xml:space="preserve"> de diferentes departamentos</w:t>
      </w:r>
      <w:r w:rsidR="00B500F0">
        <w:rPr>
          <w:szCs w:val="26"/>
        </w:rPr>
        <w:t xml:space="preserve">, </w:t>
      </w:r>
      <w:r>
        <w:rPr>
          <w:szCs w:val="26"/>
        </w:rPr>
        <w:t>el modelo de fina</w:t>
      </w:r>
      <w:r>
        <w:rPr>
          <w:szCs w:val="26"/>
        </w:rPr>
        <w:t>n</w:t>
      </w:r>
      <w:r>
        <w:rPr>
          <w:szCs w:val="26"/>
        </w:rPr>
        <w:t>ciación ha cambiado y se realiza una única transferencia a la Fundación desde el Departamento de Salud.</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A448F1">
        <w:rPr>
          <w:i/>
          <w:szCs w:val="26"/>
        </w:rPr>
        <w:t>Analizar si para el personal sanitario se es</w:t>
      </w:r>
      <w:r>
        <w:rPr>
          <w:i/>
          <w:szCs w:val="26"/>
        </w:rPr>
        <w:t xml:space="preserve">tán aplicando correctamente los </w:t>
      </w:r>
      <w:r w:rsidRPr="00A448F1">
        <w:rPr>
          <w:i/>
          <w:szCs w:val="26"/>
        </w:rPr>
        <w:t>estímulos o incentivos a la investigación e</w:t>
      </w:r>
      <w:r>
        <w:rPr>
          <w:i/>
          <w:szCs w:val="26"/>
        </w:rPr>
        <w:t xml:space="preserve">n aspectos como su valoración a </w:t>
      </w:r>
      <w:r w:rsidRPr="00A448F1">
        <w:rPr>
          <w:i/>
          <w:szCs w:val="26"/>
        </w:rPr>
        <w:t xml:space="preserve">efectos de </w:t>
      </w:r>
      <w:proofErr w:type="gramStart"/>
      <w:r w:rsidRPr="00A448F1">
        <w:rPr>
          <w:i/>
          <w:szCs w:val="26"/>
        </w:rPr>
        <w:t>la carrera profesional o incluso retribu</w:t>
      </w:r>
      <w:r>
        <w:rPr>
          <w:i/>
          <w:szCs w:val="26"/>
        </w:rPr>
        <w:t>tivos</w:t>
      </w:r>
      <w:proofErr w:type="gramEnd"/>
      <w:r>
        <w:rPr>
          <w:i/>
          <w:szCs w:val="26"/>
        </w:rPr>
        <w:t xml:space="preserve">, ya que, por ejemplo, la </w:t>
      </w:r>
      <w:r w:rsidRPr="00A448F1">
        <w:rPr>
          <w:i/>
          <w:szCs w:val="26"/>
        </w:rPr>
        <w:t>normativa no permite percibir retribuciones</w:t>
      </w:r>
      <w:r>
        <w:rPr>
          <w:i/>
          <w:szCs w:val="26"/>
        </w:rPr>
        <w:t xml:space="preserve"> complementarias por labores de </w:t>
      </w:r>
      <w:r w:rsidRPr="00A448F1">
        <w:rPr>
          <w:i/>
          <w:szCs w:val="26"/>
        </w:rPr>
        <w:t xml:space="preserve">investigación, pero </w:t>
      </w:r>
      <w:r>
        <w:rPr>
          <w:i/>
          <w:szCs w:val="26"/>
        </w:rPr>
        <w:t>sí por las de ensayos clínicos.</w:t>
      </w:r>
    </w:p>
    <w:p w:rsidR="00EF1AFB" w:rsidRPr="001D1C27" w:rsidRDefault="0005556A" w:rsidP="00EF1AFB">
      <w:pPr>
        <w:pStyle w:val="texto"/>
        <w:tabs>
          <w:tab w:val="clear" w:pos="2835"/>
          <w:tab w:val="clear" w:pos="3969"/>
          <w:tab w:val="clear" w:pos="5103"/>
          <w:tab w:val="clear" w:pos="6237"/>
          <w:tab w:val="clear" w:pos="7371"/>
        </w:tabs>
        <w:rPr>
          <w:szCs w:val="26"/>
        </w:rPr>
      </w:pPr>
      <w:r>
        <w:rPr>
          <w:szCs w:val="26"/>
        </w:rPr>
        <w:t>Si bien est</w:t>
      </w:r>
      <w:r w:rsidR="00EF1AFB">
        <w:rPr>
          <w:szCs w:val="26"/>
        </w:rPr>
        <w:t>a recomendación</w:t>
      </w:r>
      <w:r>
        <w:rPr>
          <w:szCs w:val="26"/>
        </w:rPr>
        <w:t xml:space="preserve"> es competencia de la ACFN, el Patron</w:t>
      </w:r>
      <w:r w:rsidR="00EF1AFB">
        <w:rPr>
          <w:szCs w:val="26"/>
        </w:rPr>
        <w:t>ato de la Fundación aprobó la implantación de un sistema de evaluación del desempeño donde se establecen siete bandas salariales en función de los méritos consegu</w:t>
      </w:r>
      <w:r w:rsidR="00EF1AFB">
        <w:rPr>
          <w:szCs w:val="26"/>
        </w:rPr>
        <w:t>i</w:t>
      </w:r>
      <w:r w:rsidR="00EF1AFB">
        <w:rPr>
          <w:szCs w:val="26"/>
        </w:rPr>
        <w:t>dos y de la antigüedad. Este sistema se ha comenzado a aplicar en 2021.</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A448F1">
        <w:rPr>
          <w:i/>
          <w:szCs w:val="26"/>
        </w:rPr>
        <w:t>Con carácter general, entendemos que, tanto por motivos medioambient</w:t>
      </w:r>
      <w:r w:rsidRPr="00A448F1">
        <w:rPr>
          <w:i/>
          <w:szCs w:val="26"/>
        </w:rPr>
        <w:t>a</w:t>
      </w:r>
      <w:r w:rsidRPr="00A448F1">
        <w:rPr>
          <w:i/>
          <w:szCs w:val="26"/>
        </w:rPr>
        <w:t>les, como por los futuros costes de mantenimiento, debe considerarse como un factor a tener en cuenta la calificación energética en la construcción de nuevos</w:t>
      </w:r>
      <w:r>
        <w:rPr>
          <w:i/>
          <w:szCs w:val="26"/>
        </w:rPr>
        <w:t xml:space="preserve"> </w:t>
      </w:r>
      <w:r w:rsidRPr="00A448F1">
        <w:rPr>
          <w:i/>
          <w:szCs w:val="26"/>
        </w:rPr>
        <w:t>edificios por parte de la administración.</w:t>
      </w:r>
    </w:p>
    <w:p w:rsidR="00EF1AFB" w:rsidRPr="001B5916" w:rsidRDefault="00EF1AFB" w:rsidP="00EF1AFB">
      <w:pPr>
        <w:pStyle w:val="texto"/>
        <w:tabs>
          <w:tab w:val="clear" w:pos="2835"/>
          <w:tab w:val="clear" w:pos="3969"/>
          <w:tab w:val="clear" w:pos="5103"/>
          <w:tab w:val="clear" w:pos="6237"/>
          <w:tab w:val="clear" w:pos="7371"/>
        </w:tabs>
        <w:rPr>
          <w:szCs w:val="26"/>
        </w:rPr>
      </w:pPr>
      <w:r>
        <w:rPr>
          <w:szCs w:val="26"/>
        </w:rPr>
        <w:t>Esta recomendación no ha sido verificada ya que iba dirigida a la ACFN en general, por lo que queda fuera del alcance de este trabajo</w:t>
      </w:r>
      <w:r w:rsidRPr="001D1C27">
        <w:rPr>
          <w:szCs w:val="26"/>
        </w:rPr>
        <w:t>.</w:t>
      </w:r>
      <w:r>
        <w:rPr>
          <w:szCs w:val="26"/>
        </w:rPr>
        <w:t xml:space="preserve"> </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A448F1">
        <w:rPr>
          <w:i/>
          <w:szCs w:val="26"/>
        </w:rPr>
        <w:t>Analizar cuál es el tipo de convenio más ade</w:t>
      </w:r>
      <w:r>
        <w:rPr>
          <w:i/>
          <w:szCs w:val="26"/>
        </w:rPr>
        <w:t xml:space="preserve">cuado para la gestión de la </w:t>
      </w:r>
      <w:r w:rsidRPr="00A448F1">
        <w:rPr>
          <w:i/>
          <w:szCs w:val="26"/>
        </w:rPr>
        <w:t>fundación, teniendo en cuenta los diferentes tipos de trabajo, condiciones lab</w:t>
      </w:r>
      <w:r w:rsidRPr="00A448F1">
        <w:rPr>
          <w:i/>
          <w:szCs w:val="26"/>
        </w:rPr>
        <w:t>o</w:t>
      </w:r>
      <w:r w:rsidRPr="00A448F1">
        <w:rPr>
          <w:i/>
          <w:szCs w:val="26"/>
        </w:rPr>
        <w:t>rales y procedencia del personal, contemplando la posibilidad de aplicar di</w:t>
      </w:r>
      <w:r>
        <w:rPr>
          <w:i/>
          <w:szCs w:val="26"/>
        </w:rPr>
        <w:t>cho convenio a todo el personal.</w:t>
      </w:r>
    </w:p>
    <w:p w:rsidR="00EF1AFB" w:rsidRPr="001B5916" w:rsidRDefault="00EF1AFB" w:rsidP="00EF1AFB">
      <w:pPr>
        <w:pStyle w:val="texto"/>
        <w:tabs>
          <w:tab w:val="clear" w:pos="2835"/>
          <w:tab w:val="clear" w:pos="3969"/>
          <w:tab w:val="clear" w:pos="5103"/>
          <w:tab w:val="clear" w:pos="6237"/>
          <w:tab w:val="clear" w:pos="7371"/>
        </w:tabs>
        <w:rPr>
          <w:szCs w:val="26"/>
        </w:rPr>
      </w:pPr>
      <w:r>
        <w:rPr>
          <w:szCs w:val="26"/>
        </w:rPr>
        <w:t xml:space="preserve">Esta recomendación ha sido aplicada totalmente. </w:t>
      </w:r>
      <w:r w:rsidR="0005556A">
        <w:rPr>
          <w:szCs w:val="26"/>
        </w:rPr>
        <w:t>El Patronato de la Fund</w:t>
      </w:r>
      <w:r w:rsidR="0005556A">
        <w:rPr>
          <w:szCs w:val="26"/>
        </w:rPr>
        <w:t>a</w:t>
      </w:r>
      <w:r w:rsidR="0005556A">
        <w:rPr>
          <w:szCs w:val="26"/>
        </w:rPr>
        <w:t>ción ha elaborado un plan</w:t>
      </w:r>
      <w:r>
        <w:rPr>
          <w:szCs w:val="26"/>
        </w:rPr>
        <w:t xml:space="preserve"> específico para la Fundación que contempla los el</w:t>
      </w:r>
      <w:r>
        <w:rPr>
          <w:szCs w:val="26"/>
        </w:rPr>
        <w:t>e</w:t>
      </w:r>
      <w:r>
        <w:rPr>
          <w:szCs w:val="26"/>
        </w:rPr>
        <w:t>mentos que indicaba la recomendación y que se ha comenzado a aplicar en 2021.</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A448F1">
        <w:rPr>
          <w:i/>
          <w:szCs w:val="26"/>
        </w:rPr>
        <w:t>Establecer unos procedimientos por escri</w:t>
      </w:r>
      <w:r>
        <w:rPr>
          <w:i/>
          <w:szCs w:val="26"/>
        </w:rPr>
        <w:t xml:space="preserve">to y aprobados por el Patronato </w:t>
      </w:r>
      <w:r w:rsidRPr="00A448F1">
        <w:rPr>
          <w:i/>
          <w:szCs w:val="26"/>
        </w:rPr>
        <w:t>en los que se recojan las obligaciones de publicidad, la composición de los ó</w:t>
      </w:r>
      <w:r w:rsidRPr="00A448F1">
        <w:rPr>
          <w:i/>
          <w:szCs w:val="26"/>
        </w:rPr>
        <w:t>r</w:t>
      </w:r>
      <w:r w:rsidRPr="00A448F1">
        <w:rPr>
          <w:i/>
          <w:szCs w:val="26"/>
        </w:rPr>
        <w:t>ganos de selección, sistemas de selección, etc. En esta misma línea se manife</w:t>
      </w:r>
      <w:r w:rsidRPr="00A448F1">
        <w:rPr>
          <w:i/>
          <w:szCs w:val="26"/>
        </w:rPr>
        <w:t>s</w:t>
      </w:r>
      <w:r w:rsidRPr="00A448F1">
        <w:rPr>
          <w:i/>
          <w:szCs w:val="26"/>
        </w:rPr>
        <w:t>tó el Defensor del Pueblo en resolución de 25 de marzo de 2014.</w:t>
      </w:r>
    </w:p>
    <w:p w:rsidR="00EF1AFB" w:rsidRDefault="00EF1AFB" w:rsidP="00EF1AFB">
      <w:pPr>
        <w:pStyle w:val="texto"/>
        <w:tabs>
          <w:tab w:val="clear" w:pos="2835"/>
          <w:tab w:val="clear" w:pos="3969"/>
          <w:tab w:val="clear" w:pos="5103"/>
          <w:tab w:val="clear" w:pos="6237"/>
          <w:tab w:val="clear" w:pos="7371"/>
        </w:tabs>
        <w:rPr>
          <w:b/>
          <w:color w:val="FF0000"/>
          <w:szCs w:val="26"/>
        </w:rPr>
      </w:pPr>
      <w:r>
        <w:rPr>
          <w:szCs w:val="26"/>
        </w:rPr>
        <w:t xml:space="preserve">Esta recomendación ha sido aplicada parcialmente. Hemos constatado que el Patronato ha aprobado y establecido unos </w:t>
      </w:r>
      <w:r w:rsidRPr="001B5916">
        <w:rPr>
          <w:szCs w:val="26"/>
        </w:rPr>
        <w:t>procedimientos</w:t>
      </w:r>
      <w:r>
        <w:rPr>
          <w:szCs w:val="26"/>
        </w:rPr>
        <w:t xml:space="preserve"> de contratación; no obstante, de la revisión de la muestra que detallamos en el epígrafe siguiente, podemos concluir que la publicidad</w:t>
      </w:r>
      <w:r w:rsidR="00836FF7">
        <w:rPr>
          <w:szCs w:val="26"/>
        </w:rPr>
        <w:t xml:space="preserve"> de las ofertas de empleo</w:t>
      </w:r>
      <w:r>
        <w:rPr>
          <w:szCs w:val="26"/>
        </w:rPr>
        <w:t xml:space="preserve"> es </w:t>
      </w:r>
      <w:r w:rsidR="00836FF7">
        <w:rPr>
          <w:szCs w:val="26"/>
        </w:rPr>
        <w:t>insuficiente</w:t>
      </w:r>
      <w:r>
        <w:rPr>
          <w:szCs w:val="26"/>
        </w:rPr>
        <w:t>, que el comité de selección no está formado por cinco miembros tal y como i</w:t>
      </w:r>
      <w:r>
        <w:rPr>
          <w:szCs w:val="26"/>
        </w:rPr>
        <w:t>n</w:t>
      </w:r>
      <w:r>
        <w:rPr>
          <w:szCs w:val="26"/>
        </w:rPr>
        <w:t>dicaba el Defensor del Pueblo en su resolución, y que no se llevan a cabo pru</w:t>
      </w:r>
      <w:r>
        <w:rPr>
          <w:szCs w:val="26"/>
        </w:rPr>
        <w:t>e</w:t>
      </w:r>
      <w:r>
        <w:rPr>
          <w:szCs w:val="26"/>
        </w:rPr>
        <w:t xml:space="preserve">bas </w:t>
      </w:r>
      <w:r w:rsidR="00825A64">
        <w:rPr>
          <w:szCs w:val="26"/>
        </w:rPr>
        <w:t>adicionales</w:t>
      </w:r>
      <w:r>
        <w:rPr>
          <w:szCs w:val="26"/>
        </w:rPr>
        <w:t xml:space="preserve"> para validar la capacitación de los candidatos.</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91454A">
        <w:rPr>
          <w:i/>
          <w:szCs w:val="26"/>
        </w:rPr>
        <w:lastRenderedPageBreak/>
        <w:t xml:space="preserve">Tramitar el correspondiente procedimiento de contratación en aquellos servicios usuales que superen los límites establecidos por la Ley. </w:t>
      </w:r>
    </w:p>
    <w:p w:rsidR="00EF1AFB" w:rsidRPr="0091454A"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91454A">
        <w:rPr>
          <w:i/>
          <w:szCs w:val="26"/>
        </w:rPr>
        <w:t>En aquellos otros servicios y suministros de material fungible cuyo gasto anual es de difícil previsión y centralización y que, en la práctica, están s</w:t>
      </w:r>
      <w:r w:rsidRPr="0091454A">
        <w:rPr>
          <w:i/>
          <w:szCs w:val="26"/>
        </w:rPr>
        <w:t>u</w:t>
      </w:r>
      <w:r w:rsidRPr="0091454A">
        <w:rPr>
          <w:i/>
          <w:szCs w:val="26"/>
        </w:rPr>
        <w:t>perando el límite previsto en la normativa para las fundaciones de 15.000 e</w:t>
      </w:r>
      <w:r w:rsidRPr="0091454A">
        <w:rPr>
          <w:i/>
          <w:szCs w:val="26"/>
        </w:rPr>
        <w:t>u</w:t>
      </w:r>
      <w:r w:rsidRPr="0091454A">
        <w:rPr>
          <w:i/>
          <w:szCs w:val="26"/>
        </w:rPr>
        <w:t>ros, analizar si puede tramitarse el correspondiente procedimiento de contr</w:t>
      </w:r>
      <w:r w:rsidRPr="0091454A">
        <w:rPr>
          <w:i/>
          <w:szCs w:val="26"/>
        </w:rPr>
        <w:t>a</w:t>
      </w:r>
      <w:r w:rsidRPr="0091454A">
        <w:rPr>
          <w:i/>
          <w:szCs w:val="26"/>
        </w:rPr>
        <w:t xml:space="preserve">tación. </w:t>
      </w:r>
    </w:p>
    <w:p w:rsidR="00EF1AFB" w:rsidRDefault="00EF1AFB" w:rsidP="005031C2">
      <w:pPr>
        <w:pStyle w:val="texto"/>
        <w:tabs>
          <w:tab w:val="clear" w:pos="2835"/>
          <w:tab w:val="clear" w:pos="3969"/>
          <w:tab w:val="clear" w:pos="5103"/>
          <w:tab w:val="clear" w:pos="6237"/>
          <w:tab w:val="clear" w:pos="7371"/>
        </w:tabs>
        <w:spacing w:before="120" w:after="240"/>
        <w:rPr>
          <w:bCs/>
          <w:iCs/>
        </w:rPr>
      </w:pPr>
      <w:bookmarkStart w:id="24" w:name="_Toc41485561"/>
      <w:r>
        <w:rPr>
          <w:szCs w:val="26"/>
        </w:rPr>
        <w:t>Las dos anteriores recomendaciones han sido aplicadas totalmente en todas aquellas licitaciones que así lo requerían por su importe.</w:t>
      </w:r>
    </w:p>
    <w:p w:rsidR="00EF1AFB" w:rsidRPr="00AE4498" w:rsidRDefault="00EF1AFB" w:rsidP="005031C2">
      <w:pPr>
        <w:pStyle w:val="atitulo2"/>
        <w:spacing w:before="240"/>
      </w:pPr>
      <w:bookmarkStart w:id="25" w:name="_Toc73013239"/>
      <w:bookmarkStart w:id="26" w:name="_Toc75427857"/>
      <w:r w:rsidRPr="00AE4498">
        <w:t>I</w:t>
      </w:r>
      <w:r w:rsidR="00226C80">
        <w:t>V</w:t>
      </w:r>
      <w:r w:rsidRPr="00AE4498">
        <w:t>.3</w:t>
      </w:r>
      <w:r w:rsidR="00AD3E89">
        <w:t>.</w:t>
      </w:r>
      <w:r w:rsidRPr="00AE4498">
        <w:t xml:space="preserve"> Revisión de la legalidad en contrataciones de personal y de bienes y servicios</w:t>
      </w:r>
      <w:bookmarkEnd w:id="25"/>
      <w:bookmarkEnd w:id="26"/>
    </w:p>
    <w:p w:rsidR="00EF1AFB" w:rsidRPr="00B32308" w:rsidRDefault="00EF1AFB" w:rsidP="00EF1AFB">
      <w:pPr>
        <w:pStyle w:val="texto"/>
        <w:tabs>
          <w:tab w:val="left" w:pos="284"/>
        </w:tabs>
        <w:spacing w:after="120"/>
      </w:pPr>
      <w:r w:rsidRPr="00B32308">
        <w:t>Hemos revisado una muestra de contrataciones de personal y de bienes c</w:t>
      </w:r>
      <w:r w:rsidRPr="00B32308">
        <w:t>o</w:t>
      </w:r>
      <w:r w:rsidRPr="00B32308">
        <w:t xml:space="preserve">rrientes y servicios. </w:t>
      </w:r>
    </w:p>
    <w:p w:rsidR="00EF1AFB" w:rsidRDefault="00EF1AFB" w:rsidP="00EF1AFB">
      <w:pPr>
        <w:pStyle w:val="texto"/>
        <w:tabs>
          <w:tab w:val="left" w:pos="284"/>
        </w:tabs>
        <w:spacing w:after="120"/>
      </w:pPr>
      <w:r w:rsidRPr="00B32308">
        <w:t>En concreto, se han revisado 11 procesos de selección de personal del peri</w:t>
      </w:r>
      <w:r w:rsidRPr="00B32308">
        <w:t>o</w:t>
      </w:r>
      <w:r w:rsidRPr="00B32308">
        <w:t xml:space="preserve">do </w:t>
      </w:r>
      <w:r>
        <w:t xml:space="preserve">2018-2020 </w:t>
      </w:r>
      <w:r w:rsidRPr="00B32308">
        <w:t xml:space="preserve">en los que se ha </w:t>
      </w:r>
      <w:r w:rsidR="00836FF7">
        <w:t xml:space="preserve">verificado que la publicidad de las ofertas de empleo </w:t>
      </w:r>
      <w:r w:rsidRPr="00B32308">
        <w:t>se realiza</w:t>
      </w:r>
      <w:r>
        <w:t>, en general,</w:t>
      </w:r>
      <w:r w:rsidRPr="00B32308">
        <w:t xml:space="preserve"> en la página web</w:t>
      </w:r>
      <w:r>
        <w:t xml:space="preserve"> y redes sociales, </w:t>
      </w:r>
      <w:r w:rsidRPr="00B32308">
        <w:t>y el principio de capacidad se aplica valorando los requisitos presentados en el currículum vita</w:t>
      </w:r>
      <w:r>
        <w:t>e y en una entrevista personal sin llevar a cabo pruebas escritas.</w:t>
      </w:r>
    </w:p>
    <w:p w:rsidR="00EF1AFB" w:rsidRDefault="00EF1AFB" w:rsidP="00EF1AFB">
      <w:pPr>
        <w:pStyle w:val="texto"/>
        <w:tabs>
          <w:tab w:val="left" w:pos="284"/>
        </w:tabs>
        <w:spacing w:after="120"/>
      </w:pPr>
      <w:r w:rsidRPr="00B32308">
        <w:t>Por otro lado, hemos analizado la licitación</w:t>
      </w:r>
      <w:r>
        <w:t xml:space="preserve"> y adjudicación</w:t>
      </w:r>
      <w:r w:rsidRPr="00B32308">
        <w:t xml:space="preserve"> de </w:t>
      </w:r>
      <w:r>
        <w:t>cinco contr</w:t>
      </w:r>
      <w:r>
        <w:t>a</w:t>
      </w:r>
      <w:r>
        <w:t>tos de bienes corrientes y servicios. Del análisis realizado podemos concluir que, en general, se cumple con la normativa aplicable si bien señalamos los s</w:t>
      </w:r>
      <w:r>
        <w:t>i</w:t>
      </w:r>
      <w:r>
        <w:t>guientes aspectos:</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szCs w:val="26"/>
        </w:rPr>
      </w:pPr>
      <w:r w:rsidRPr="000B5988">
        <w:rPr>
          <w:szCs w:val="26"/>
        </w:rPr>
        <w:t>No constan informes técnicos que soporten las puntuaciones asignadas a los licitadores.</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szCs w:val="26"/>
        </w:rPr>
      </w:pPr>
      <w:r w:rsidRPr="000B5988">
        <w:rPr>
          <w:szCs w:val="26"/>
        </w:rPr>
        <w:t>No constan todas las actas relativas a los actos celebrados por la mesa de contratación.</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szCs w:val="26"/>
        </w:rPr>
      </w:pPr>
      <w:r w:rsidRPr="000B5988">
        <w:rPr>
          <w:szCs w:val="26"/>
        </w:rPr>
        <w:t>No se publican las actas de la mesa de contratación en el Portal de Contr</w:t>
      </w:r>
      <w:r w:rsidRPr="000B5988">
        <w:rPr>
          <w:szCs w:val="26"/>
        </w:rPr>
        <w:t>a</w:t>
      </w:r>
      <w:r w:rsidRPr="000B5988">
        <w:rPr>
          <w:szCs w:val="26"/>
        </w:rPr>
        <w:t>tación de Navarra.</w:t>
      </w:r>
    </w:p>
    <w:p w:rsidR="00EF1AFB" w:rsidRDefault="00EF1AFB" w:rsidP="00EF1AFB">
      <w:pPr>
        <w:pStyle w:val="texto"/>
        <w:tabs>
          <w:tab w:val="left" w:pos="284"/>
        </w:tabs>
        <w:spacing w:after="120"/>
      </w:pPr>
      <w:r>
        <w:t>Recomendamos:</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Formalizar informes técnicos que justifiquen la puntuación asignada a los licitadores</w:t>
      </w:r>
      <w:r w:rsidRPr="00A448F1">
        <w:rPr>
          <w:i/>
          <w:szCs w:val="26"/>
        </w:rPr>
        <w:t>.</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Formalizar todas las actas relativas a los actos celebrados por la mesa de contratación.</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Publicar las actas de la mesa en el Portal de Contratación de Navarra.</w:t>
      </w:r>
    </w:p>
    <w:p w:rsidR="003322DB" w:rsidRPr="00825A64" w:rsidRDefault="003322D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825A64">
        <w:rPr>
          <w:i/>
          <w:szCs w:val="26"/>
        </w:rPr>
        <w:t>Realizar pruebas adicionales para valorar la capacidad de los aspirantes a los puestos de trabajo ofertados.</w:t>
      </w:r>
    </w:p>
    <w:p w:rsidR="003322DB" w:rsidRPr="00825A64" w:rsidRDefault="00825A64"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sidRPr="00825A64">
        <w:rPr>
          <w:i/>
          <w:szCs w:val="26"/>
        </w:rPr>
        <w:lastRenderedPageBreak/>
        <w:t xml:space="preserve">Aumentar la difusión de la publicidad de las ofertas de puestos de trabajo. </w:t>
      </w:r>
    </w:p>
    <w:p w:rsidR="00EF1AFB" w:rsidRPr="00AE4498" w:rsidRDefault="00EF1AFB" w:rsidP="00A52E61">
      <w:pPr>
        <w:pStyle w:val="atitulo2"/>
        <w:spacing w:before="240"/>
      </w:pPr>
      <w:bookmarkStart w:id="27" w:name="_Toc73013240"/>
      <w:bookmarkStart w:id="28" w:name="_Toc75427858"/>
      <w:r w:rsidRPr="00AE4498">
        <w:t>I</w:t>
      </w:r>
      <w:r w:rsidR="00226C80">
        <w:t>V</w:t>
      </w:r>
      <w:r w:rsidRPr="00AE4498">
        <w:t>.4</w:t>
      </w:r>
      <w:r w:rsidR="00CD732C">
        <w:t>.</w:t>
      </w:r>
      <w:r w:rsidRPr="00AE4498">
        <w:t xml:space="preserve"> </w:t>
      </w:r>
      <w:bookmarkEnd w:id="24"/>
      <w:r w:rsidRPr="00AE4498">
        <w:t>Conclusión final</w:t>
      </w:r>
      <w:bookmarkEnd w:id="27"/>
      <w:bookmarkEnd w:id="28"/>
      <w:r w:rsidRPr="00AE4498">
        <w:t xml:space="preserve"> </w:t>
      </w:r>
    </w:p>
    <w:p w:rsidR="00EF1AFB" w:rsidRDefault="00EF1AFB" w:rsidP="00EF1AFB">
      <w:pPr>
        <w:pStyle w:val="texto"/>
        <w:tabs>
          <w:tab w:val="left" w:pos="284"/>
        </w:tabs>
        <w:spacing w:after="120"/>
      </w:pPr>
      <w:r>
        <w:t>La Fundación es un organismo de apoyo científico y técnico de la ACFN p</w:t>
      </w:r>
      <w:r>
        <w:t>a</w:t>
      </w:r>
      <w:r>
        <w:t xml:space="preserve">ra la generación y difusión de conocimiento, fomento, impulso y desarrollo de la investigación e innovación en salud. La actividad de la Fundación en 2020 se centró en la realización de 129 proyectos y 217 ensayos clínicos. </w:t>
      </w:r>
    </w:p>
    <w:p w:rsidR="00EF1AFB" w:rsidRDefault="00EF1AFB" w:rsidP="00EF1AFB">
      <w:pPr>
        <w:pStyle w:val="texto"/>
        <w:tabs>
          <w:tab w:val="left" w:pos="284"/>
        </w:tabs>
        <w:spacing w:after="120"/>
      </w:pPr>
      <w:r>
        <w:t>En 2020 los gastos de la Fundación ascendieron a 6,70 millones de los cuales 4,21 millones (63 por ciento) correspondieron a gastos de personal; a 31 de d</w:t>
      </w:r>
      <w:r>
        <w:t>i</w:t>
      </w:r>
      <w:r>
        <w:t>ciembre de este ejercicio trabajaban en la Fundación 119 personas de las cuales 66 (55 por ciento) habían sido contratadas para proyectos de investigación co</w:t>
      </w:r>
      <w:r>
        <w:t>n</w:t>
      </w:r>
      <w:r>
        <w:t xml:space="preserve">cretos. </w:t>
      </w:r>
      <w:r w:rsidR="003322DB">
        <w:t>La financi</w:t>
      </w:r>
      <w:r>
        <w:t>ación obtenida</w:t>
      </w:r>
      <w:r w:rsidR="003322DB">
        <w:t xml:space="preserve"> por este organismo</w:t>
      </w:r>
      <w:r>
        <w:t xml:space="preserve"> fue de 8,4 millones, de los cuales, 5,14</w:t>
      </w:r>
      <w:r w:rsidR="003322DB">
        <w:t xml:space="preserve"> millones</w:t>
      </w:r>
      <w:r>
        <w:t xml:space="preserve"> proceden del ejercicio de su actividad investigadora y 3,50 </w:t>
      </w:r>
      <w:r w:rsidR="003322DB">
        <w:t xml:space="preserve">millones </w:t>
      </w:r>
      <w:r>
        <w:t>de la ACFN. Respecto a 2016, señalamos que los gastos e ingr</w:t>
      </w:r>
      <w:r>
        <w:t>e</w:t>
      </w:r>
      <w:r>
        <w:t>sos han seguido una tendencia creciente similar al aumentar un 41 y un 40 por ciento respectivamente.</w:t>
      </w:r>
    </w:p>
    <w:p w:rsidR="00EF1AFB" w:rsidRDefault="00EF1AFB" w:rsidP="00EF1AFB">
      <w:pPr>
        <w:pStyle w:val="texto"/>
        <w:tabs>
          <w:tab w:val="left" w:pos="284"/>
        </w:tabs>
        <w:spacing w:after="120"/>
      </w:pPr>
      <w:r>
        <w:t xml:space="preserve">La situación financiera de la Fundación ha mejorado significativamente en el periodo analizado con un incremento significativo de los fondos propios (275 por ciento), de la tesorería (270 por ciento) y de la financiación recibida (137 por ciento) tanto estructural por parte de la ACFN (159 por ciento) como la </w:t>
      </w:r>
      <w:r w:rsidR="00836FF7">
        <w:t>destinada a</w:t>
      </w:r>
      <w:r>
        <w:t xml:space="preserve"> la investigación</w:t>
      </w:r>
      <w:r w:rsidR="00836FF7">
        <w:t xml:space="preserve"> procedente de distintos organismos</w:t>
      </w:r>
      <w:r>
        <w:t xml:space="preserve"> (124 por cie</w:t>
      </w:r>
      <w:r>
        <w:t>n</w:t>
      </w:r>
      <w:r>
        <w:t xml:space="preserve">to). </w:t>
      </w:r>
    </w:p>
    <w:p w:rsidR="00EF1AFB" w:rsidRDefault="00EF1AFB" w:rsidP="00EF1AFB">
      <w:pPr>
        <w:pStyle w:val="texto"/>
        <w:tabs>
          <w:tab w:val="left" w:pos="284"/>
        </w:tabs>
        <w:spacing w:after="120"/>
      </w:pPr>
      <w:r>
        <w:t xml:space="preserve">Las cuentas anuales de 2020 de la Fundación han sido auditadas siendo la opinión favorable. </w:t>
      </w:r>
    </w:p>
    <w:p w:rsidR="00EF1AFB" w:rsidRDefault="00EF1AFB" w:rsidP="00EF1AFB">
      <w:pPr>
        <w:pStyle w:val="texto"/>
        <w:tabs>
          <w:tab w:val="left" w:pos="284"/>
        </w:tabs>
        <w:spacing w:after="120"/>
      </w:pPr>
      <w:r>
        <w:t xml:space="preserve">La Cámara de Comptos publicó en septiembre de 2016 un informe sobre la Fundación con 12 recomendaciones. Hemos constatado que se han implantado </w:t>
      </w:r>
      <w:r w:rsidR="00836FF7">
        <w:t>11 de las 12 que se formularon</w:t>
      </w:r>
      <w:r>
        <w:t>,</w:t>
      </w:r>
      <w:r w:rsidR="00836FF7">
        <w:t xml:space="preserve"> dado que la destinataria de una de ellas era la ACFN y no se ha incluido en el alcance de este trabajo,</w:t>
      </w:r>
      <w:r>
        <w:t xml:space="preserve"> si bien aún existe algún aspecto pendiente en el caso de las contrataciones de personal. </w:t>
      </w:r>
    </w:p>
    <w:p w:rsidR="002B1330" w:rsidRDefault="002B1330" w:rsidP="002B1330">
      <w:pPr>
        <w:pStyle w:val="texto"/>
      </w:pPr>
      <w:r w:rsidRPr="00F230CF">
        <w:t>Informe que se emite a propuesta de</w:t>
      </w:r>
      <w:r>
        <w:t xml:space="preserve"> </w:t>
      </w:r>
      <w:r w:rsidRPr="00F230CF">
        <w:t>l</w:t>
      </w:r>
      <w:r>
        <w:t>a</w:t>
      </w:r>
      <w:r w:rsidRPr="00F230CF">
        <w:t xml:space="preserve"> </w:t>
      </w:r>
      <w:r w:rsidRPr="002B1330">
        <w:t>auditora</w:t>
      </w:r>
      <w:r w:rsidRPr="00F230CF">
        <w:t xml:space="preserve"> </w:t>
      </w:r>
      <w:r>
        <w:t>Karen Moreno Orduña</w:t>
      </w:r>
      <w:r w:rsidRPr="00F230CF">
        <w:t>, re</w:t>
      </w:r>
      <w:r w:rsidRPr="00F230CF">
        <w:t>s</w:t>
      </w:r>
      <w:r w:rsidRPr="00F230CF">
        <w:t>ponsable de la realización de este trabajo, una vez cumplimentados los trámites previstos por la normativa vigente.</w:t>
      </w:r>
    </w:p>
    <w:p w:rsidR="004E0459" w:rsidRDefault="004E0459" w:rsidP="002B1330">
      <w:pPr>
        <w:pStyle w:val="texto"/>
      </w:pPr>
    </w:p>
    <w:p w:rsidR="002B1330" w:rsidRPr="003702EC" w:rsidRDefault="002B1330" w:rsidP="002B1330">
      <w:pPr>
        <w:tabs>
          <w:tab w:val="center" w:pos="540"/>
          <w:tab w:val="center" w:pos="3969"/>
          <w:tab w:val="center" w:pos="5103"/>
          <w:tab w:val="center" w:pos="6237"/>
          <w:tab w:val="center" w:pos="7371"/>
        </w:tabs>
        <w:spacing w:before="200" w:after="200"/>
        <w:ind w:firstLine="0"/>
        <w:jc w:val="center"/>
        <w:rPr>
          <w:spacing w:val="6"/>
          <w:sz w:val="26"/>
          <w:szCs w:val="24"/>
        </w:rPr>
      </w:pPr>
      <w:r w:rsidRPr="003702EC">
        <w:rPr>
          <w:spacing w:val="6"/>
          <w:sz w:val="26"/>
          <w:szCs w:val="24"/>
        </w:rPr>
        <w:t xml:space="preserve">Pamplona, </w:t>
      </w:r>
      <w:r w:rsidR="00ED14F5">
        <w:rPr>
          <w:spacing w:val="6"/>
          <w:sz w:val="26"/>
          <w:szCs w:val="24"/>
        </w:rPr>
        <w:t>2</w:t>
      </w:r>
      <w:r w:rsidR="00F21718">
        <w:rPr>
          <w:spacing w:val="6"/>
          <w:sz w:val="26"/>
          <w:szCs w:val="24"/>
        </w:rPr>
        <w:t>4</w:t>
      </w:r>
      <w:r w:rsidR="00ED14F5">
        <w:rPr>
          <w:spacing w:val="6"/>
          <w:sz w:val="26"/>
          <w:szCs w:val="24"/>
        </w:rPr>
        <w:t xml:space="preserve"> </w:t>
      </w:r>
      <w:r>
        <w:rPr>
          <w:spacing w:val="6"/>
          <w:sz w:val="26"/>
          <w:szCs w:val="24"/>
        </w:rPr>
        <w:t>de junio de 2021</w:t>
      </w:r>
    </w:p>
    <w:p w:rsidR="002B1330" w:rsidRPr="003702EC" w:rsidRDefault="002B1330" w:rsidP="002B1330">
      <w:pPr>
        <w:pStyle w:val="texto"/>
        <w:tabs>
          <w:tab w:val="clear" w:pos="2835"/>
          <w:tab w:val="clear" w:pos="3969"/>
          <w:tab w:val="clear" w:pos="5103"/>
          <w:tab w:val="clear" w:pos="6237"/>
          <w:tab w:val="clear" w:pos="7371"/>
        </w:tabs>
        <w:spacing w:after="80"/>
        <w:ind w:firstLine="0"/>
        <w:jc w:val="center"/>
        <w:rPr>
          <w:rFonts w:cs="Arial"/>
        </w:rPr>
      </w:pPr>
      <w:r w:rsidRPr="003702EC">
        <w:rPr>
          <w:rFonts w:cs="Arial"/>
        </w:rPr>
        <w:t xml:space="preserve">La </w:t>
      </w:r>
      <w:r>
        <w:rPr>
          <w:rFonts w:cs="Arial"/>
        </w:rPr>
        <w:t>presidenta,</w:t>
      </w:r>
    </w:p>
    <w:p w:rsidR="002B1330" w:rsidRPr="003702EC" w:rsidRDefault="002B1330" w:rsidP="002B1330">
      <w:pPr>
        <w:pStyle w:val="texto"/>
        <w:tabs>
          <w:tab w:val="clear" w:pos="2835"/>
          <w:tab w:val="clear" w:pos="3969"/>
          <w:tab w:val="clear" w:pos="5103"/>
          <w:tab w:val="clear" w:pos="6237"/>
          <w:tab w:val="clear" w:pos="7371"/>
        </w:tabs>
        <w:spacing w:after="80"/>
        <w:ind w:firstLine="0"/>
        <w:jc w:val="center"/>
        <w:rPr>
          <w:rFonts w:cs="Arial"/>
          <w:i/>
        </w:rPr>
      </w:pPr>
      <w:r>
        <w:rPr>
          <w:rFonts w:cs="Arial"/>
        </w:rPr>
        <w:t xml:space="preserve">Asunción Olaechea </w:t>
      </w:r>
      <w:proofErr w:type="spellStart"/>
      <w:r>
        <w:rPr>
          <w:rFonts w:cs="Arial"/>
        </w:rPr>
        <w:t>Estanga</w:t>
      </w:r>
      <w:proofErr w:type="spellEnd"/>
    </w:p>
    <w:p w:rsidR="00EF1AFB" w:rsidRDefault="00EF1AFB" w:rsidP="00EF1AFB">
      <w:pPr>
        <w:pStyle w:val="texto"/>
        <w:jc w:val="center"/>
        <w:sectPr w:rsidR="00EF1AFB" w:rsidSect="002509BE">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EF1AFB" w:rsidRDefault="00EF1AFB" w:rsidP="00EF1AFB">
      <w:pPr>
        <w:pStyle w:val="texto"/>
        <w:jc w:val="center"/>
      </w:pPr>
    </w:p>
    <w:p w:rsidR="00EF1AFB" w:rsidRDefault="00EF1AFB" w:rsidP="00EF1AFB">
      <w:pPr>
        <w:pStyle w:val="atitulo1"/>
        <w:jc w:val="right"/>
        <w:rPr>
          <w:rFonts w:eastAsiaTheme="minorHAnsi"/>
          <w:sz w:val="36"/>
          <w:szCs w:val="36"/>
        </w:rPr>
      </w:pPr>
    </w:p>
    <w:p w:rsidR="00EF1AFB" w:rsidRDefault="00EF1AFB" w:rsidP="00EF1AFB">
      <w:pPr>
        <w:pStyle w:val="atitulo1"/>
        <w:jc w:val="right"/>
        <w:rPr>
          <w:rFonts w:eastAsiaTheme="minorHAnsi"/>
          <w:sz w:val="36"/>
          <w:szCs w:val="36"/>
        </w:rPr>
      </w:pPr>
    </w:p>
    <w:p w:rsidR="005B54EC" w:rsidRDefault="005B54EC" w:rsidP="00EF1AFB">
      <w:pPr>
        <w:pStyle w:val="atitulo1"/>
        <w:jc w:val="right"/>
        <w:rPr>
          <w:rFonts w:eastAsiaTheme="minorHAnsi"/>
          <w:sz w:val="36"/>
          <w:szCs w:val="36"/>
        </w:rPr>
      </w:pPr>
    </w:p>
    <w:p w:rsidR="00EF1AFB" w:rsidRDefault="00EF1AFB" w:rsidP="00D43D82">
      <w:pPr>
        <w:pStyle w:val="atitulo1"/>
        <w:jc w:val="right"/>
        <w:rPr>
          <w:rFonts w:eastAsiaTheme="minorHAnsi"/>
          <w:sz w:val="36"/>
          <w:szCs w:val="36"/>
        </w:rPr>
        <w:sectPr w:rsidR="00EF1AFB" w:rsidSect="002509BE">
          <w:pgSz w:w="11907" w:h="16840" w:code="9"/>
          <w:pgMar w:top="2109" w:right="1559" w:bottom="1644" w:left="1559" w:header="369" w:footer="136" w:gutter="0"/>
          <w:cols w:space="720"/>
          <w:docGrid w:linePitch="360"/>
        </w:sectPr>
      </w:pPr>
      <w:bookmarkStart w:id="29" w:name="_Toc73013241"/>
      <w:bookmarkStart w:id="30" w:name="_Toc75427859"/>
      <w:r w:rsidRPr="00EC14AE">
        <w:rPr>
          <w:rFonts w:eastAsiaTheme="minorHAnsi"/>
          <w:sz w:val="36"/>
          <w:szCs w:val="36"/>
        </w:rPr>
        <w:t>Anexo</w:t>
      </w:r>
      <w:bookmarkEnd w:id="29"/>
      <w:bookmarkEnd w:id="30"/>
    </w:p>
    <w:p w:rsidR="00EF1AFB" w:rsidRPr="00D712E5" w:rsidRDefault="00A52E61" w:rsidP="00D712E5">
      <w:pPr>
        <w:pStyle w:val="atitulo2"/>
      </w:pPr>
      <w:bookmarkStart w:id="31" w:name="_Toc41485566"/>
      <w:bookmarkStart w:id="32" w:name="_Toc73013242"/>
      <w:bookmarkStart w:id="33" w:name="_Toc75427860"/>
      <w:r>
        <w:lastRenderedPageBreak/>
        <w:t>Anexo</w:t>
      </w:r>
      <w:r w:rsidR="00EF1AFB" w:rsidRPr="00D712E5">
        <w:t xml:space="preserve">. </w:t>
      </w:r>
      <w:bookmarkEnd w:id="31"/>
      <w:r w:rsidR="00EF1AFB" w:rsidRPr="00D712E5">
        <w:t>Conclusiones informe Cámara de Comptos sobre la Fundación Miguel Servet-</w:t>
      </w:r>
      <w:proofErr w:type="spellStart"/>
      <w:r w:rsidR="00EF1AFB" w:rsidRPr="00D712E5">
        <w:t>Navarrabiomed</w:t>
      </w:r>
      <w:proofErr w:type="spellEnd"/>
      <w:r w:rsidR="00EF1AFB" w:rsidRPr="00D712E5">
        <w:t xml:space="preserve"> (septiembre 2016)</w:t>
      </w:r>
      <w:bookmarkEnd w:id="5"/>
      <w:bookmarkEnd w:id="6"/>
      <w:bookmarkEnd w:id="7"/>
      <w:bookmarkEnd w:id="8"/>
      <w:bookmarkEnd w:id="9"/>
      <w:bookmarkEnd w:id="10"/>
      <w:bookmarkEnd w:id="32"/>
      <w:bookmarkEnd w:id="33"/>
    </w:p>
    <w:p w:rsidR="00EF1AFB" w:rsidRPr="009C7A6F" w:rsidRDefault="00EF1AFB" w:rsidP="007D2678">
      <w:pPr>
        <w:tabs>
          <w:tab w:val="center" w:pos="2835"/>
          <w:tab w:val="center" w:pos="3969"/>
          <w:tab w:val="center" w:pos="5103"/>
          <w:tab w:val="center" w:pos="6237"/>
          <w:tab w:val="center" w:pos="7371"/>
        </w:tabs>
        <w:ind w:firstLine="0"/>
        <w:rPr>
          <w:spacing w:val="6"/>
          <w:sz w:val="26"/>
          <w:szCs w:val="26"/>
        </w:rPr>
      </w:pPr>
      <w:r w:rsidRPr="009C7A6F">
        <w:rPr>
          <w:spacing w:val="6"/>
          <w:sz w:val="26"/>
          <w:szCs w:val="26"/>
        </w:rPr>
        <w:t>Del trabajo realizado se desprenden las siguientes conclusiones:</w:t>
      </w:r>
    </w:p>
    <w:p w:rsidR="00EF1AFB" w:rsidRPr="005C34EF" w:rsidRDefault="00EF1AFB" w:rsidP="00F123F9">
      <w:pPr>
        <w:pStyle w:val="atitulo3"/>
        <w:spacing w:before="240"/>
      </w:pPr>
      <w:r w:rsidRPr="005C34EF">
        <w:t>Sobre la organización</w:t>
      </w:r>
    </w:p>
    <w:p w:rsidR="00EF1AFB" w:rsidRPr="009C7A6F" w:rsidRDefault="00EF1AFB" w:rsidP="000F738A">
      <w:pPr>
        <w:pStyle w:val="texto"/>
        <w:rPr>
          <w:lang w:val="es-ES"/>
        </w:rPr>
      </w:pPr>
      <w:proofErr w:type="gramStart"/>
      <w:r w:rsidRPr="009C7A6F">
        <w:rPr>
          <w:b/>
          <w:lang w:val="es-ES"/>
        </w:rPr>
        <w:t>1.ª</w:t>
      </w:r>
      <w:proofErr w:type="gramEnd"/>
      <w:r w:rsidRPr="009C7A6F">
        <w:rPr>
          <w:b/>
          <w:lang w:val="es-ES"/>
        </w:rPr>
        <w:t xml:space="preserve">) </w:t>
      </w:r>
      <w:r w:rsidRPr="009C7A6F">
        <w:rPr>
          <w:lang w:val="es-ES"/>
        </w:rPr>
        <w:t>En los últimos años el Gobierno de Navarra ha impulsado la investig</w:t>
      </w:r>
      <w:r w:rsidRPr="009C7A6F">
        <w:rPr>
          <w:lang w:val="es-ES"/>
        </w:rPr>
        <w:t>a</w:t>
      </w:r>
      <w:r w:rsidRPr="009C7A6F">
        <w:rPr>
          <w:lang w:val="es-ES"/>
        </w:rPr>
        <w:t xml:space="preserve">ción en el ámbito sanitario con el fin de que constituya uno de los pilares del futuro económico de Navarra. En este sentido, puede citarse como aspectos más significativos la creación del </w:t>
      </w:r>
      <w:proofErr w:type="spellStart"/>
      <w:r w:rsidRPr="009C7A6F">
        <w:rPr>
          <w:lang w:val="es-ES"/>
        </w:rPr>
        <w:t>Navarrabiomed</w:t>
      </w:r>
      <w:proofErr w:type="spellEnd"/>
      <w:r w:rsidRPr="009C7A6F">
        <w:rPr>
          <w:lang w:val="es-ES"/>
        </w:rPr>
        <w:t xml:space="preserve">, los acuerdos para la puesta en marcha del </w:t>
      </w:r>
      <w:proofErr w:type="spellStart"/>
      <w:r w:rsidRPr="009C7A6F">
        <w:rPr>
          <w:lang w:val="es-ES"/>
        </w:rPr>
        <w:t>IdiSNA</w:t>
      </w:r>
      <w:proofErr w:type="spellEnd"/>
      <w:r w:rsidRPr="009C7A6F">
        <w:rPr>
          <w:lang w:val="es-ES"/>
        </w:rPr>
        <w:t xml:space="preserve"> y la construcción del edificio para sede</w:t>
      </w:r>
      <w:r w:rsidRPr="009C7A6F">
        <w:rPr>
          <w:color w:val="FF0000"/>
          <w:lang w:val="es-ES"/>
        </w:rPr>
        <w:t xml:space="preserve"> </w:t>
      </w:r>
      <w:r w:rsidRPr="009C7A6F">
        <w:rPr>
          <w:lang w:val="es-ES"/>
        </w:rPr>
        <w:t>del centro de inve</w:t>
      </w:r>
      <w:r w:rsidRPr="009C7A6F">
        <w:rPr>
          <w:lang w:val="es-ES"/>
        </w:rPr>
        <w:t>s</w:t>
      </w:r>
      <w:r w:rsidRPr="009C7A6F">
        <w:rPr>
          <w:lang w:val="es-ES"/>
        </w:rPr>
        <w:t xml:space="preserve">tigación en el recinto hospitalario. </w:t>
      </w:r>
    </w:p>
    <w:p w:rsidR="00EF1AFB" w:rsidRPr="009C7A6F" w:rsidRDefault="00EF1AFB" w:rsidP="000F738A">
      <w:pPr>
        <w:pStyle w:val="texto"/>
        <w:rPr>
          <w:lang w:val="es-ES"/>
        </w:rPr>
      </w:pPr>
      <w:r w:rsidRPr="009C7A6F">
        <w:rPr>
          <w:b/>
          <w:lang w:val="es-ES"/>
        </w:rPr>
        <w:t xml:space="preserve">2.ª) </w:t>
      </w:r>
      <w:r w:rsidRPr="009C7A6F">
        <w:rPr>
          <w:lang w:val="es-ES"/>
        </w:rPr>
        <w:t xml:space="preserve">A pesar de que hay diferentes planes de carácter general, la creación e implantación del </w:t>
      </w:r>
      <w:proofErr w:type="spellStart"/>
      <w:r w:rsidRPr="009C7A6F">
        <w:rPr>
          <w:lang w:val="es-ES"/>
        </w:rPr>
        <w:t>Navarrabiomed</w:t>
      </w:r>
      <w:proofErr w:type="spellEnd"/>
      <w:r w:rsidRPr="009C7A6F">
        <w:rPr>
          <w:lang w:val="es-ES"/>
        </w:rPr>
        <w:t xml:space="preserve"> no ha contado con un plan estratégico propio, lo que ha incidido en que no existieran unos objetivos concretos de la invest</w:t>
      </w:r>
      <w:r w:rsidRPr="009C7A6F">
        <w:rPr>
          <w:lang w:val="es-ES"/>
        </w:rPr>
        <w:t>i</w:t>
      </w:r>
      <w:r w:rsidRPr="009C7A6F">
        <w:rPr>
          <w:lang w:val="es-ES"/>
        </w:rPr>
        <w:t>gación, unos criterios definidos sobre cuál debería ser la estructura mínima para su funcionamiento, ni la forma de financiarlo.</w:t>
      </w:r>
    </w:p>
    <w:p w:rsidR="00EF1AFB" w:rsidRPr="009C7A6F" w:rsidRDefault="00EF1AFB" w:rsidP="004751FE">
      <w:pPr>
        <w:pStyle w:val="texto"/>
        <w:spacing w:before="240" w:after="240"/>
        <w:rPr>
          <w:lang w:val="es-ES"/>
        </w:rPr>
      </w:pPr>
      <w:proofErr w:type="gramStart"/>
      <w:r w:rsidRPr="009C7A6F">
        <w:rPr>
          <w:b/>
          <w:lang w:val="es-ES"/>
        </w:rPr>
        <w:t>3.ª</w:t>
      </w:r>
      <w:proofErr w:type="gramEnd"/>
      <w:r w:rsidRPr="009C7A6F">
        <w:rPr>
          <w:b/>
          <w:lang w:val="es-ES"/>
        </w:rPr>
        <w:t>)</w:t>
      </w:r>
      <w:r w:rsidRPr="009C7A6F">
        <w:rPr>
          <w:lang w:val="es-ES"/>
        </w:rPr>
        <w:t xml:space="preserve"> El mayor esfuerzo presupuestario ha recaído en la construcción del ed</w:t>
      </w:r>
      <w:r w:rsidRPr="009C7A6F">
        <w:rPr>
          <w:lang w:val="es-ES"/>
        </w:rPr>
        <w:t>i</w:t>
      </w:r>
      <w:r w:rsidRPr="009C7A6F">
        <w:rPr>
          <w:lang w:val="es-ES"/>
        </w:rPr>
        <w:t>ficio, 21,1 millones. El proyecto preveía su uso también como almacén y, te</w:t>
      </w:r>
      <w:r w:rsidRPr="009C7A6F">
        <w:rPr>
          <w:lang w:val="es-ES"/>
        </w:rPr>
        <w:t>m</w:t>
      </w:r>
      <w:r w:rsidRPr="009C7A6F">
        <w:rPr>
          <w:lang w:val="es-ES"/>
        </w:rPr>
        <w:t>poralmente, se ha instalado el laboratorio por lo que su utilización actual es la siguiente:</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970"/>
        <w:gridCol w:w="2257"/>
        <w:gridCol w:w="2562"/>
      </w:tblGrid>
      <w:tr w:rsidR="00EF1AFB" w:rsidRPr="009C7A6F" w:rsidTr="00DE3988">
        <w:trPr>
          <w:trHeight w:val="255"/>
          <w:jc w:val="center"/>
        </w:trPr>
        <w:tc>
          <w:tcPr>
            <w:tcW w:w="3970" w:type="dxa"/>
            <w:shd w:val="clear" w:color="auto" w:fill="8DB3E2" w:themeFill="text2" w:themeFillTint="66"/>
            <w:vAlign w:val="center"/>
          </w:tcPr>
          <w:p w:rsidR="00EF1AFB" w:rsidRPr="009C7A6F" w:rsidRDefault="00EF1AFB" w:rsidP="00943A26">
            <w:pPr>
              <w:pStyle w:val="cuadroCabe"/>
              <w:jc w:val="left"/>
              <w:rPr>
                <w:lang w:val="es-ES"/>
              </w:rPr>
            </w:pPr>
            <w:r w:rsidRPr="009C7A6F">
              <w:rPr>
                <w:lang w:val="es-ES"/>
              </w:rPr>
              <w:t>Destino</w:t>
            </w:r>
          </w:p>
        </w:tc>
        <w:tc>
          <w:tcPr>
            <w:tcW w:w="2257" w:type="dxa"/>
            <w:shd w:val="clear" w:color="auto" w:fill="8DB3E2" w:themeFill="text2" w:themeFillTint="66"/>
            <w:vAlign w:val="center"/>
          </w:tcPr>
          <w:p w:rsidR="00EF1AFB" w:rsidRPr="00DE3988" w:rsidRDefault="00EF1AFB" w:rsidP="00DE3988">
            <w:pPr>
              <w:pStyle w:val="cuadroCabe"/>
              <w:jc w:val="right"/>
              <w:rPr>
                <w:lang w:val="es-ES"/>
              </w:rPr>
            </w:pPr>
            <w:r w:rsidRPr="00DE3988">
              <w:rPr>
                <w:lang w:val="es-ES"/>
              </w:rPr>
              <w:t>Metros cuadrados</w:t>
            </w:r>
          </w:p>
        </w:tc>
        <w:tc>
          <w:tcPr>
            <w:tcW w:w="2562" w:type="dxa"/>
            <w:shd w:val="clear" w:color="auto" w:fill="8DB3E2" w:themeFill="text2" w:themeFillTint="66"/>
            <w:vAlign w:val="center"/>
          </w:tcPr>
          <w:p w:rsidR="00EF1AFB" w:rsidRPr="00DE3988" w:rsidRDefault="00EF1AFB" w:rsidP="00DE3988">
            <w:pPr>
              <w:pStyle w:val="cuadroCabe"/>
              <w:jc w:val="right"/>
              <w:rPr>
                <w:lang w:val="es-ES"/>
              </w:rPr>
            </w:pPr>
            <w:r w:rsidRPr="00DE3988">
              <w:rPr>
                <w:lang w:val="es-ES"/>
              </w:rPr>
              <w:t>Porcentaje</w:t>
            </w:r>
          </w:p>
        </w:tc>
      </w:tr>
      <w:tr w:rsidR="00EF1AFB" w:rsidRPr="009C7A6F" w:rsidTr="00DE3988">
        <w:trPr>
          <w:trHeight w:val="198"/>
          <w:jc w:val="center"/>
        </w:trPr>
        <w:tc>
          <w:tcPr>
            <w:tcW w:w="3970" w:type="dxa"/>
            <w:tcBorders>
              <w:bottom w:val="single" w:sz="2" w:space="0" w:color="auto"/>
            </w:tcBorders>
            <w:vAlign w:val="center"/>
          </w:tcPr>
          <w:p w:rsidR="00EF1AFB" w:rsidRPr="009C7A6F" w:rsidRDefault="00EF1AFB" w:rsidP="00943A26">
            <w:pPr>
              <w:pStyle w:val="cuatexto"/>
              <w:jc w:val="left"/>
              <w:rPr>
                <w:lang w:val="es-ES"/>
              </w:rPr>
            </w:pPr>
            <w:proofErr w:type="spellStart"/>
            <w:r w:rsidRPr="009C7A6F">
              <w:rPr>
                <w:lang w:val="es-ES"/>
              </w:rPr>
              <w:t>Navarrabiomed</w:t>
            </w:r>
            <w:proofErr w:type="spellEnd"/>
          </w:p>
        </w:tc>
        <w:tc>
          <w:tcPr>
            <w:tcW w:w="2257" w:type="dxa"/>
            <w:tcBorders>
              <w:bottom w:val="single" w:sz="2" w:space="0" w:color="auto"/>
            </w:tcBorders>
            <w:vAlign w:val="center"/>
          </w:tcPr>
          <w:p w:rsidR="00EF1AFB" w:rsidRPr="009C7A6F" w:rsidRDefault="00EF1AFB" w:rsidP="00943A26">
            <w:pPr>
              <w:pStyle w:val="cuatexto"/>
              <w:jc w:val="right"/>
              <w:rPr>
                <w:lang w:val="es-ES"/>
              </w:rPr>
            </w:pPr>
            <w:r w:rsidRPr="009C7A6F">
              <w:rPr>
                <w:lang w:val="es-ES"/>
              </w:rPr>
              <w:t>3.972</w:t>
            </w:r>
          </w:p>
        </w:tc>
        <w:tc>
          <w:tcPr>
            <w:tcW w:w="2562" w:type="dxa"/>
            <w:tcBorders>
              <w:bottom w:val="single" w:sz="2" w:space="0" w:color="auto"/>
            </w:tcBorders>
            <w:vAlign w:val="center"/>
          </w:tcPr>
          <w:p w:rsidR="00EF1AFB" w:rsidRPr="009C7A6F" w:rsidRDefault="00EF1AFB" w:rsidP="00943A26">
            <w:pPr>
              <w:pStyle w:val="cuatexto"/>
              <w:jc w:val="right"/>
              <w:rPr>
                <w:lang w:val="es-ES"/>
              </w:rPr>
            </w:pPr>
            <w:r w:rsidRPr="009C7A6F">
              <w:rPr>
                <w:lang w:val="es-ES"/>
              </w:rPr>
              <w:t>34</w:t>
            </w:r>
          </w:p>
        </w:tc>
      </w:tr>
      <w:tr w:rsidR="00EF1AFB" w:rsidRPr="009C7A6F" w:rsidTr="00DE3988">
        <w:trPr>
          <w:trHeight w:val="198"/>
          <w:jc w:val="center"/>
        </w:trPr>
        <w:tc>
          <w:tcPr>
            <w:tcW w:w="3970" w:type="dxa"/>
            <w:tcBorders>
              <w:top w:val="single" w:sz="2" w:space="0" w:color="auto"/>
              <w:bottom w:val="single" w:sz="2" w:space="0" w:color="auto"/>
            </w:tcBorders>
            <w:vAlign w:val="center"/>
          </w:tcPr>
          <w:p w:rsidR="00EF1AFB" w:rsidRPr="009C7A6F" w:rsidRDefault="00EF1AFB" w:rsidP="00943A26">
            <w:pPr>
              <w:pStyle w:val="cuatexto"/>
              <w:jc w:val="left"/>
              <w:rPr>
                <w:lang w:val="es-ES"/>
              </w:rPr>
            </w:pPr>
            <w:r w:rsidRPr="009C7A6F">
              <w:rPr>
                <w:lang w:val="es-ES"/>
              </w:rPr>
              <w:t>Laboratorio</w:t>
            </w:r>
          </w:p>
        </w:tc>
        <w:tc>
          <w:tcPr>
            <w:tcW w:w="2257" w:type="dxa"/>
            <w:tcBorders>
              <w:top w:val="single" w:sz="2" w:space="0" w:color="auto"/>
              <w:bottom w:val="single" w:sz="2" w:space="0" w:color="auto"/>
            </w:tcBorders>
            <w:vAlign w:val="center"/>
          </w:tcPr>
          <w:p w:rsidR="00EF1AFB" w:rsidRPr="009C7A6F" w:rsidRDefault="00EF1AFB" w:rsidP="00943A26">
            <w:pPr>
              <w:pStyle w:val="cuatexto"/>
              <w:jc w:val="right"/>
              <w:rPr>
                <w:lang w:val="es-ES"/>
              </w:rPr>
            </w:pPr>
            <w:r w:rsidRPr="009C7A6F">
              <w:rPr>
                <w:lang w:val="es-ES"/>
              </w:rPr>
              <w:t>2.637</w:t>
            </w:r>
          </w:p>
        </w:tc>
        <w:tc>
          <w:tcPr>
            <w:tcW w:w="2562" w:type="dxa"/>
            <w:tcBorders>
              <w:top w:val="single" w:sz="2" w:space="0" w:color="auto"/>
              <w:bottom w:val="single" w:sz="2" w:space="0" w:color="auto"/>
            </w:tcBorders>
            <w:vAlign w:val="center"/>
          </w:tcPr>
          <w:p w:rsidR="00EF1AFB" w:rsidRPr="009C7A6F" w:rsidRDefault="00EF1AFB" w:rsidP="00943A26">
            <w:pPr>
              <w:pStyle w:val="cuatexto"/>
              <w:jc w:val="right"/>
              <w:rPr>
                <w:lang w:val="es-ES"/>
              </w:rPr>
            </w:pPr>
            <w:r w:rsidRPr="009C7A6F">
              <w:rPr>
                <w:lang w:val="es-ES"/>
              </w:rPr>
              <w:t>22</w:t>
            </w:r>
          </w:p>
        </w:tc>
      </w:tr>
      <w:tr w:rsidR="00EF1AFB" w:rsidRPr="009C7A6F" w:rsidTr="00DE3988">
        <w:trPr>
          <w:trHeight w:val="198"/>
          <w:jc w:val="center"/>
        </w:trPr>
        <w:tc>
          <w:tcPr>
            <w:tcW w:w="3970" w:type="dxa"/>
            <w:tcBorders>
              <w:top w:val="single" w:sz="2" w:space="0" w:color="auto"/>
              <w:bottom w:val="single" w:sz="2" w:space="0" w:color="auto"/>
            </w:tcBorders>
            <w:vAlign w:val="center"/>
          </w:tcPr>
          <w:p w:rsidR="00EF1AFB" w:rsidRPr="009C7A6F" w:rsidRDefault="00EF1AFB" w:rsidP="00943A26">
            <w:pPr>
              <w:pStyle w:val="cuatexto"/>
              <w:jc w:val="left"/>
              <w:rPr>
                <w:lang w:val="es-ES"/>
              </w:rPr>
            </w:pPr>
            <w:r w:rsidRPr="009C7A6F">
              <w:rPr>
                <w:lang w:val="es-ES"/>
              </w:rPr>
              <w:t>Almacén</w:t>
            </w:r>
          </w:p>
        </w:tc>
        <w:tc>
          <w:tcPr>
            <w:tcW w:w="2257" w:type="dxa"/>
            <w:tcBorders>
              <w:top w:val="single" w:sz="2" w:space="0" w:color="auto"/>
              <w:bottom w:val="single" w:sz="2" w:space="0" w:color="auto"/>
            </w:tcBorders>
            <w:vAlign w:val="center"/>
          </w:tcPr>
          <w:p w:rsidR="00EF1AFB" w:rsidRPr="009C7A6F" w:rsidRDefault="00EF1AFB" w:rsidP="00943A26">
            <w:pPr>
              <w:pStyle w:val="cuatexto"/>
              <w:jc w:val="right"/>
              <w:rPr>
                <w:lang w:val="es-ES"/>
              </w:rPr>
            </w:pPr>
            <w:r w:rsidRPr="009C7A6F">
              <w:rPr>
                <w:lang w:val="es-ES"/>
              </w:rPr>
              <w:t>2.379</w:t>
            </w:r>
          </w:p>
        </w:tc>
        <w:tc>
          <w:tcPr>
            <w:tcW w:w="2562" w:type="dxa"/>
            <w:tcBorders>
              <w:top w:val="single" w:sz="2" w:space="0" w:color="auto"/>
              <w:bottom w:val="single" w:sz="2" w:space="0" w:color="auto"/>
            </w:tcBorders>
            <w:vAlign w:val="center"/>
          </w:tcPr>
          <w:p w:rsidR="00EF1AFB" w:rsidRPr="009C7A6F" w:rsidRDefault="00EF1AFB" w:rsidP="00943A26">
            <w:pPr>
              <w:pStyle w:val="cuatexto"/>
              <w:jc w:val="right"/>
              <w:rPr>
                <w:lang w:val="es-ES"/>
              </w:rPr>
            </w:pPr>
            <w:r w:rsidRPr="009C7A6F">
              <w:rPr>
                <w:lang w:val="es-ES"/>
              </w:rPr>
              <w:t>20</w:t>
            </w:r>
          </w:p>
        </w:tc>
      </w:tr>
      <w:tr w:rsidR="00EF1AFB" w:rsidRPr="009C7A6F" w:rsidTr="00DE3988">
        <w:trPr>
          <w:trHeight w:val="198"/>
          <w:jc w:val="center"/>
        </w:trPr>
        <w:tc>
          <w:tcPr>
            <w:tcW w:w="3970" w:type="dxa"/>
            <w:tcBorders>
              <w:top w:val="single" w:sz="2" w:space="0" w:color="auto"/>
              <w:bottom w:val="single" w:sz="2" w:space="0" w:color="auto"/>
            </w:tcBorders>
            <w:vAlign w:val="center"/>
          </w:tcPr>
          <w:p w:rsidR="00EF1AFB" w:rsidRPr="009C7A6F" w:rsidRDefault="00EF1AFB" w:rsidP="00943A26">
            <w:pPr>
              <w:pStyle w:val="cuatexto"/>
              <w:jc w:val="left"/>
              <w:rPr>
                <w:lang w:val="es-ES"/>
              </w:rPr>
            </w:pPr>
            <w:r w:rsidRPr="009C7A6F">
              <w:rPr>
                <w:lang w:val="es-ES"/>
              </w:rPr>
              <w:t>Biblioteca</w:t>
            </w:r>
          </w:p>
        </w:tc>
        <w:tc>
          <w:tcPr>
            <w:tcW w:w="2257" w:type="dxa"/>
            <w:tcBorders>
              <w:top w:val="single" w:sz="2" w:space="0" w:color="auto"/>
              <w:bottom w:val="single" w:sz="2" w:space="0" w:color="auto"/>
            </w:tcBorders>
            <w:vAlign w:val="center"/>
          </w:tcPr>
          <w:p w:rsidR="00EF1AFB" w:rsidRPr="009C7A6F" w:rsidRDefault="00EF1AFB" w:rsidP="00943A26">
            <w:pPr>
              <w:pStyle w:val="cuatexto"/>
              <w:jc w:val="right"/>
              <w:rPr>
                <w:lang w:val="es-ES"/>
              </w:rPr>
            </w:pPr>
            <w:r w:rsidRPr="009C7A6F">
              <w:rPr>
                <w:lang w:val="es-ES"/>
              </w:rPr>
              <w:t>375</w:t>
            </w:r>
          </w:p>
        </w:tc>
        <w:tc>
          <w:tcPr>
            <w:tcW w:w="2562" w:type="dxa"/>
            <w:tcBorders>
              <w:top w:val="single" w:sz="2" w:space="0" w:color="auto"/>
              <w:bottom w:val="single" w:sz="2" w:space="0" w:color="auto"/>
            </w:tcBorders>
            <w:vAlign w:val="center"/>
          </w:tcPr>
          <w:p w:rsidR="00EF1AFB" w:rsidRPr="009C7A6F" w:rsidRDefault="00EF1AFB" w:rsidP="00943A26">
            <w:pPr>
              <w:pStyle w:val="cuatexto"/>
              <w:jc w:val="right"/>
              <w:rPr>
                <w:lang w:val="es-ES"/>
              </w:rPr>
            </w:pPr>
            <w:r w:rsidRPr="009C7A6F">
              <w:rPr>
                <w:lang w:val="es-ES"/>
              </w:rPr>
              <w:t>3</w:t>
            </w:r>
          </w:p>
        </w:tc>
      </w:tr>
      <w:tr w:rsidR="00EF1AFB" w:rsidRPr="009C7A6F" w:rsidTr="00DE3988">
        <w:trPr>
          <w:trHeight w:val="198"/>
          <w:jc w:val="center"/>
        </w:trPr>
        <w:tc>
          <w:tcPr>
            <w:tcW w:w="3970" w:type="dxa"/>
            <w:tcBorders>
              <w:top w:val="single" w:sz="2" w:space="0" w:color="auto"/>
            </w:tcBorders>
            <w:vAlign w:val="center"/>
          </w:tcPr>
          <w:p w:rsidR="00EF1AFB" w:rsidRPr="009C7A6F" w:rsidRDefault="00EF1AFB" w:rsidP="00943A26">
            <w:pPr>
              <w:pStyle w:val="cuatexto"/>
              <w:jc w:val="left"/>
              <w:rPr>
                <w:lang w:val="es-ES"/>
              </w:rPr>
            </w:pPr>
            <w:r w:rsidRPr="009C7A6F">
              <w:rPr>
                <w:lang w:val="es-ES"/>
              </w:rPr>
              <w:t>Comunes</w:t>
            </w:r>
          </w:p>
        </w:tc>
        <w:tc>
          <w:tcPr>
            <w:tcW w:w="2257" w:type="dxa"/>
            <w:tcBorders>
              <w:top w:val="single" w:sz="2" w:space="0" w:color="auto"/>
            </w:tcBorders>
            <w:vAlign w:val="center"/>
          </w:tcPr>
          <w:p w:rsidR="00EF1AFB" w:rsidRPr="009C7A6F" w:rsidRDefault="00EF1AFB" w:rsidP="00943A26">
            <w:pPr>
              <w:pStyle w:val="cuatexto"/>
              <w:jc w:val="right"/>
              <w:rPr>
                <w:lang w:val="es-ES"/>
              </w:rPr>
            </w:pPr>
            <w:r w:rsidRPr="009C7A6F">
              <w:rPr>
                <w:lang w:val="es-ES"/>
              </w:rPr>
              <w:t>2.402</w:t>
            </w:r>
          </w:p>
        </w:tc>
        <w:tc>
          <w:tcPr>
            <w:tcW w:w="2562" w:type="dxa"/>
            <w:tcBorders>
              <w:top w:val="single" w:sz="2" w:space="0" w:color="auto"/>
            </w:tcBorders>
            <w:vAlign w:val="center"/>
          </w:tcPr>
          <w:p w:rsidR="00EF1AFB" w:rsidRPr="009C7A6F" w:rsidRDefault="00EF1AFB" w:rsidP="00943A26">
            <w:pPr>
              <w:pStyle w:val="cuatexto"/>
              <w:jc w:val="right"/>
              <w:rPr>
                <w:lang w:val="es-ES"/>
              </w:rPr>
            </w:pPr>
            <w:r w:rsidRPr="009C7A6F">
              <w:rPr>
                <w:lang w:val="es-ES"/>
              </w:rPr>
              <w:t>21</w:t>
            </w:r>
          </w:p>
        </w:tc>
      </w:tr>
      <w:tr w:rsidR="00EF1AFB" w:rsidRPr="009C7A6F" w:rsidTr="00DE3988">
        <w:trPr>
          <w:trHeight w:val="255"/>
          <w:jc w:val="center"/>
        </w:trPr>
        <w:tc>
          <w:tcPr>
            <w:tcW w:w="3970" w:type="dxa"/>
            <w:shd w:val="clear" w:color="auto" w:fill="8DB3E2" w:themeFill="text2" w:themeFillTint="66"/>
            <w:vAlign w:val="center"/>
          </w:tcPr>
          <w:p w:rsidR="00EF1AFB" w:rsidRPr="009C7A6F" w:rsidRDefault="00EF1AFB" w:rsidP="00943A26">
            <w:pPr>
              <w:pStyle w:val="cuadroCabe"/>
              <w:jc w:val="left"/>
              <w:rPr>
                <w:lang w:val="es-ES"/>
              </w:rPr>
            </w:pPr>
            <w:r w:rsidRPr="009C7A6F">
              <w:rPr>
                <w:lang w:val="es-ES"/>
              </w:rPr>
              <w:t>Total</w:t>
            </w:r>
          </w:p>
        </w:tc>
        <w:tc>
          <w:tcPr>
            <w:tcW w:w="2257" w:type="dxa"/>
            <w:shd w:val="clear" w:color="auto" w:fill="8DB3E2" w:themeFill="text2" w:themeFillTint="66"/>
            <w:vAlign w:val="center"/>
          </w:tcPr>
          <w:p w:rsidR="00EF1AFB" w:rsidRPr="009C7A6F" w:rsidRDefault="00EF1AFB" w:rsidP="00943A26">
            <w:pPr>
              <w:pStyle w:val="cuadroCabe"/>
              <w:jc w:val="right"/>
              <w:rPr>
                <w:lang w:val="es-ES"/>
              </w:rPr>
            </w:pPr>
            <w:r w:rsidRPr="009C7A6F">
              <w:rPr>
                <w:lang w:val="es-ES"/>
              </w:rPr>
              <w:t>11.765</w:t>
            </w:r>
          </w:p>
        </w:tc>
        <w:tc>
          <w:tcPr>
            <w:tcW w:w="2562" w:type="dxa"/>
            <w:shd w:val="clear" w:color="auto" w:fill="8DB3E2" w:themeFill="text2" w:themeFillTint="66"/>
            <w:vAlign w:val="center"/>
          </w:tcPr>
          <w:p w:rsidR="00EF1AFB" w:rsidRPr="009C7A6F" w:rsidRDefault="00EF1AFB" w:rsidP="00943A26">
            <w:pPr>
              <w:pStyle w:val="cuadroCabe"/>
              <w:jc w:val="right"/>
              <w:rPr>
                <w:lang w:val="es-ES"/>
              </w:rPr>
            </w:pPr>
            <w:r w:rsidRPr="009C7A6F">
              <w:rPr>
                <w:lang w:val="es-ES"/>
              </w:rPr>
              <w:t>100</w:t>
            </w:r>
          </w:p>
        </w:tc>
      </w:tr>
    </w:tbl>
    <w:p w:rsidR="00EF1AFB" w:rsidRPr="009C7A6F" w:rsidRDefault="00EF1AFB" w:rsidP="00EF1AFB">
      <w:pPr>
        <w:tabs>
          <w:tab w:val="center" w:pos="2835"/>
          <w:tab w:val="center" w:pos="3969"/>
          <w:tab w:val="center" w:pos="5103"/>
          <w:tab w:val="center" w:pos="6237"/>
          <w:tab w:val="center" w:pos="7371"/>
        </w:tabs>
        <w:spacing w:before="240"/>
        <w:ind w:firstLine="284"/>
        <w:rPr>
          <w:spacing w:val="6"/>
          <w:sz w:val="26"/>
          <w:szCs w:val="24"/>
          <w:lang w:val="es-ES"/>
        </w:rPr>
      </w:pPr>
      <w:r w:rsidRPr="009C7A6F">
        <w:rPr>
          <w:spacing w:val="6"/>
          <w:sz w:val="26"/>
          <w:szCs w:val="24"/>
          <w:lang w:val="es-ES"/>
        </w:rPr>
        <w:t>Resulta significativo que la calificación energética del edificio es “G”, es decir, la menos eficiente.</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6"/>
        </w:rPr>
      </w:pPr>
      <w:proofErr w:type="gramStart"/>
      <w:r w:rsidRPr="009C7A6F">
        <w:rPr>
          <w:b/>
          <w:spacing w:val="6"/>
          <w:sz w:val="26"/>
          <w:szCs w:val="26"/>
        </w:rPr>
        <w:t>4.ª</w:t>
      </w:r>
      <w:proofErr w:type="gramEnd"/>
      <w:r w:rsidRPr="009C7A6F">
        <w:rPr>
          <w:b/>
          <w:spacing w:val="6"/>
          <w:sz w:val="26"/>
          <w:szCs w:val="26"/>
        </w:rPr>
        <w:t>)</w:t>
      </w:r>
      <w:r w:rsidRPr="009C7A6F">
        <w:rPr>
          <w:spacing w:val="6"/>
          <w:sz w:val="26"/>
          <w:szCs w:val="26"/>
        </w:rPr>
        <w:t xml:space="preserve"> Navarra no cuenta con un instituto de investigación acreditado. La col</w:t>
      </w:r>
      <w:r w:rsidRPr="009C7A6F">
        <w:rPr>
          <w:spacing w:val="6"/>
          <w:sz w:val="26"/>
          <w:szCs w:val="26"/>
        </w:rPr>
        <w:t>a</w:t>
      </w:r>
      <w:r w:rsidRPr="009C7A6F">
        <w:rPr>
          <w:spacing w:val="6"/>
          <w:sz w:val="26"/>
          <w:szCs w:val="26"/>
        </w:rPr>
        <w:t xml:space="preserve">boración del Departamento de Salud y la Universidad de Navarra es la forma de garantizar para Navarra la acreditación de un centro de Investigación sanitaria que permita un más fácil acceso a los fondos que el Instituto Carlos III otorga a la investigación sanitaria. Por ello </w:t>
      </w:r>
      <w:r w:rsidRPr="009C7A6F">
        <w:rPr>
          <w:spacing w:val="6"/>
          <w:sz w:val="26"/>
          <w:szCs w:val="24"/>
          <w:lang w:val="es-ES"/>
        </w:rPr>
        <w:t xml:space="preserve">y dado que no se cumplían los requisitos exigidos, </w:t>
      </w:r>
      <w:r w:rsidRPr="009C7A6F">
        <w:rPr>
          <w:spacing w:val="6"/>
          <w:sz w:val="26"/>
          <w:szCs w:val="26"/>
        </w:rPr>
        <w:t xml:space="preserve">se ha activado en 2014 el </w:t>
      </w:r>
      <w:proofErr w:type="spellStart"/>
      <w:r w:rsidRPr="009C7A6F">
        <w:rPr>
          <w:spacing w:val="6"/>
          <w:sz w:val="26"/>
          <w:szCs w:val="26"/>
        </w:rPr>
        <w:t>IdiSNA</w:t>
      </w:r>
      <w:proofErr w:type="spellEnd"/>
      <w:r w:rsidRPr="009C7A6F">
        <w:rPr>
          <w:spacing w:val="6"/>
          <w:sz w:val="26"/>
          <w:szCs w:val="26"/>
        </w:rPr>
        <w:t xml:space="preserve">, que </w:t>
      </w:r>
      <w:r w:rsidRPr="009C7A6F">
        <w:rPr>
          <w:spacing w:val="6"/>
          <w:sz w:val="26"/>
          <w:szCs w:val="24"/>
          <w:lang w:val="es-ES"/>
        </w:rPr>
        <w:t xml:space="preserve">ha solicitado la acreditación, cuenta con </w:t>
      </w:r>
      <w:proofErr w:type="gramStart"/>
      <w:r w:rsidRPr="009C7A6F">
        <w:rPr>
          <w:spacing w:val="6"/>
          <w:sz w:val="26"/>
          <w:szCs w:val="24"/>
          <w:lang w:val="es-ES"/>
        </w:rPr>
        <w:t>la</w:t>
      </w:r>
      <w:proofErr w:type="gramEnd"/>
      <w:r w:rsidRPr="009C7A6F">
        <w:rPr>
          <w:spacing w:val="6"/>
          <w:sz w:val="26"/>
          <w:szCs w:val="24"/>
          <w:lang w:val="es-ES"/>
        </w:rPr>
        <w:t xml:space="preserve"> pre auditoría favorable, y, en 2015, ha conseguido financiación para proyectos</w:t>
      </w:r>
      <w:r w:rsidRPr="009C7A6F">
        <w:rPr>
          <w:b/>
          <w:spacing w:val="6"/>
          <w:sz w:val="26"/>
          <w:szCs w:val="24"/>
          <w:lang w:val="es-ES"/>
        </w:rPr>
        <w:t>.</w:t>
      </w:r>
    </w:p>
    <w:p w:rsidR="00943A26" w:rsidRPr="009C7A6F" w:rsidRDefault="00EF1AFB" w:rsidP="00943A26">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spacing w:val="6"/>
          <w:sz w:val="26"/>
          <w:szCs w:val="26"/>
        </w:rPr>
        <w:t>Este</w:t>
      </w:r>
      <w:r w:rsidRPr="009C7A6F">
        <w:rPr>
          <w:spacing w:val="6"/>
          <w:sz w:val="26"/>
          <w:szCs w:val="24"/>
          <w:lang w:val="es-ES"/>
        </w:rPr>
        <w:t xml:space="preserve"> complejo modelo, en el que coexisten el centro de investigación públ</w:t>
      </w:r>
      <w:r w:rsidRPr="009C7A6F">
        <w:rPr>
          <w:spacing w:val="6"/>
          <w:sz w:val="26"/>
          <w:szCs w:val="24"/>
          <w:lang w:val="es-ES"/>
        </w:rPr>
        <w:t>i</w:t>
      </w:r>
      <w:r w:rsidRPr="009C7A6F">
        <w:rPr>
          <w:spacing w:val="6"/>
          <w:sz w:val="26"/>
          <w:szCs w:val="24"/>
          <w:lang w:val="es-ES"/>
        </w:rPr>
        <w:t xml:space="preserve">ca, el privado de la universidad y el conjunto mediante el </w:t>
      </w:r>
      <w:proofErr w:type="spellStart"/>
      <w:r w:rsidRPr="009C7A6F">
        <w:rPr>
          <w:spacing w:val="6"/>
          <w:sz w:val="26"/>
          <w:szCs w:val="24"/>
          <w:lang w:val="es-ES"/>
        </w:rPr>
        <w:t>IdiSNA</w:t>
      </w:r>
      <w:proofErr w:type="spellEnd"/>
      <w:r w:rsidRPr="009C7A6F">
        <w:rPr>
          <w:spacing w:val="6"/>
          <w:sz w:val="26"/>
          <w:szCs w:val="24"/>
          <w:lang w:val="es-ES"/>
        </w:rPr>
        <w:t xml:space="preserve">, cuenta con </w:t>
      </w:r>
      <w:r w:rsidRPr="009C7A6F">
        <w:rPr>
          <w:spacing w:val="6"/>
          <w:sz w:val="26"/>
          <w:szCs w:val="24"/>
          <w:lang w:val="es-ES"/>
        </w:rPr>
        <w:lastRenderedPageBreak/>
        <w:t>los correspondientes acuerdos y convenios de funcionamiento, aunque ente</w:t>
      </w:r>
      <w:r w:rsidRPr="009C7A6F">
        <w:rPr>
          <w:spacing w:val="6"/>
          <w:sz w:val="26"/>
          <w:szCs w:val="24"/>
          <w:lang w:val="es-ES"/>
        </w:rPr>
        <w:t>n</w:t>
      </w:r>
      <w:r w:rsidRPr="009C7A6F">
        <w:rPr>
          <w:spacing w:val="6"/>
          <w:sz w:val="26"/>
          <w:szCs w:val="24"/>
          <w:lang w:val="es-ES"/>
        </w:rPr>
        <w:t>demos que quedan pendientes de definir y concretar los procedimientos adm</w:t>
      </w:r>
      <w:r w:rsidRPr="009C7A6F">
        <w:rPr>
          <w:spacing w:val="6"/>
          <w:sz w:val="26"/>
          <w:szCs w:val="24"/>
          <w:lang w:val="es-ES"/>
        </w:rPr>
        <w:t>i</w:t>
      </w:r>
      <w:r w:rsidRPr="009C7A6F">
        <w:rPr>
          <w:spacing w:val="6"/>
          <w:sz w:val="26"/>
          <w:szCs w:val="24"/>
          <w:lang w:val="es-ES"/>
        </w:rPr>
        <w:t>nistrativos de funcionamiento.</w:t>
      </w:r>
    </w:p>
    <w:p w:rsidR="00EF1AFB" w:rsidRPr="009C7A6F" w:rsidRDefault="00EF1AFB" w:rsidP="00F123F9">
      <w:pPr>
        <w:pStyle w:val="atitulo3"/>
      </w:pPr>
      <w:r w:rsidRPr="009C7A6F">
        <w:t>Sobre las cuentas de la fundación y la financiación</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4"/>
          <w:lang w:val="es-ES"/>
        </w:rPr>
      </w:pPr>
      <w:proofErr w:type="gramStart"/>
      <w:r w:rsidRPr="009C7A6F">
        <w:rPr>
          <w:b/>
          <w:spacing w:val="6"/>
          <w:sz w:val="26"/>
          <w:szCs w:val="24"/>
          <w:lang w:val="es-ES"/>
        </w:rPr>
        <w:t>5.ª</w:t>
      </w:r>
      <w:proofErr w:type="gramEnd"/>
      <w:r w:rsidRPr="009C7A6F">
        <w:rPr>
          <w:b/>
          <w:spacing w:val="6"/>
          <w:sz w:val="26"/>
          <w:szCs w:val="24"/>
          <w:lang w:val="es-ES"/>
        </w:rPr>
        <w:t>)</w:t>
      </w:r>
      <w:r w:rsidRPr="009C7A6F">
        <w:rPr>
          <w:spacing w:val="6"/>
          <w:sz w:val="26"/>
          <w:szCs w:val="24"/>
          <w:lang w:val="es-ES"/>
        </w:rPr>
        <w:t xml:space="preserve"> Las cuentas de la Fundación Miguel Servet </w:t>
      </w:r>
      <w:proofErr w:type="spellStart"/>
      <w:r w:rsidRPr="009C7A6F">
        <w:rPr>
          <w:spacing w:val="6"/>
          <w:sz w:val="26"/>
          <w:szCs w:val="24"/>
          <w:lang w:val="es-ES"/>
        </w:rPr>
        <w:t>Navarrabiomed</w:t>
      </w:r>
      <w:proofErr w:type="spellEnd"/>
      <w:r w:rsidRPr="009C7A6F">
        <w:rPr>
          <w:spacing w:val="6"/>
          <w:sz w:val="26"/>
          <w:szCs w:val="24"/>
          <w:lang w:val="es-ES"/>
        </w:rPr>
        <w:t xml:space="preserve"> son audit</w:t>
      </w:r>
      <w:r w:rsidRPr="009C7A6F">
        <w:rPr>
          <w:spacing w:val="6"/>
          <w:sz w:val="26"/>
          <w:szCs w:val="24"/>
          <w:lang w:val="es-ES"/>
        </w:rPr>
        <w:t>a</w:t>
      </w:r>
      <w:r w:rsidRPr="009C7A6F">
        <w:rPr>
          <w:spacing w:val="6"/>
          <w:sz w:val="26"/>
          <w:szCs w:val="24"/>
          <w:lang w:val="es-ES"/>
        </w:rPr>
        <w:t>das por una firma externa que, en todos los años, emite una opinión favorable.</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6"/>
        </w:rPr>
      </w:pPr>
      <w:proofErr w:type="gramStart"/>
      <w:r w:rsidRPr="009C7A6F">
        <w:rPr>
          <w:b/>
          <w:spacing w:val="6"/>
          <w:sz w:val="26"/>
          <w:szCs w:val="26"/>
        </w:rPr>
        <w:t>6.ª</w:t>
      </w:r>
      <w:proofErr w:type="gramEnd"/>
      <w:r w:rsidRPr="009C7A6F">
        <w:rPr>
          <w:b/>
          <w:spacing w:val="6"/>
          <w:sz w:val="26"/>
          <w:szCs w:val="26"/>
        </w:rPr>
        <w:t>)</w:t>
      </w:r>
      <w:r w:rsidRPr="009C7A6F">
        <w:rPr>
          <w:spacing w:val="6"/>
          <w:sz w:val="26"/>
          <w:szCs w:val="26"/>
        </w:rPr>
        <w:t xml:space="preserve"> En general, la actividad de la Fundación Miguel Servet se realiza de co</w:t>
      </w:r>
      <w:r w:rsidRPr="009C7A6F">
        <w:rPr>
          <w:spacing w:val="6"/>
          <w:sz w:val="26"/>
          <w:szCs w:val="26"/>
        </w:rPr>
        <w:t>n</w:t>
      </w:r>
      <w:r w:rsidRPr="009C7A6F">
        <w:rPr>
          <w:spacing w:val="6"/>
          <w:sz w:val="26"/>
          <w:szCs w:val="26"/>
        </w:rPr>
        <w:t>formidad con la normativa que le es de aplicación.</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4"/>
          <w:lang w:val="es-ES"/>
        </w:rPr>
      </w:pPr>
      <w:proofErr w:type="gramStart"/>
      <w:r w:rsidRPr="009C7A6F">
        <w:rPr>
          <w:b/>
          <w:spacing w:val="6"/>
          <w:sz w:val="26"/>
          <w:szCs w:val="24"/>
          <w:lang w:val="es-ES"/>
        </w:rPr>
        <w:t>7.ª</w:t>
      </w:r>
      <w:proofErr w:type="gramEnd"/>
      <w:r w:rsidRPr="009C7A6F">
        <w:rPr>
          <w:b/>
          <w:spacing w:val="6"/>
          <w:sz w:val="26"/>
          <w:szCs w:val="24"/>
          <w:lang w:val="es-ES"/>
        </w:rPr>
        <w:t>)</w:t>
      </w:r>
      <w:r w:rsidRPr="009C7A6F">
        <w:rPr>
          <w:spacing w:val="6"/>
          <w:sz w:val="26"/>
          <w:szCs w:val="24"/>
          <w:lang w:val="es-ES"/>
        </w:rPr>
        <w:t xml:space="preserve"> En 2015, se obtienen por primera vez pérdidas por un importe de 486.707 euros. Este resultado se produce principalmente porque los gastos no </w:t>
      </w:r>
      <w:r w:rsidRPr="009C7A6F">
        <w:rPr>
          <w:spacing w:val="6"/>
          <w:sz w:val="24"/>
          <w:szCs w:val="24"/>
          <w:lang w:val="es-ES"/>
        </w:rPr>
        <w:t>financiados por las subvenciones recibidas para investigación superan los im</w:t>
      </w:r>
      <w:r w:rsidRPr="009C7A6F">
        <w:rPr>
          <w:spacing w:val="6"/>
          <w:sz w:val="26"/>
          <w:szCs w:val="24"/>
          <w:lang w:val="es-ES"/>
        </w:rPr>
        <w:t>portes de la financiación estructural (aportación del Departamento de Salud y de los proyectos para los gastos de estructura).</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4"/>
          <w:lang w:val="es-ES"/>
        </w:rPr>
      </w:pPr>
      <w:r w:rsidRPr="009C7A6F">
        <w:rPr>
          <w:spacing w:val="6"/>
          <w:sz w:val="26"/>
          <w:szCs w:val="24"/>
          <w:lang w:val="es-ES"/>
        </w:rPr>
        <w:t>A este respecto, debemos señalar que, entre 2009 y 2014 la Fundación M</w:t>
      </w:r>
      <w:r w:rsidRPr="009C7A6F">
        <w:rPr>
          <w:spacing w:val="6"/>
          <w:sz w:val="26"/>
          <w:szCs w:val="24"/>
          <w:lang w:val="es-ES"/>
        </w:rPr>
        <w:t>i</w:t>
      </w:r>
      <w:r w:rsidRPr="009C7A6F">
        <w:rPr>
          <w:spacing w:val="6"/>
          <w:sz w:val="26"/>
          <w:szCs w:val="24"/>
          <w:lang w:val="es-ES"/>
        </w:rPr>
        <w:t>guel Servet ha contabilizado ingresos procedentes del Fondo Social Europeo por importe de 831.103 euros, mientras que de los previstos para 2015 no ha percibido nada por este concepto, constituyendo la principal causa de las pérd</w:t>
      </w:r>
      <w:r w:rsidRPr="009C7A6F">
        <w:rPr>
          <w:spacing w:val="6"/>
          <w:sz w:val="26"/>
          <w:szCs w:val="24"/>
          <w:lang w:val="es-ES"/>
        </w:rPr>
        <w:t>i</w:t>
      </w:r>
      <w:r w:rsidRPr="009C7A6F">
        <w:rPr>
          <w:spacing w:val="6"/>
          <w:sz w:val="26"/>
          <w:szCs w:val="24"/>
          <w:lang w:val="es-ES"/>
        </w:rPr>
        <w:t>das del ejercicio.</w:t>
      </w:r>
    </w:p>
    <w:p w:rsidR="00EF1AFB" w:rsidRPr="009C7A6F" w:rsidRDefault="00EF1AFB" w:rsidP="00EF1AFB">
      <w:pPr>
        <w:tabs>
          <w:tab w:val="center" w:pos="2835"/>
          <w:tab w:val="center" w:pos="3969"/>
          <w:tab w:val="center" w:pos="5103"/>
          <w:tab w:val="center" w:pos="6237"/>
          <w:tab w:val="center" w:pos="7371"/>
        </w:tabs>
        <w:spacing w:before="120" w:after="240"/>
        <w:ind w:firstLine="284"/>
        <w:rPr>
          <w:spacing w:val="6"/>
          <w:sz w:val="26"/>
          <w:szCs w:val="24"/>
          <w:lang w:val="es-ES"/>
        </w:rPr>
      </w:pPr>
      <w:r w:rsidRPr="009C7A6F">
        <w:rPr>
          <w:spacing w:val="6"/>
          <w:sz w:val="26"/>
          <w:szCs w:val="24"/>
          <w:lang w:val="es-ES"/>
        </w:rPr>
        <w:t>Los recursos disponibles netos a 31 de diciembre de 2015, obtenidos elab</w:t>
      </w:r>
      <w:r w:rsidRPr="009C7A6F">
        <w:rPr>
          <w:spacing w:val="6"/>
          <w:sz w:val="26"/>
          <w:szCs w:val="24"/>
          <w:lang w:val="es-ES"/>
        </w:rPr>
        <w:t>o</w:t>
      </w:r>
      <w:r w:rsidRPr="009C7A6F">
        <w:rPr>
          <w:spacing w:val="6"/>
          <w:sz w:val="26"/>
          <w:szCs w:val="24"/>
          <w:lang w:val="es-ES"/>
        </w:rPr>
        <w:t>rando un estado de remanente de tesorería, son negativos por 167.264 euros, lo que nos indica que, en 2015, se ha anticipado tesorería destinada a la investig</w:t>
      </w:r>
      <w:r w:rsidRPr="009C7A6F">
        <w:rPr>
          <w:spacing w:val="6"/>
          <w:sz w:val="26"/>
          <w:szCs w:val="24"/>
          <w:lang w:val="es-ES"/>
        </w:rPr>
        <w:t>a</w:t>
      </w:r>
      <w:r w:rsidRPr="009C7A6F">
        <w:rPr>
          <w:spacing w:val="6"/>
          <w:sz w:val="26"/>
          <w:szCs w:val="24"/>
          <w:lang w:val="es-ES"/>
        </w:rPr>
        <w:t>ción para financiar gastos de estructura en un porcentaje superior a los costes indirectos imputables a los proyectos.</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lang w:val="es-ES"/>
        </w:rPr>
      </w:pPr>
      <w:proofErr w:type="gramStart"/>
      <w:r w:rsidRPr="009C7A6F">
        <w:rPr>
          <w:b/>
          <w:spacing w:val="6"/>
          <w:sz w:val="26"/>
          <w:szCs w:val="24"/>
          <w:lang w:val="es-ES"/>
        </w:rPr>
        <w:t>8.ª</w:t>
      </w:r>
      <w:proofErr w:type="gramEnd"/>
      <w:r w:rsidRPr="009C7A6F">
        <w:rPr>
          <w:b/>
          <w:spacing w:val="6"/>
          <w:sz w:val="26"/>
          <w:szCs w:val="24"/>
          <w:lang w:val="es-ES"/>
        </w:rPr>
        <w:t>)</w:t>
      </w:r>
      <w:r w:rsidRPr="009C7A6F">
        <w:rPr>
          <w:spacing w:val="6"/>
          <w:sz w:val="26"/>
          <w:szCs w:val="24"/>
          <w:lang w:val="es-ES"/>
        </w:rPr>
        <w:t xml:space="preserve"> Aunque el patrimonio neto es positivo, los fondos propios, en 2015, son negativos, como consecuencia del resultado del ejercicio y de unos ajustes de resultados de años anteriores, situación que debería corregirse.</w:t>
      </w:r>
    </w:p>
    <w:p w:rsidR="00EF1AFB" w:rsidRDefault="00EF1AFB" w:rsidP="00EF1AFB">
      <w:pPr>
        <w:tabs>
          <w:tab w:val="center" w:pos="2835"/>
          <w:tab w:val="center" w:pos="3969"/>
          <w:tab w:val="center" w:pos="5103"/>
          <w:tab w:val="center" w:pos="6237"/>
          <w:tab w:val="center" w:pos="7371"/>
        </w:tabs>
        <w:ind w:firstLine="284"/>
        <w:rPr>
          <w:spacing w:val="6"/>
          <w:sz w:val="26"/>
          <w:szCs w:val="26"/>
        </w:rPr>
      </w:pPr>
      <w:proofErr w:type="gramStart"/>
      <w:r w:rsidRPr="009C7A6F">
        <w:rPr>
          <w:b/>
          <w:spacing w:val="6"/>
          <w:sz w:val="26"/>
          <w:szCs w:val="24"/>
          <w:lang w:val="es-ES"/>
        </w:rPr>
        <w:t>9.ª</w:t>
      </w:r>
      <w:proofErr w:type="gramEnd"/>
      <w:r w:rsidRPr="009C7A6F">
        <w:rPr>
          <w:b/>
          <w:spacing w:val="6"/>
          <w:sz w:val="26"/>
          <w:szCs w:val="24"/>
          <w:lang w:val="es-ES"/>
        </w:rPr>
        <w:t>)</w:t>
      </w:r>
      <w:r w:rsidRPr="009C7A6F">
        <w:rPr>
          <w:spacing w:val="6"/>
          <w:sz w:val="26"/>
          <w:szCs w:val="24"/>
          <w:lang w:val="es-ES"/>
        </w:rPr>
        <w:t xml:space="preserve"> Los</w:t>
      </w:r>
      <w:r w:rsidRPr="009C7A6F">
        <w:rPr>
          <w:spacing w:val="6"/>
          <w:sz w:val="26"/>
          <w:szCs w:val="26"/>
        </w:rPr>
        <w:t xml:space="preserve"> gastos corrientes totales de la Fundación Miguel Servet (personal y compras) asciende en 2015 a 3,7 millones, lo que supone un incremento sobre los del año 2009 del 191 por ciento. </w:t>
      </w: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EF1AFB" w:rsidRPr="009C7A6F" w:rsidRDefault="00EF1AFB" w:rsidP="004751FE">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b/>
          <w:spacing w:val="6"/>
          <w:sz w:val="26"/>
          <w:szCs w:val="26"/>
        </w:rPr>
        <w:lastRenderedPageBreak/>
        <w:t>10</w:t>
      </w:r>
      <w:proofErr w:type="gramStart"/>
      <w:r w:rsidRPr="009C7A6F">
        <w:rPr>
          <w:b/>
          <w:spacing w:val="6"/>
          <w:sz w:val="26"/>
          <w:szCs w:val="26"/>
          <w:lang w:val="es-ES"/>
        </w:rPr>
        <w:t>.ª</w:t>
      </w:r>
      <w:proofErr w:type="gramEnd"/>
      <w:r w:rsidRPr="009C7A6F">
        <w:rPr>
          <w:b/>
          <w:spacing w:val="6"/>
          <w:sz w:val="26"/>
          <w:szCs w:val="26"/>
          <w:lang w:val="es-ES"/>
        </w:rPr>
        <w:t>)</w:t>
      </w:r>
      <w:r w:rsidRPr="009C7A6F">
        <w:rPr>
          <w:spacing w:val="6"/>
          <w:sz w:val="26"/>
          <w:szCs w:val="24"/>
          <w:lang w:val="es-ES"/>
        </w:rPr>
        <w:t xml:space="preserve"> La financiación de la estructura de la fundación en 2015 se deduce del cuadro siguiente:</w:t>
      </w:r>
    </w:p>
    <w:tbl>
      <w:tblPr>
        <w:tblStyle w:val="Tablaconcuadrcula1"/>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3167"/>
        <w:gridCol w:w="1071"/>
        <w:gridCol w:w="1701"/>
        <w:gridCol w:w="1708"/>
        <w:gridCol w:w="1142"/>
      </w:tblGrid>
      <w:tr w:rsidR="00EF1AFB" w:rsidRPr="009C7A6F" w:rsidTr="00F30E02">
        <w:trPr>
          <w:trHeight w:val="255"/>
        </w:trPr>
        <w:tc>
          <w:tcPr>
            <w:tcW w:w="3544" w:type="dxa"/>
            <w:shd w:val="clear" w:color="auto" w:fill="8DB3E2" w:themeFill="text2" w:themeFillTint="66"/>
            <w:vAlign w:val="center"/>
          </w:tcPr>
          <w:p w:rsidR="00EF1AFB" w:rsidRPr="009C7A6F" w:rsidRDefault="00EF1AFB" w:rsidP="00943A26">
            <w:pPr>
              <w:pStyle w:val="cuadroCabe"/>
              <w:jc w:val="left"/>
            </w:pPr>
            <w:r w:rsidRPr="009C7A6F">
              <w:t>Gastos</w:t>
            </w:r>
          </w:p>
        </w:tc>
        <w:tc>
          <w:tcPr>
            <w:tcW w:w="463" w:type="dxa"/>
            <w:shd w:val="clear" w:color="auto" w:fill="8DB3E2" w:themeFill="text2" w:themeFillTint="66"/>
            <w:vAlign w:val="center"/>
          </w:tcPr>
          <w:p w:rsidR="00EF1AFB" w:rsidRPr="009C7A6F" w:rsidRDefault="00EF1AFB" w:rsidP="00943A26">
            <w:pPr>
              <w:pStyle w:val="cuadroCabe"/>
              <w:jc w:val="right"/>
            </w:pPr>
          </w:p>
        </w:tc>
        <w:tc>
          <w:tcPr>
            <w:tcW w:w="1793" w:type="dxa"/>
            <w:shd w:val="clear" w:color="auto" w:fill="8DB3E2" w:themeFill="text2" w:themeFillTint="66"/>
            <w:vAlign w:val="center"/>
          </w:tcPr>
          <w:p w:rsidR="00EF1AFB" w:rsidRPr="009C7A6F" w:rsidRDefault="00EF1AFB" w:rsidP="00943A26">
            <w:pPr>
              <w:pStyle w:val="cuadroCabe"/>
              <w:jc w:val="right"/>
            </w:pPr>
            <w:r w:rsidRPr="009C7A6F">
              <w:t xml:space="preserve">Financiación </w:t>
            </w:r>
          </w:p>
        </w:tc>
        <w:tc>
          <w:tcPr>
            <w:tcW w:w="1793" w:type="dxa"/>
            <w:shd w:val="clear" w:color="auto" w:fill="8DB3E2" w:themeFill="text2" w:themeFillTint="66"/>
            <w:vAlign w:val="center"/>
          </w:tcPr>
          <w:p w:rsidR="00EF1AFB" w:rsidRPr="009C7A6F" w:rsidRDefault="00EF1AFB" w:rsidP="00943A26">
            <w:pPr>
              <w:pStyle w:val="cuadroCabe"/>
              <w:jc w:val="right"/>
            </w:pPr>
          </w:p>
        </w:tc>
        <w:tc>
          <w:tcPr>
            <w:tcW w:w="1196" w:type="dxa"/>
            <w:shd w:val="clear" w:color="auto" w:fill="8DB3E2" w:themeFill="text2" w:themeFillTint="66"/>
            <w:vAlign w:val="center"/>
          </w:tcPr>
          <w:p w:rsidR="00EF1AFB" w:rsidRPr="009C7A6F" w:rsidRDefault="00EF1AFB" w:rsidP="00943A26">
            <w:pPr>
              <w:pStyle w:val="cuadroCabe"/>
              <w:jc w:val="right"/>
            </w:pPr>
          </w:p>
        </w:tc>
      </w:tr>
      <w:tr w:rsidR="00B174E2" w:rsidRPr="00B174E2" w:rsidTr="00F30E02">
        <w:trPr>
          <w:trHeight w:val="255"/>
        </w:trPr>
        <w:tc>
          <w:tcPr>
            <w:tcW w:w="3544" w:type="dxa"/>
            <w:shd w:val="clear" w:color="auto" w:fill="8DB3E2" w:themeFill="text2" w:themeFillTint="66"/>
            <w:vAlign w:val="center"/>
          </w:tcPr>
          <w:p w:rsidR="00B174E2" w:rsidRPr="00B174E2" w:rsidRDefault="00B174E2" w:rsidP="00B174E2">
            <w:pPr>
              <w:pStyle w:val="cuatexto"/>
              <w:jc w:val="left"/>
              <w:rPr>
                <w:rFonts w:ascii="Arial" w:hAnsi="Arial" w:cs="Arial"/>
                <w:sz w:val="18"/>
                <w:szCs w:val="18"/>
              </w:rPr>
            </w:pPr>
            <w:r w:rsidRPr="00B174E2">
              <w:rPr>
                <w:rFonts w:ascii="Arial" w:hAnsi="Arial" w:cs="Arial"/>
                <w:sz w:val="18"/>
                <w:szCs w:val="18"/>
              </w:rPr>
              <w:t>Concepto</w:t>
            </w:r>
          </w:p>
        </w:tc>
        <w:tc>
          <w:tcPr>
            <w:tcW w:w="463"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Importe</w:t>
            </w:r>
          </w:p>
        </w:tc>
        <w:tc>
          <w:tcPr>
            <w:tcW w:w="1793"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 xml:space="preserve">Gobierno </w:t>
            </w:r>
          </w:p>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de Navarra</w:t>
            </w:r>
          </w:p>
        </w:tc>
        <w:tc>
          <w:tcPr>
            <w:tcW w:w="1793"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 xml:space="preserve">Aportaciones </w:t>
            </w:r>
          </w:p>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 xml:space="preserve"> Proyectos</w:t>
            </w:r>
          </w:p>
        </w:tc>
        <w:tc>
          <w:tcPr>
            <w:tcW w:w="1196"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 xml:space="preserve">Saldo </w:t>
            </w:r>
          </w:p>
        </w:tc>
      </w:tr>
      <w:tr w:rsidR="00B174E2" w:rsidRPr="009C7A6F" w:rsidTr="00726A18">
        <w:trPr>
          <w:trHeight w:val="198"/>
        </w:trPr>
        <w:tc>
          <w:tcPr>
            <w:tcW w:w="3544" w:type="dxa"/>
            <w:tcBorders>
              <w:top w:val="single" w:sz="2" w:space="0" w:color="auto"/>
              <w:bottom w:val="single" w:sz="2" w:space="0" w:color="auto"/>
            </w:tcBorders>
            <w:vAlign w:val="center"/>
          </w:tcPr>
          <w:p w:rsidR="00B174E2" w:rsidRPr="009C7A6F" w:rsidRDefault="00B174E2" w:rsidP="00B174E2">
            <w:pPr>
              <w:pStyle w:val="cuatexto"/>
              <w:jc w:val="left"/>
            </w:pPr>
            <w:r w:rsidRPr="009C7A6F">
              <w:t>Personal</w:t>
            </w:r>
          </w:p>
        </w:tc>
        <w:tc>
          <w:tcPr>
            <w:tcW w:w="463" w:type="dxa"/>
            <w:tcBorders>
              <w:top w:val="single" w:sz="2" w:space="0" w:color="auto"/>
              <w:bottom w:val="single" w:sz="2" w:space="0" w:color="auto"/>
            </w:tcBorders>
            <w:vAlign w:val="center"/>
          </w:tcPr>
          <w:p w:rsidR="00B174E2" w:rsidRPr="009C7A6F" w:rsidRDefault="00B174E2" w:rsidP="00B174E2">
            <w:pPr>
              <w:pStyle w:val="cuatexto"/>
              <w:jc w:val="right"/>
            </w:pPr>
            <w:r w:rsidRPr="009C7A6F">
              <w:t>1.437.389</w:t>
            </w:r>
          </w:p>
        </w:tc>
        <w:tc>
          <w:tcPr>
            <w:tcW w:w="1793" w:type="dxa"/>
            <w:tcBorders>
              <w:top w:val="single" w:sz="2" w:space="0" w:color="auto"/>
              <w:bottom w:val="single" w:sz="2" w:space="0" w:color="auto"/>
            </w:tcBorders>
            <w:vAlign w:val="center"/>
          </w:tcPr>
          <w:p w:rsidR="00B174E2" w:rsidRPr="009C7A6F" w:rsidRDefault="00B174E2" w:rsidP="00B174E2">
            <w:pPr>
              <w:pStyle w:val="cuatexto"/>
              <w:ind w:left="55"/>
              <w:jc w:val="right"/>
            </w:pPr>
          </w:p>
        </w:tc>
        <w:tc>
          <w:tcPr>
            <w:tcW w:w="1793" w:type="dxa"/>
            <w:tcBorders>
              <w:top w:val="single" w:sz="2" w:space="0" w:color="auto"/>
              <w:bottom w:val="single" w:sz="2" w:space="0" w:color="auto"/>
            </w:tcBorders>
            <w:vAlign w:val="center"/>
          </w:tcPr>
          <w:p w:rsidR="00B174E2" w:rsidRPr="009C7A6F" w:rsidRDefault="00B174E2" w:rsidP="00B174E2">
            <w:pPr>
              <w:pStyle w:val="cuatexto"/>
              <w:jc w:val="right"/>
            </w:pPr>
          </w:p>
        </w:tc>
        <w:tc>
          <w:tcPr>
            <w:tcW w:w="1196" w:type="dxa"/>
            <w:tcBorders>
              <w:top w:val="single" w:sz="2" w:space="0" w:color="auto"/>
              <w:bottom w:val="single" w:sz="2" w:space="0" w:color="auto"/>
            </w:tcBorders>
            <w:vAlign w:val="center"/>
          </w:tcPr>
          <w:p w:rsidR="00B174E2" w:rsidRPr="009C7A6F" w:rsidRDefault="00B174E2" w:rsidP="00B174E2">
            <w:pPr>
              <w:pStyle w:val="cuatexto"/>
              <w:jc w:val="right"/>
            </w:pPr>
          </w:p>
        </w:tc>
      </w:tr>
      <w:tr w:rsidR="00B174E2" w:rsidRPr="009C7A6F" w:rsidTr="00687EB6">
        <w:trPr>
          <w:trHeight w:val="198"/>
        </w:trPr>
        <w:tc>
          <w:tcPr>
            <w:tcW w:w="3544" w:type="dxa"/>
            <w:tcBorders>
              <w:top w:val="single" w:sz="2" w:space="0" w:color="auto"/>
              <w:bottom w:val="single" w:sz="2" w:space="0" w:color="auto"/>
            </w:tcBorders>
            <w:vAlign w:val="center"/>
          </w:tcPr>
          <w:p w:rsidR="00B174E2" w:rsidRPr="009C7A6F" w:rsidRDefault="00B174E2" w:rsidP="00B174E2">
            <w:pPr>
              <w:pStyle w:val="cuatexto"/>
              <w:jc w:val="left"/>
            </w:pPr>
            <w:r w:rsidRPr="009C7A6F">
              <w:t>Funcionamiento</w:t>
            </w:r>
          </w:p>
        </w:tc>
        <w:tc>
          <w:tcPr>
            <w:tcW w:w="463" w:type="dxa"/>
            <w:tcBorders>
              <w:top w:val="single" w:sz="2" w:space="0" w:color="auto"/>
              <w:bottom w:val="single" w:sz="2" w:space="0" w:color="auto"/>
            </w:tcBorders>
            <w:vAlign w:val="center"/>
          </w:tcPr>
          <w:p w:rsidR="00B174E2" w:rsidRPr="009C7A6F" w:rsidRDefault="00B174E2" w:rsidP="00B174E2">
            <w:pPr>
              <w:pStyle w:val="cuatexto"/>
              <w:jc w:val="right"/>
            </w:pPr>
            <w:r w:rsidRPr="009C7A6F">
              <w:t>384.122</w:t>
            </w:r>
          </w:p>
        </w:tc>
        <w:tc>
          <w:tcPr>
            <w:tcW w:w="1793" w:type="dxa"/>
            <w:tcBorders>
              <w:top w:val="single" w:sz="2" w:space="0" w:color="auto"/>
              <w:bottom w:val="single" w:sz="2" w:space="0" w:color="auto"/>
            </w:tcBorders>
            <w:vAlign w:val="center"/>
          </w:tcPr>
          <w:p w:rsidR="00B174E2" w:rsidRPr="009C7A6F" w:rsidRDefault="00B174E2" w:rsidP="00B174E2">
            <w:pPr>
              <w:pStyle w:val="cuatexto"/>
              <w:jc w:val="right"/>
            </w:pPr>
          </w:p>
        </w:tc>
        <w:tc>
          <w:tcPr>
            <w:tcW w:w="1793" w:type="dxa"/>
            <w:tcBorders>
              <w:top w:val="single" w:sz="2" w:space="0" w:color="auto"/>
              <w:bottom w:val="single" w:sz="2" w:space="0" w:color="auto"/>
            </w:tcBorders>
            <w:vAlign w:val="center"/>
          </w:tcPr>
          <w:p w:rsidR="00B174E2" w:rsidRPr="009C7A6F" w:rsidRDefault="00B174E2" w:rsidP="00B174E2">
            <w:pPr>
              <w:pStyle w:val="cuatexto"/>
              <w:jc w:val="right"/>
            </w:pPr>
          </w:p>
        </w:tc>
        <w:tc>
          <w:tcPr>
            <w:tcW w:w="1196" w:type="dxa"/>
            <w:tcBorders>
              <w:top w:val="single" w:sz="2" w:space="0" w:color="auto"/>
              <w:bottom w:val="single" w:sz="2" w:space="0" w:color="auto"/>
            </w:tcBorders>
            <w:vAlign w:val="center"/>
          </w:tcPr>
          <w:p w:rsidR="00B174E2" w:rsidRPr="009C7A6F" w:rsidRDefault="00B174E2" w:rsidP="00B174E2">
            <w:pPr>
              <w:pStyle w:val="cuatexto"/>
              <w:jc w:val="right"/>
            </w:pPr>
          </w:p>
        </w:tc>
      </w:tr>
      <w:tr w:rsidR="00B174E2" w:rsidRPr="00B174E2" w:rsidTr="00687EB6">
        <w:trPr>
          <w:trHeight w:val="198"/>
        </w:trPr>
        <w:tc>
          <w:tcPr>
            <w:tcW w:w="3544" w:type="dxa"/>
            <w:tcBorders>
              <w:top w:val="single" w:sz="2" w:space="0" w:color="auto"/>
              <w:bottom w:val="single" w:sz="2" w:space="0" w:color="auto"/>
            </w:tcBorders>
            <w:vAlign w:val="center"/>
          </w:tcPr>
          <w:p w:rsidR="00B174E2" w:rsidRPr="00B174E2" w:rsidRDefault="00B174E2" w:rsidP="00B174E2">
            <w:pPr>
              <w:pStyle w:val="cuatexto"/>
              <w:jc w:val="left"/>
              <w:rPr>
                <w:rFonts w:ascii="Arial" w:hAnsi="Arial" w:cs="Arial"/>
                <w:sz w:val="18"/>
                <w:szCs w:val="18"/>
              </w:rPr>
            </w:pPr>
            <w:r w:rsidRPr="00B174E2">
              <w:rPr>
                <w:rFonts w:ascii="Arial" w:hAnsi="Arial" w:cs="Arial"/>
                <w:sz w:val="18"/>
                <w:szCs w:val="18"/>
              </w:rPr>
              <w:t xml:space="preserve">Total pagados por </w:t>
            </w:r>
            <w:proofErr w:type="spellStart"/>
            <w:r w:rsidRPr="00B174E2">
              <w:rPr>
                <w:rFonts w:ascii="Arial" w:hAnsi="Arial" w:cs="Arial"/>
                <w:sz w:val="18"/>
                <w:szCs w:val="18"/>
              </w:rPr>
              <w:t>Navarrabiomed</w:t>
            </w:r>
            <w:proofErr w:type="spellEnd"/>
          </w:p>
        </w:tc>
        <w:tc>
          <w:tcPr>
            <w:tcW w:w="463"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1.821.511</w:t>
            </w:r>
          </w:p>
        </w:tc>
        <w:tc>
          <w:tcPr>
            <w:tcW w:w="1793"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985.000</w:t>
            </w:r>
          </w:p>
        </w:tc>
        <w:tc>
          <w:tcPr>
            <w:tcW w:w="1793"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299.105</w:t>
            </w:r>
          </w:p>
        </w:tc>
        <w:tc>
          <w:tcPr>
            <w:tcW w:w="1196"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sidRPr="00B174E2">
              <w:rPr>
                <w:rFonts w:ascii="Arial" w:hAnsi="Arial" w:cs="Arial"/>
                <w:sz w:val="18"/>
                <w:szCs w:val="18"/>
              </w:rPr>
              <w:t>-537.406</w:t>
            </w:r>
          </w:p>
        </w:tc>
      </w:tr>
      <w:tr w:rsidR="00B174E2" w:rsidRPr="009C7A6F" w:rsidTr="00726A18">
        <w:trPr>
          <w:trHeight w:val="198"/>
        </w:trPr>
        <w:tc>
          <w:tcPr>
            <w:tcW w:w="3544" w:type="dxa"/>
            <w:tcBorders>
              <w:top w:val="single" w:sz="2" w:space="0" w:color="auto"/>
              <w:bottom w:val="single" w:sz="4" w:space="0" w:color="auto"/>
            </w:tcBorders>
            <w:vAlign w:val="center"/>
          </w:tcPr>
          <w:p w:rsidR="00B174E2" w:rsidRPr="009C7A6F" w:rsidRDefault="00B174E2" w:rsidP="00B174E2">
            <w:pPr>
              <w:pStyle w:val="cuatexto"/>
              <w:jc w:val="left"/>
            </w:pPr>
            <w:proofErr w:type="spellStart"/>
            <w:r w:rsidRPr="009C7A6F">
              <w:t>Funcionam</w:t>
            </w:r>
            <w:proofErr w:type="spellEnd"/>
            <w:r w:rsidRPr="009C7A6F">
              <w:t>. pagados por SNS-O</w:t>
            </w:r>
          </w:p>
        </w:tc>
        <w:tc>
          <w:tcPr>
            <w:tcW w:w="463" w:type="dxa"/>
            <w:tcBorders>
              <w:top w:val="single" w:sz="2" w:space="0" w:color="auto"/>
              <w:bottom w:val="single" w:sz="4" w:space="0" w:color="auto"/>
            </w:tcBorders>
            <w:vAlign w:val="center"/>
          </w:tcPr>
          <w:p w:rsidR="00B174E2" w:rsidRPr="009C7A6F" w:rsidRDefault="00B174E2" w:rsidP="00B174E2">
            <w:pPr>
              <w:pStyle w:val="cuatexto"/>
              <w:jc w:val="right"/>
            </w:pPr>
            <w:r w:rsidRPr="009C7A6F">
              <w:t>142.675</w:t>
            </w:r>
          </w:p>
        </w:tc>
        <w:tc>
          <w:tcPr>
            <w:tcW w:w="1793" w:type="dxa"/>
            <w:tcBorders>
              <w:top w:val="single" w:sz="2" w:space="0" w:color="auto"/>
              <w:bottom w:val="single" w:sz="4" w:space="0" w:color="auto"/>
            </w:tcBorders>
            <w:vAlign w:val="center"/>
          </w:tcPr>
          <w:p w:rsidR="00B174E2" w:rsidRPr="009C7A6F" w:rsidRDefault="00B174E2" w:rsidP="00B174E2">
            <w:pPr>
              <w:pStyle w:val="cuatexto"/>
              <w:jc w:val="right"/>
            </w:pPr>
            <w:r w:rsidRPr="009C7A6F">
              <w:t>142.675</w:t>
            </w:r>
          </w:p>
        </w:tc>
        <w:tc>
          <w:tcPr>
            <w:tcW w:w="1793" w:type="dxa"/>
            <w:tcBorders>
              <w:top w:val="single" w:sz="2" w:space="0" w:color="auto"/>
              <w:bottom w:val="single" w:sz="4" w:space="0" w:color="auto"/>
            </w:tcBorders>
            <w:vAlign w:val="center"/>
          </w:tcPr>
          <w:p w:rsidR="00B174E2" w:rsidRPr="009C7A6F" w:rsidRDefault="00B174E2" w:rsidP="00B174E2">
            <w:pPr>
              <w:pStyle w:val="cuatexto"/>
              <w:jc w:val="right"/>
            </w:pPr>
          </w:p>
        </w:tc>
        <w:tc>
          <w:tcPr>
            <w:tcW w:w="1196" w:type="dxa"/>
            <w:tcBorders>
              <w:top w:val="single" w:sz="2" w:space="0" w:color="auto"/>
              <w:bottom w:val="single" w:sz="4" w:space="0" w:color="auto"/>
            </w:tcBorders>
            <w:vAlign w:val="center"/>
          </w:tcPr>
          <w:p w:rsidR="00B174E2" w:rsidRPr="009C7A6F" w:rsidRDefault="00B174E2" w:rsidP="00B174E2">
            <w:pPr>
              <w:pStyle w:val="cuatexto"/>
              <w:jc w:val="right"/>
            </w:pPr>
            <w:r w:rsidRPr="009C7A6F">
              <w:t>0</w:t>
            </w:r>
          </w:p>
        </w:tc>
      </w:tr>
      <w:tr w:rsidR="00B174E2" w:rsidRPr="009C7A6F" w:rsidTr="00F30E02">
        <w:trPr>
          <w:trHeight w:val="255"/>
        </w:trPr>
        <w:tc>
          <w:tcPr>
            <w:tcW w:w="3544" w:type="dxa"/>
            <w:shd w:val="clear" w:color="auto" w:fill="8DB3E2" w:themeFill="text2" w:themeFillTint="66"/>
            <w:vAlign w:val="center"/>
          </w:tcPr>
          <w:p w:rsidR="00B174E2" w:rsidRPr="009C7A6F" w:rsidRDefault="00B174E2" w:rsidP="00B174E2">
            <w:pPr>
              <w:pStyle w:val="cuadroCabe"/>
              <w:jc w:val="left"/>
            </w:pPr>
            <w:r w:rsidRPr="009C7A6F">
              <w:t>Total</w:t>
            </w:r>
          </w:p>
        </w:tc>
        <w:tc>
          <w:tcPr>
            <w:tcW w:w="463" w:type="dxa"/>
            <w:shd w:val="clear" w:color="auto" w:fill="8DB3E2" w:themeFill="text2" w:themeFillTint="66"/>
            <w:vAlign w:val="center"/>
          </w:tcPr>
          <w:p w:rsidR="00B174E2" w:rsidRPr="009C7A6F" w:rsidRDefault="00B174E2" w:rsidP="00B174E2">
            <w:pPr>
              <w:pStyle w:val="cuadroCabe"/>
              <w:jc w:val="right"/>
            </w:pPr>
            <w:r w:rsidRPr="009C7A6F">
              <w:t>1.964.186</w:t>
            </w:r>
          </w:p>
        </w:tc>
        <w:tc>
          <w:tcPr>
            <w:tcW w:w="1793" w:type="dxa"/>
            <w:shd w:val="clear" w:color="auto" w:fill="8DB3E2" w:themeFill="text2" w:themeFillTint="66"/>
            <w:vAlign w:val="center"/>
          </w:tcPr>
          <w:p w:rsidR="00B174E2" w:rsidRPr="009C7A6F" w:rsidRDefault="00B174E2" w:rsidP="00B174E2">
            <w:pPr>
              <w:pStyle w:val="cuadroCabe"/>
              <w:jc w:val="right"/>
            </w:pPr>
            <w:r w:rsidRPr="009C7A6F">
              <w:t>1.127.675</w:t>
            </w:r>
          </w:p>
        </w:tc>
        <w:tc>
          <w:tcPr>
            <w:tcW w:w="1793" w:type="dxa"/>
            <w:shd w:val="clear" w:color="auto" w:fill="8DB3E2" w:themeFill="text2" w:themeFillTint="66"/>
            <w:vAlign w:val="center"/>
          </w:tcPr>
          <w:p w:rsidR="00B174E2" w:rsidRPr="009C7A6F" w:rsidRDefault="00B174E2" w:rsidP="00B174E2">
            <w:pPr>
              <w:pStyle w:val="cuadroCabe"/>
              <w:jc w:val="right"/>
            </w:pPr>
            <w:r w:rsidRPr="009C7A6F">
              <w:t>299.105</w:t>
            </w:r>
          </w:p>
        </w:tc>
        <w:tc>
          <w:tcPr>
            <w:tcW w:w="1196" w:type="dxa"/>
            <w:shd w:val="clear" w:color="auto" w:fill="8DB3E2" w:themeFill="text2" w:themeFillTint="66"/>
            <w:vAlign w:val="center"/>
          </w:tcPr>
          <w:p w:rsidR="00B174E2" w:rsidRPr="009C7A6F" w:rsidRDefault="00B174E2" w:rsidP="00B174E2">
            <w:pPr>
              <w:pStyle w:val="cuadroCabe"/>
              <w:jc w:val="right"/>
            </w:pPr>
            <w:r w:rsidRPr="009C7A6F">
              <w:t>-537.406</w:t>
            </w:r>
          </w:p>
        </w:tc>
      </w:tr>
    </w:tbl>
    <w:p w:rsidR="00EF1AFB" w:rsidRPr="009C7A6F" w:rsidRDefault="00EF1AFB" w:rsidP="00B174E2">
      <w:pPr>
        <w:pStyle w:val="texto"/>
        <w:spacing w:before="240" w:after="240"/>
        <w:rPr>
          <w:lang w:val="es-ES"/>
        </w:rPr>
      </w:pPr>
      <w:r w:rsidRPr="009C7A6F">
        <w:rPr>
          <w:lang w:val="es-ES"/>
        </w:rPr>
        <w:t>Se observa que la financiación para la estructura, en 2015, no ha sido suf</w:t>
      </w:r>
      <w:r w:rsidRPr="009C7A6F">
        <w:rPr>
          <w:lang w:val="es-ES"/>
        </w:rPr>
        <w:t>i</w:t>
      </w:r>
      <w:r w:rsidRPr="009C7A6F">
        <w:rPr>
          <w:lang w:val="es-ES"/>
        </w:rPr>
        <w:t>ciente para soportar estos gastos.</w:t>
      </w:r>
    </w:p>
    <w:p w:rsidR="00EF1AFB" w:rsidRDefault="00EF1AFB" w:rsidP="007D1427">
      <w:pPr>
        <w:pStyle w:val="texto"/>
        <w:spacing w:before="240" w:after="240"/>
      </w:pPr>
      <w:r w:rsidRPr="009C7A6F">
        <w:rPr>
          <w:b/>
          <w:lang w:val="es-ES"/>
        </w:rPr>
        <w:t>11</w:t>
      </w:r>
      <w:proofErr w:type="gramStart"/>
      <w:r w:rsidRPr="009C7A6F">
        <w:rPr>
          <w:b/>
          <w:lang w:val="es-ES"/>
        </w:rPr>
        <w:t>.ª</w:t>
      </w:r>
      <w:proofErr w:type="gramEnd"/>
      <w:r w:rsidRPr="009C7A6F">
        <w:rPr>
          <w:b/>
          <w:lang w:val="es-ES"/>
        </w:rPr>
        <w:t>)</w:t>
      </w:r>
      <w:r w:rsidRPr="009C7A6F">
        <w:rPr>
          <w:lang w:val="es-ES"/>
        </w:rPr>
        <w:t xml:space="preserve"> En</w:t>
      </w:r>
      <w:r w:rsidRPr="009C7A6F">
        <w:t xml:space="preserve"> el periodo 2012-2015, el Departamento de Salud presenta los s</w:t>
      </w:r>
      <w:r w:rsidRPr="009C7A6F">
        <w:t>i</w:t>
      </w:r>
      <w:r w:rsidRPr="009C7A6F">
        <w:t xml:space="preserve">guientes importes de gastos relacionados con la investigación sanitaria: </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756"/>
        <w:gridCol w:w="352"/>
        <w:gridCol w:w="1750"/>
        <w:gridCol w:w="1823"/>
      </w:tblGrid>
      <w:tr w:rsidR="00DC79FA" w:rsidRPr="009C7A6F" w:rsidTr="00DC79FA">
        <w:trPr>
          <w:trHeight w:val="255"/>
        </w:trPr>
        <w:tc>
          <w:tcPr>
            <w:tcW w:w="4756" w:type="dxa"/>
            <w:shd w:val="clear" w:color="auto" w:fill="8DB3E2" w:themeFill="text2" w:themeFillTint="66"/>
            <w:vAlign w:val="center"/>
          </w:tcPr>
          <w:p w:rsidR="00DC79FA" w:rsidRPr="009C7A6F" w:rsidRDefault="00DC79FA" w:rsidP="00DC79FA">
            <w:pPr>
              <w:pStyle w:val="cuadroCabe"/>
              <w:jc w:val="left"/>
            </w:pPr>
            <w:r w:rsidRPr="009C7A6F">
              <w:t>Concepto</w:t>
            </w:r>
          </w:p>
        </w:tc>
        <w:tc>
          <w:tcPr>
            <w:tcW w:w="2102" w:type="dxa"/>
            <w:gridSpan w:val="2"/>
            <w:shd w:val="clear" w:color="auto" w:fill="8DB3E2" w:themeFill="text2" w:themeFillTint="66"/>
            <w:vAlign w:val="center"/>
          </w:tcPr>
          <w:p w:rsidR="00DC79FA" w:rsidRPr="009C7A6F" w:rsidRDefault="00DC79FA" w:rsidP="00DC79FA">
            <w:pPr>
              <w:pStyle w:val="cuadroCabe"/>
              <w:jc w:val="right"/>
            </w:pPr>
            <w:r w:rsidRPr="009C7A6F">
              <w:t>Importe (millones)</w:t>
            </w:r>
          </w:p>
        </w:tc>
        <w:tc>
          <w:tcPr>
            <w:tcW w:w="1823" w:type="dxa"/>
            <w:shd w:val="clear" w:color="auto" w:fill="8DB3E2" w:themeFill="text2" w:themeFillTint="66"/>
            <w:vAlign w:val="center"/>
          </w:tcPr>
          <w:p w:rsidR="00DC79FA" w:rsidRPr="009C7A6F" w:rsidRDefault="00DC79FA" w:rsidP="007D1427">
            <w:pPr>
              <w:pStyle w:val="cuadroCabe"/>
              <w:jc w:val="right"/>
            </w:pPr>
            <w:r w:rsidRPr="009C7A6F">
              <w:t>Porcentaje</w:t>
            </w:r>
          </w:p>
        </w:tc>
      </w:tr>
      <w:tr w:rsidR="00DC79FA" w:rsidRPr="009C7A6F" w:rsidTr="00DC79FA">
        <w:trPr>
          <w:trHeight w:val="198"/>
        </w:trPr>
        <w:tc>
          <w:tcPr>
            <w:tcW w:w="5108" w:type="dxa"/>
            <w:gridSpan w:val="2"/>
            <w:tcBorders>
              <w:bottom w:val="single" w:sz="2" w:space="0" w:color="auto"/>
            </w:tcBorders>
            <w:vAlign w:val="center"/>
          </w:tcPr>
          <w:p w:rsidR="00DC79FA" w:rsidRPr="009C7A6F" w:rsidRDefault="00DC79FA" w:rsidP="00DC79FA">
            <w:pPr>
              <w:pStyle w:val="cuatexto"/>
              <w:jc w:val="left"/>
            </w:pPr>
            <w:r w:rsidRPr="009C7A6F">
              <w:t>Total gastos Departamento 2012-2015</w:t>
            </w:r>
          </w:p>
        </w:tc>
        <w:tc>
          <w:tcPr>
            <w:tcW w:w="1750" w:type="dxa"/>
            <w:tcBorders>
              <w:bottom w:val="single" w:sz="2" w:space="0" w:color="auto"/>
            </w:tcBorders>
            <w:vAlign w:val="center"/>
          </w:tcPr>
          <w:p w:rsidR="00DC79FA" w:rsidRPr="009C7A6F" w:rsidRDefault="00DC79FA" w:rsidP="00DC79FA">
            <w:pPr>
              <w:pStyle w:val="cuatexto"/>
              <w:jc w:val="right"/>
            </w:pPr>
            <w:r w:rsidRPr="009C7A6F">
              <w:t>3.710</w:t>
            </w:r>
          </w:p>
        </w:tc>
        <w:tc>
          <w:tcPr>
            <w:tcW w:w="1823" w:type="dxa"/>
            <w:tcBorders>
              <w:bottom w:val="single" w:sz="2" w:space="0" w:color="auto"/>
            </w:tcBorders>
            <w:vAlign w:val="center"/>
          </w:tcPr>
          <w:p w:rsidR="00DC79FA" w:rsidRPr="009C7A6F" w:rsidRDefault="00DC79FA" w:rsidP="00DC79FA">
            <w:pPr>
              <w:pStyle w:val="cuatexto"/>
              <w:jc w:val="right"/>
            </w:pPr>
          </w:p>
        </w:tc>
      </w:tr>
      <w:tr w:rsidR="00DC79FA" w:rsidRPr="00DC79FA" w:rsidTr="00234A87">
        <w:trPr>
          <w:trHeight w:val="198"/>
        </w:trPr>
        <w:tc>
          <w:tcPr>
            <w:tcW w:w="5108" w:type="dxa"/>
            <w:gridSpan w:val="2"/>
            <w:tcBorders>
              <w:top w:val="single" w:sz="2" w:space="0" w:color="auto"/>
              <w:bottom w:val="single" w:sz="2" w:space="0" w:color="auto"/>
            </w:tcBorders>
            <w:vAlign w:val="center"/>
          </w:tcPr>
          <w:p w:rsidR="00DC79FA" w:rsidRPr="00DC79FA" w:rsidRDefault="00DC79FA" w:rsidP="00DC79FA">
            <w:pPr>
              <w:pStyle w:val="cuatexto"/>
              <w:jc w:val="left"/>
              <w:rPr>
                <w:szCs w:val="20"/>
              </w:rPr>
            </w:pPr>
            <w:r w:rsidRPr="00DC79FA">
              <w:rPr>
                <w:szCs w:val="20"/>
              </w:rPr>
              <w:t>Programas relacionados con la investigación*</w:t>
            </w:r>
          </w:p>
        </w:tc>
        <w:tc>
          <w:tcPr>
            <w:tcW w:w="1750" w:type="dxa"/>
            <w:tcBorders>
              <w:top w:val="single" w:sz="2" w:space="0" w:color="auto"/>
              <w:bottom w:val="single" w:sz="2" w:space="0" w:color="auto"/>
            </w:tcBorders>
            <w:vAlign w:val="center"/>
          </w:tcPr>
          <w:p w:rsidR="00DC79FA" w:rsidRPr="00DC79FA" w:rsidRDefault="00DC79FA" w:rsidP="00DC79FA">
            <w:pPr>
              <w:pStyle w:val="cuatexto"/>
              <w:jc w:val="right"/>
              <w:rPr>
                <w:szCs w:val="20"/>
              </w:rPr>
            </w:pPr>
            <w:r w:rsidRPr="00DC79FA">
              <w:rPr>
                <w:szCs w:val="20"/>
              </w:rPr>
              <w:t>12,9</w:t>
            </w:r>
          </w:p>
        </w:tc>
        <w:tc>
          <w:tcPr>
            <w:tcW w:w="1823" w:type="dxa"/>
            <w:tcBorders>
              <w:top w:val="single" w:sz="2" w:space="0" w:color="auto"/>
              <w:bottom w:val="single" w:sz="2" w:space="0" w:color="auto"/>
            </w:tcBorders>
            <w:vAlign w:val="center"/>
          </w:tcPr>
          <w:p w:rsidR="00DC79FA" w:rsidRPr="00DC79FA" w:rsidRDefault="00DC79FA" w:rsidP="00DC79FA">
            <w:pPr>
              <w:pStyle w:val="cuatexto"/>
              <w:jc w:val="right"/>
              <w:rPr>
                <w:szCs w:val="20"/>
              </w:rPr>
            </w:pPr>
            <w:r w:rsidRPr="00DC79FA">
              <w:rPr>
                <w:szCs w:val="20"/>
              </w:rPr>
              <w:t>0,35</w:t>
            </w:r>
          </w:p>
        </w:tc>
      </w:tr>
      <w:tr w:rsidR="00DC79FA" w:rsidRPr="009C7A6F" w:rsidTr="00B278C5">
        <w:trPr>
          <w:trHeight w:val="198"/>
        </w:trPr>
        <w:tc>
          <w:tcPr>
            <w:tcW w:w="5108" w:type="dxa"/>
            <w:gridSpan w:val="2"/>
            <w:tcBorders>
              <w:top w:val="single" w:sz="2" w:space="0" w:color="auto"/>
              <w:bottom w:val="single" w:sz="4" w:space="0" w:color="auto"/>
            </w:tcBorders>
            <w:vAlign w:val="center"/>
          </w:tcPr>
          <w:p w:rsidR="00DC79FA" w:rsidRPr="009C7A6F" w:rsidRDefault="00DC79FA" w:rsidP="00DC79FA">
            <w:pPr>
              <w:pStyle w:val="cuatexto"/>
              <w:jc w:val="left"/>
            </w:pPr>
            <w:r w:rsidRPr="009C7A6F">
              <w:t xml:space="preserve">Investigación propiamente dicha </w:t>
            </w:r>
          </w:p>
        </w:tc>
        <w:tc>
          <w:tcPr>
            <w:tcW w:w="1750" w:type="dxa"/>
            <w:tcBorders>
              <w:top w:val="single" w:sz="2" w:space="0" w:color="auto"/>
              <w:bottom w:val="single" w:sz="4" w:space="0" w:color="auto"/>
            </w:tcBorders>
            <w:vAlign w:val="center"/>
          </w:tcPr>
          <w:p w:rsidR="00DC79FA" w:rsidRPr="009C7A6F" w:rsidRDefault="00DC79FA" w:rsidP="00DC79FA">
            <w:pPr>
              <w:pStyle w:val="cuatexto"/>
              <w:jc w:val="right"/>
            </w:pPr>
            <w:r w:rsidRPr="009C7A6F">
              <w:t>4,9</w:t>
            </w:r>
          </w:p>
        </w:tc>
        <w:tc>
          <w:tcPr>
            <w:tcW w:w="1823" w:type="dxa"/>
            <w:tcBorders>
              <w:top w:val="single" w:sz="2" w:space="0" w:color="auto"/>
              <w:bottom w:val="single" w:sz="4" w:space="0" w:color="auto"/>
            </w:tcBorders>
            <w:vAlign w:val="center"/>
          </w:tcPr>
          <w:p w:rsidR="00DC79FA" w:rsidRPr="009C7A6F" w:rsidRDefault="00DC79FA" w:rsidP="00DC79FA">
            <w:pPr>
              <w:pStyle w:val="cuatexto"/>
              <w:jc w:val="right"/>
            </w:pPr>
            <w:r w:rsidRPr="009C7A6F">
              <w:t>0,13</w:t>
            </w:r>
          </w:p>
        </w:tc>
      </w:tr>
    </w:tbl>
    <w:p w:rsidR="00EF1AFB" w:rsidRPr="009C7A6F" w:rsidRDefault="00EF1AFB" w:rsidP="00DC79FA">
      <w:pPr>
        <w:tabs>
          <w:tab w:val="left" w:pos="480"/>
          <w:tab w:val="num" w:pos="560"/>
          <w:tab w:val="num" w:pos="600"/>
          <w:tab w:val="num" w:pos="720"/>
        </w:tabs>
        <w:spacing w:before="60" w:after="280"/>
        <w:ind w:left="142" w:firstLine="0"/>
        <w:rPr>
          <w:rFonts w:ascii="Arial" w:hAnsi="Arial" w:cs="Arial"/>
          <w:spacing w:val="6"/>
        </w:rPr>
      </w:pPr>
      <w:r w:rsidRPr="009C7A6F">
        <w:rPr>
          <w:rFonts w:ascii="Arial" w:hAnsi="Arial" w:cs="Arial"/>
          <w:spacing w:val="6"/>
        </w:rPr>
        <w:t>*</w:t>
      </w:r>
      <w:r w:rsidR="00726A18">
        <w:rPr>
          <w:rFonts w:ascii="Arial" w:hAnsi="Arial" w:cs="Arial"/>
          <w:spacing w:val="6"/>
        </w:rPr>
        <w:t xml:space="preserve"> </w:t>
      </w:r>
      <w:r w:rsidRPr="009C7A6F">
        <w:rPr>
          <w:rFonts w:ascii="Arial" w:hAnsi="Arial" w:cs="Arial"/>
          <w:spacing w:val="6"/>
        </w:rPr>
        <w:t>S</w:t>
      </w:r>
      <w:r w:rsidRPr="009C7A6F">
        <w:rPr>
          <w:rFonts w:ascii="Arial" w:hAnsi="Arial" w:cs="Arial"/>
          <w:spacing w:val="6"/>
          <w:sz w:val="16"/>
          <w:szCs w:val="16"/>
        </w:rPr>
        <w:t>in contar la construcción del centro</w:t>
      </w:r>
      <w:r w:rsidR="007D1427">
        <w:rPr>
          <w:rFonts w:ascii="Arial" w:hAnsi="Arial" w:cs="Arial"/>
          <w:spacing w:val="6"/>
          <w:sz w:val="16"/>
          <w:szCs w:val="16"/>
        </w:rPr>
        <w:t>.</w:t>
      </w:r>
    </w:p>
    <w:p w:rsidR="00EF1AFB" w:rsidRPr="009C7A6F" w:rsidRDefault="00EF1AFB" w:rsidP="00DC79FA">
      <w:pPr>
        <w:pStyle w:val="texto"/>
        <w:rPr>
          <w:lang w:val="es-ES"/>
        </w:rPr>
      </w:pPr>
      <w:r w:rsidRPr="009C7A6F">
        <w:t>Además, hay que considerar los importes que del Plan Tecnológico del D</w:t>
      </w:r>
      <w:r w:rsidRPr="009C7A6F">
        <w:t>e</w:t>
      </w:r>
      <w:r w:rsidRPr="009C7A6F">
        <w:t>partamento de Industria pueden corresponder a la investigación sanitaria. El t</w:t>
      </w:r>
      <w:r w:rsidRPr="009C7A6F">
        <w:t>o</w:t>
      </w:r>
      <w:r w:rsidRPr="009C7A6F">
        <w:t>tal del</w:t>
      </w:r>
      <w:r w:rsidRPr="009C7A6F">
        <w:rPr>
          <w:lang w:val="es-ES"/>
        </w:rPr>
        <w:t xml:space="preserve"> gasto del Plan Tecnológico en el período asciende a 83,3 millones. La Fundación Miguel Servet ha percibido en el período 2012-2015 fondos por i</w:t>
      </w:r>
      <w:r w:rsidRPr="009C7A6F">
        <w:rPr>
          <w:lang w:val="es-ES"/>
        </w:rPr>
        <w:t>m</w:t>
      </w:r>
      <w:r w:rsidRPr="009C7A6F">
        <w:rPr>
          <w:lang w:val="es-ES"/>
        </w:rPr>
        <w:t>porte de 99.205 euros.</w:t>
      </w:r>
    </w:p>
    <w:p w:rsidR="00EF1AFB" w:rsidRPr="00917563" w:rsidRDefault="00EF1AFB" w:rsidP="00585FA1">
      <w:pPr>
        <w:pStyle w:val="atitulo3"/>
        <w:spacing w:before="240"/>
      </w:pPr>
      <w:r w:rsidRPr="00917563">
        <w:t>Sobre la actividad de la Fundación Miguel Servet</w:t>
      </w:r>
    </w:p>
    <w:p w:rsidR="00EF1AFB" w:rsidRPr="009C7A6F" w:rsidRDefault="00EF1AFB" w:rsidP="00585FA1">
      <w:pPr>
        <w:pStyle w:val="texto"/>
        <w:spacing w:before="240" w:after="240"/>
        <w:rPr>
          <w:lang w:val="es-ES"/>
        </w:rPr>
      </w:pPr>
      <w:r w:rsidRPr="009C7A6F">
        <w:rPr>
          <w:b/>
          <w:szCs w:val="26"/>
        </w:rPr>
        <w:t>12</w:t>
      </w:r>
      <w:proofErr w:type="gramStart"/>
      <w:r w:rsidRPr="009C7A6F">
        <w:rPr>
          <w:b/>
          <w:szCs w:val="26"/>
        </w:rPr>
        <w:t>.ª</w:t>
      </w:r>
      <w:proofErr w:type="gramEnd"/>
      <w:r w:rsidRPr="009C7A6F">
        <w:rPr>
          <w:b/>
          <w:szCs w:val="26"/>
        </w:rPr>
        <w:t>)</w:t>
      </w:r>
      <w:r w:rsidRPr="009C7A6F">
        <w:rPr>
          <w:szCs w:val="26"/>
        </w:rPr>
        <w:t xml:space="preserve"> Para</w:t>
      </w:r>
      <w:r w:rsidRPr="009C7A6F">
        <w:rPr>
          <w:lang w:val="es-ES"/>
        </w:rPr>
        <w:t xml:space="preserve"> realizar su actividad, la fundación ha dispuesto en 2015 de 108 personas equivalentes a 66 a tiempo completo.</w:t>
      </w:r>
    </w:p>
    <w:p w:rsidR="00EF1AFB" w:rsidRPr="009C7A6F" w:rsidRDefault="00EF1AFB" w:rsidP="00DC79FA">
      <w:pPr>
        <w:pStyle w:val="texto"/>
        <w:rPr>
          <w:lang w:val="es-ES"/>
        </w:rPr>
      </w:pPr>
      <w:r w:rsidRPr="009C7A6F">
        <w:rPr>
          <w:lang w:val="es-ES"/>
        </w:rPr>
        <w:t>A 31 de diciembre las personas que trabajaban en la fundación eran:</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7538"/>
        <w:gridCol w:w="1251"/>
      </w:tblGrid>
      <w:tr w:rsidR="00EF1AFB" w:rsidRPr="009C7A6F" w:rsidTr="00B278C5">
        <w:trPr>
          <w:trHeight w:val="255"/>
        </w:trPr>
        <w:tc>
          <w:tcPr>
            <w:tcW w:w="7513" w:type="dxa"/>
            <w:shd w:val="clear" w:color="auto" w:fill="8DB3E2" w:themeFill="text2" w:themeFillTint="66"/>
            <w:vAlign w:val="center"/>
          </w:tcPr>
          <w:p w:rsidR="00EF1AFB" w:rsidRPr="009C7A6F" w:rsidRDefault="00EF1AFB" w:rsidP="00DC79FA">
            <w:pPr>
              <w:pStyle w:val="cuadroCabe"/>
              <w:rPr>
                <w:lang w:val="es-ES" w:eastAsia="es-ES"/>
              </w:rPr>
            </w:pPr>
            <w:r w:rsidRPr="009C7A6F">
              <w:rPr>
                <w:lang w:val="es-ES" w:eastAsia="es-ES"/>
              </w:rPr>
              <w:t>Concepto</w:t>
            </w:r>
          </w:p>
        </w:tc>
        <w:tc>
          <w:tcPr>
            <w:tcW w:w="1247" w:type="dxa"/>
            <w:shd w:val="clear" w:color="auto" w:fill="8DB3E2" w:themeFill="text2" w:themeFillTint="66"/>
            <w:vAlign w:val="center"/>
          </w:tcPr>
          <w:p w:rsidR="00EF1AFB" w:rsidRPr="009C7A6F" w:rsidRDefault="00EF1AFB" w:rsidP="00B278C5">
            <w:pPr>
              <w:pStyle w:val="cuadroCabe"/>
              <w:ind w:left="-138"/>
              <w:jc w:val="right"/>
              <w:rPr>
                <w:bCs/>
                <w:color w:val="000000"/>
                <w:szCs w:val="18"/>
                <w:lang w:val="es-ES" w:eastAsia="es-ES"/>
              </w:rPr>
            </w:pPr>
            <w:r w:rsidRPr="009C7A6F">
              <w:rPr>
                <w:bCs/>
                <w:color w:val="000000"/>
                <w:szCs w:val="18"/>
                <w:lang w:val="es-ES" w:eastAsia="es-ES"/>
              </w:rPr>
              <w:t>Nº personas</w:t>
            </w:r>
          </w:p>
        </w:tc>
      </w:tr>
      <w:tr w:rsidR="00EF1AFB" w:rsidRPr="009C7A6F" w:rsidTr="00B278C5">
        <w:trPr>
          <w:trHeight w:val="198"/>
        </w:trPr>
        <w:tc>
          <w:tcPr>
            <w:tcW w:w="7513" w:type="dxa"/>
            <w:tcBorders>
              <w:bottom w:val="single" w:sz="2" w:space="0" w:color="auto"/>
            </w:tcBorders>
            <w:vAlign w:val="center"/>
          </w:tcPr>
          <w:p w:rsidR="00EF1AFB" w:rsidRPr="009C7A6F" w:rsidRDefault="00EF1AFB" w:rsidP="00DC79FA">
            <w:pPr>
              <w:pStyle w:val="cuatexto"/>
              <w:rPr>
                <w:lang w:val="es-ES" w:eastAsia="es-ES"/>
              </w:rPr>
            </w:pPr>
            <w:r w:rsidRPr="009C7A6F">
              <w:rPr>
                <w:lang w:val="es-ES" w:eastAsia="es-ES"/>
              </w:rPr>
              <w:t>Dirección</w:t>
            </w:r>
          </w:p>
        </w:tc>
        <w:tc>
          <w:tcPr>
            <w:tcW w:w="1247" w:type="dxa"/>
            <w:tcBorders>
              <w:bottom w:val="single" w:sz="2" w:space="0" w:color="auto"/>
            </w:tcBorders>
            <w:vAlign w:val="center"/>
          </w:tcPr>
          <w:p w:rsidR="00EF1AFB" w:rsidRPr="009C7A6F" w:rsidRDefault="00EF1AFB" w:rsidP="00DC79FA">
            <w:pPr>
              <w:pStyle w:val="cuatexto"/>
              <w:jc w:val="right"/>
              <w:rPr>
                <w:rFonts w:ascii="Arial" w:hAnsi="Arial"/>
                <w:bCs/>
                <w:color w:val="000000"/>
                <w:sz w:val="18"/>
                <w:szCs w:val="18"/>
                <w:lang w:val="es-ES" w:eastAsia="es-ES"/>
              </w:rPr>
            </w:pPr>
            <w:r w:rsidRPr="009C7A6F">
              <w:rPr>
                <w:rFonts w:ascii="Arial" w:hAnsi="Arial"/>
                <w:bCs/>
                <w:color w:val="000000"/>
                <w:sz w:val="18"/>
                <w:szCs w:val="18"/>
                <w:lang w:val="es-ES" w:eastAsia="es-ES"/>
              </w:rPr>
              <w:t>2</w:t>
            </w:r>
          </w:p>
        </w:tc>
      </w:tr>
      <w:tr w:rsidR="00EF1AFB" w:rsidRPr="009C7A6F" w:rsidTr="00B278C5">
        <w:trPr>
          <w:trHeight w:val="198"/>
        </w:trPr>
        <w:tc>
          <w:tcPr>
            <w:tcW w:w="7513" w:type="dxa"/>
            <w:tcBorders>
              <w:top w:val="single" w:sz="2" w:space="0" w:color="auto"/>
              <w:bottom w:val="single" w:sz="2" w:space="0" w:color="auto"/>
            </w:tcBorders>
            <w:vAlign w:val="center"/>
          </w:tcPr>
          <w:p w:rsidR="00EF1AFB" w:rsidRPr="009C7A6F" w:rsidRDefault="00EF1AFB" w:rsidP="00DC79FA">
            <w:pPr>
              <w:pStyle w:val="cuatexto"/>
              <w:rPr>
                <w:lang w:val="es-ES" w:eastAsia="es-ES"/>
              </w:rPr>
            </w:pPr>
            <w:proofErr w:type="spellStart"/>
            <w:r w:rsidRPr="009C7A6F">
              <w:rPr>
                <w:lang w:val="es-ES" w:eastAsia="es-ES"/>
              </w:rPr>
              <w:t>Admon</w:t>
            </w:r>
            <w:proofErr w:type="spellEnd"/>
            <w:r w:rsidRPr="009C7A6F">
              <w:rPr>
                <w:lang w:val="es-ES" w:eastAsia="es-ES"/>
              </w:rPr>
              <w:t>. gestión proyectos, metodología, comunicación, plataformas  e investigadores pr</w:t>
            </w:r>
            <w:r w:rsidRPr="009C7A6F">
              <w:rPr>
                <w:lang w:val="es-ES" w:eastAsia="es-ES"/>
              </w:rPr>
              <w:t>o</w:t>
            </w:r>
            <w:r w:rsidRPr="009C7A6F">
              <w:rPr>
                <w:lang w:val="es-ES" w:eastAsia="es-ES"/>
              </w:rPr>
              <w:t>pios</w:t>
            </w:r>
          </w:p>
        </w:tc>
        <w:tc>
          <w:tcPr>
            <w:tcW w:w="1247" w:type="dxa"/>
            <w:tcBorders>
              <w:top w:val="single" w:sz="2" w:space="0" w:color="auto"/>
              <w:bottom w:val="single" w:sz="2" w:space="0" w:color="auto"/>
            </w:tcBorders>
            <w:vAlign w:val="center"/>
          </w:tcPr>
          <w:p w:rsidR="00EF1AFB" w:rsidRPr="009C7A6F" w:rsidRDefault="00EF1AFB" w:rsidP="00DC79FA">
            <w:pPr>
              <w:pStyle w:val="cuatexto"/>
              <w:jc w:val="right"/>
              <w:rPr>
                <w:rFonts w:ascii="Arial" w:hAnsi="Arial"/>
                <w:bCs/>
                <w:color w:val="000000"/>
                <w:sz w:val="18"/>
                <w:szCs w:val="18"/>
                <w:lang w:val="es-ES" w:eastAsia="es-ES"/>
              </w:rPr>
            </w:pPr>
            <w:r w:rsidRPr="009C7A6F">
              <w:rPr>
                <w:rFonts w:ascii="Arial" w:hAnsi="Arial"/>
                <w:bCs/>
                <w:color w:val="000000"/>
                <w:sz w:val="18"/>
                <w:szCs w:val="18"/>
                <w:lang w:val="es-ES" w:eastAsia="es-ES"/>
              </w:rPr>
              <w:t>40</w:t>
            </w:r>
          </w:p>
        </w:tc>
      </w:tr>
      <w:tr w:rsidR="00EF1AFB" w:rsidRPr="00585FA1" w:rsidTr="00B278C5">
        <w:trPr>
          <w:trHeight w:val="198"/>
        </w:trPr>
        <w:tc>
          <w:tcPr>
            <w:tcW w:w="7513" w:type="dxa"/>
            <w:tcBorders>
              <w:top w:val="single" w:sz="2" w:space="0" w:color="auto"/>
              <w:bottom w:val="single" w:sz="2" w:space="0" w:color="auto"/>
            </w:tcBorders>
            <w:vAlign w:val="center"/>
          </w:tcPr>
          <w:p w:rsidR="00EF1AFB" w:rsidRPr="00585FA1" w:rsidRDefault="00EF1AFB" w:rsidP="00DC79FA">
            <w:pPr>
              <w:pStyle w:val="cuatexto"/>
              <w:rPr>
                <w:rFonts w:ascii="Arial" w:hAnsi="Arial" w:cs="Arial"/>
                <w:sz w:val="19"/>
                <w:szCs w:val="19"/>
                <w:lang w:val="es-ES" w:eastAsia="es-ES"/>
              </w:rPr>
            </w:pPr>
            <w:r w:rsidRPr="00585FA1">
              <w:rPr>
                <w:rFonts w:ascii="Arial" w:hAnsi="Arial" w:cs="Arial"/>
                <w:sz w:val="19"/>
                <w:szCs w:val="19"/>
                <w:lang w:val="es-ES" w:eastAsia="es-ES"/>
              </w:rPr>
              <w:t>Subtotal estructura</w:t>
            </w:r>
          </w:p>
        </w:tc>
        <w:tc>
          <w:tcPr>
            <w:tcW w:w="1247" w:type="dxa"/>
            <w:tcBorders>
              <w:top w:val="single" w:sz="2" w:space="0" w:color="auto"/>
              <w:bottom w:val="single" w:sz="2" w:space="0" w:color="auto"/>
            </w:tcBorders>
            <w:vAlign w:val="center"/>
          </w:tcPr>
          <w:p w:rsidR="00EF1AFB" w:rsidRPr="00585FA1" w:rsidRDefault="00EF1AFB" w:rsidP="00DC79FA">
            <w:pPr>
              <w:pStyle w:val="cuatexto"/>
              <w:jc w:val="right"/>
              <w:rPr>
                <w:rFonts w:ascii="Arial" w:hAnsi="Arial" w:cs="Arial"/>
                <w:bCs/>
                <w:color w:val="000000"/>
                <w:sz w:val="19"/>
                <w:szCs w:val="19"/>
                <w:lang w:val="es-ES" w:eastAsia="es-ES"/>
              </w:rPr>
            </w:pPr>
            <w:r w:rsidRPr="00585FA1">
              <w:rPr>
                <w:rFonts w:ascii="Arial" w:hAnsi="Arial" w:cs="Arial"/>
                <w:bCs/>
                <w:color w:val="000000"/>
                <w:sz w:val="19"/>
                <w:szCs w:val="19"/>
                <w:lang w:val="es-ES" w:eastAsia="es-ES"/>
              </w:rPr>
              <w:t>42</w:t>
            </w:r>
          </w:p>
        </w:tc>
      </w:tr>
      <w:tr w:rsidR="00EF1AFB" w:rsidRPr="009C7A6F" w:rsidTr="00B278C5">
        <w:trPr>
          <w:trHeight w:val="198"/>
        </w:trPr>
        <w:tc>
          <w:tcPr>
            <w:tcW w:w="7513" w:type="dxa"/>
            <w:tcBorders>
              <w:top w:val="single" w:sz="2" w:space="0" w:color="auto"/>
            </w:tcBorders>
            <w:vAlign w:val="center"/>
          </w:tcPr>
          <w:p w:rsidR="00EF1AFB" w:rsidRPr="009C7A6F" w:rsidRDefault="00EF1AFB" w:rsidP="00DC79FA">
            <w:pPr>
              <w:pStyle w:val="cuatexto"/>
              <w:rPr>
                <w:lang w:val="es-ES" w:eastAsia="es-ES"/>
              </w:rPr>
            </w:pPr>
            <w:r w:rsidRPr="009C7A6F">
              <w:rPr>
                <w:lang w:val="es-ES" w:eastAsia="es-ES"/>
              </w:rPr>
              <w:t>Investigadores y otros contratados para proyectos concretos y financiado por esos proyectos</w:t>
            </w:r>
          </w:p>
        </w:tc>
        <w:tc>
          <w:tcPr>
            <w:tcW w:w="1247" w:type="dxa"/>
            <w:tcBorders>
              <w:top w:val="single" w:sz="2" w:space="0" w:color="auto"/>
            </w:tcBorders>
            <w:vAlign w:val="center"/>
          </w:tcPr>
          <w:p w:rsidR="00EF1AFB" w:rsidRPr="009C7A6F" w:rsidRDefault="00EF1AFB" w:rsidP="00DC79FA">
            <w:pPr>
              <w:pStyle w:val="cuatexto"/>
              <w:jc w:val="right"/>
              <w:rPr>
                <w:rFonts w:ascii="Arial" w:hAnsi="Arial"/>
                <w:bCs/>
                <w:color w:val="000000"/>
                <w:sz w:val="18"/>
                <w:szCs w:val="18"/>
                <w:lang w:val="es-ES" w:eastAsia="es-ES"/>
              </w:rPr>
            </w:pPr>
            <w:r w:rsidRPr="009C7A6F">
              <w:rPr>
                <w:rFonts w:ascii="Arial" w:hAnsi="Arial"/>
                <w:bCs/>
                <w:color w:val="000000"/>
                <w:sz w:val="18"/>
                <w:szCs w:val="18"/>
                <w:lang w:val="es-ES" w:eastAsia="es-ES"/>
              </w:rPr>
              <w:t>33</w:t>
            </w:r>
          </w:p>
        </w:tc>
      </w:tr>
      <w:tr w:rsidR="00EF1AFB" w:rsidRPr="009C7A6F" w:rsidTr="00B278C5">
        <w:trPr>
          <w:trHeight w:val="255"/>
        </w:trPr>
        <w:tc>
          <w:tcPr>
            <w:tcW w:w="7513" w:type="dxa"/>
            <w:shd w:val="clear" w:color="auto" w:fill="8DB3E2" w:themeFill="text2" w:themeFillTint="66"/>
            <w:vAlign w:val="center"/>
          </w:tcPr>
          <w:p w:rsidR="00EF1AFB" w:rsidRPr="009C7A6F" w:rsidRDefault="00EF1AFB" w:rsidP="00DC79FA">
            <w:pPr>
              <w:pStyle w:val="cuadroCabe"/>
              <w:rPr>
                <w:lang w:val="es-ES" w:eastAsia="es-ES"/>
              </w:rPr>
            </w:pPr>
            <w:r w:rsidRPr="009C7A6F">
              <w:rPr>
                <w:lang w:val="es-ES" w:eastAsia="es-ES"/>
              </w:rPr>
              <w:t>Total</w:t>
            </w:r>
          </w:p>
        </w:tc>
        <w:tc>
          <w:tcPr>
            <w:tcW w:w="1247" w:type="dxa"/>
            <w:shd w:val="clear" w:color="auto" w:fill="8DB3E2" w:themeFill="text2" w:themeFillTint="66"/>
            <w:vAlign w:val="center"/>
          </w:tcPr>
          <w:p w:rsidR="00EF1AFB" w:rsidRPr="009C7A6F" w:rsidRDefault="00EF1AFB" w:rsidP="00DC79FA">
            <w:pPr>
              <w:pStyle w:val="cuadroCabe"/>
              <w:jc w:val="right"/>
              <w:rPr>
                <w:bCs/>
                <w:color w:val="000000"/>
                <w:lang w:val="es-ES" w:eastAsia="es-ES"/>
              </w:rPr>
            </w:pPr>
            <w:r w:rsidRPr="009C7A6F">
              <w:rPr>
                <w:bCs/>
                <w:color w:val="000000"/>
                <w:lang w:val="es-ES" w:eastAsia="es-ES"/>
              </w:rPr>
              <w:t>75</w:t>
            </w:r>
          </w:p>
        </w:tc>
      </w:tr>
    </w:tbl>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spacing w:val="6"/>
          <w:sz w:val="26"/>
          <w:szCs w:val="24"/>
          <w:lang w:val="es-ES"/>
        </w:rPr>
        <w:t>Además, trabaja en el ámbito de la fundación el personal asistencial del Se</w:t>
      </w:r>
      <w:r w:rsidRPr="009C7A6F">
        <w:rPr>
          <w:spacing w:val="6"/>
          <w:sz w:val="26"/>
          <w:szCs w:val="24"/>
          <w:lang w:val="es-ES"/>
        </w:rPr>
        <w:t>r</w:t>
      </w:r>
      <w:r w:rsidRPr="009C7A6F">
        <w:rPr>
          <w:spacing w:val="6"/>
          <w:sz w:val="26"/>
          <w:szCs w:val="24"/>
          <w:lang w:val="es-ES"/>
        </w:rPr>
        <w:t>vicio Navarro de Salud que, sin pertenecer a la misma, realiza proyectos de i</w:t>
      </w:r>
      <w:r w:rsidRPr="009C7A6F">
        <w:rPr>
          <w:spacing w:val="6"/>
          <w:sz w:val="26"/>
          <w:szCs w:val="24"/>
          <w:lang w:val="es-ES"/>
        </w:rPr>
        <w:t>n</w:t>
      </w:r>
      <w:r w:rsidRPr="009C7A6F">
        <w:rPr>
          <w:spacing w:val="6"/>
          <w:sz w:val="26"/>
          <w:szCs w:val="24"/>
          <w:lang w:val="es-ES"/>
        </w:rPr>
        <w:lastRenderedPageBreak/>
        <w:t>vestigación y que eran aproximadamente 256 con diferentes grados de dedic</w:t>
      </w:r>
      <w:r w:rsidRPr="009C7A6F">
        <w:rPr>
          <w:spacing w:val="6"/>
          <w:sz w:val="26"/>
          <w:szCs w:val="24"/>
          <w:lang w:val="es-ES"/>
        </w:rPr>
        <w:t>a</w:t>
      </w:r>
      <w:r w:rsidRPr="009C7A6F">
        <w:rPr>
          <w:spacing w:val="6"/>
          <w:sz w:val="26"/>
          <w:szCs w:val="24"/>
          <w:lang w:val="es-ES"/>
        </w:rPr>
        <w:t>ción.</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spacing w:val="6"/>
          <w:sz w:val="26"/>
          <w:szCs w:val="24"/>
          <w:lang w:val="es-ES"/>
        </w:rPr>
        <w:t>De 2009 a 2015, sin considerar el personal asignado al CIB que pertenecía al Servicio Navarro de Salud, el número medio de personas trabajando durante el año en la Fundación Miguel Servet ha pasado de 11,6 a 65,8 y los ingresos de la actividad de 0,8 a 3,6 millones, lo que nos indica el incremento de la activ</w:t>
      </w:r>
      <w:r w:rsidRPr="009C7A6F">
        <w:rPr>
          <w:spacing w:val="6"/>
          <w:sz w:val="26"/>
          <w:szCs w:val="24"/>
          <w:lang w:val="es-ES"/>
        </w:rPr>
        <w:t>i</w:t>
      </w:r>
      <w:r w:rsidRPr="009C7A6F">
        <w:rPr>
          <w:spacing w:val="6"/>
          <w:sz w:val="26"/>
          <w:szCs w:val="24"/>
          <w:lang w:val="es-ES"/>
        </w:rPr>
        <w:t>dad de la fundación.</w:t>
      </w:r>
    </w:p>
    <w:p w:rsidR="00EF1AFB" w:rsidRPr="009C7A6F" w:rsidRDefault="00EF1AFB" w:rsidP="00585FA1">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b/>
          <w:spacing w:val="6"/>
          <w:sz w:val="26"/>
          <w:szCs w:val="26"/>
        </w:rPr>
        <w:t>13</w:t>
      </w:r>
      <w:proofErr w:type="gramStart"/>
      <w:r w:rsidRPr="009C7A6F">
        <w:rPr>
          <w:b/>
          <w:spacing w:val="6"/>
          <w:sz w:val="26"/>
          <w:szCs w:val="26"/>
        </w:rPr>
        <w:t>.ª</w:t>
      </w:r>
      <w:proofErr w:type="gramEnd"/>
      <w:r w:rsidRPr="009C7A6F">
        <w:rPr>
          <w:b/>
          <w:spacing w:val="6"/>
          <w:sz w:val="26"/>
          <w:szCs w:val="26"/>
        </w:rPr>
        <w:t>)</w:t>
      </w:r>
      <w:r w:rsidRPr="009C7A6F">
        <w:rPr>
          <w:spacing w:val="6"/>
          <w:sz w:val="26"/>
          <w:szCs w:val="24"/>
          <w:lang w:val="es-ES"/>
        </w:rPr>
        <w:t xml:space="preserve"> Entre los años 2012 y 2015 los ingresos cobrados para proyectos de i</w:t>
      </w:r>
      <w:r w:rsidRPr="009C7A6F">
        <w:rPr>
          <w:spacing w:val="6"/>
          <w:sz w:val="26"/>
          <w:szCs w:val="24"/>
          <w:lang w:val="es-ES"/>
        </w:rPr>
        <w:t>n</w:t>
      </w:r>
      <w:r w:rsidRPr="009C7A6F">
        <w:rPr>
          <w:spacing w:val="6"/>
          <w:sz w:val="26"/>
          <w:szCs w:val="24"/>
          <w:lang w:val="es-ES"/>
        </w:rPr>
        <w:t>vestigación tienen el siguiente origen:</w:t>
      </w:r>
    </w:p>
    <w:tbl>
      <w:tblPr>
        <w:tblW w:w="8719" w:type="dxa"/>
        <w:tblInd w:w="70" w:type="dxa"/>
        <w:tblCellMar>
          <w:left w:w="70" w:type="dxa"/>
          <w:right w:w="70" w:type="dxa"/>
        </w:tblCellMar>
        <w:tblLook w:val="04A0" w:firstRow="1" w:lastRow="0" w:firstColumn="1" w:lastColumn="0" w:noHBand="0" w:noVBand="1"/>
      </w:tblPr>
      <w:tblGrid>
        <w:gridCol w:w="2287"/>
        <w:gridCol w:w="1612"/>
        <w:gridCol w:w="2145"/>
        <w:gridCol w:w="2675"/>
      </w:tblGrid>
      <w:tr w:rsidR="00EF1AFB" w:rsidRPr="00917563" w:rsidTr="00AB5C3D">
        <w:trPr>
          <w:trHeight w:val="252"/>
        </w:trPr>
        <w:tc>
          <w:tcPr>
            <w:tcW w:w="2287" w:type="dxa"/>
            <w:tcBorders>
              <w:top w:val="single" w:sz="4" w:space="0" w:color="auto"/>
              <w:left w:val="nil"/>
              <w:bottom w:val="single" w:sz="4" w:space="0" w:color="auto"/>
              <w:right w:val="nil"/>
            </w:tcBorders>
            <w:shd w:val="clear" w:color="auto" w:fill="8DB3E2" w:themeFill="text2" w:themeFillTint="66"/>
            <w:vAlign w:val="center"/>
            <w:hideMark/>
          </w:tcPr>
          <w:p w:rsidR="00EF1AFB" w:rsidRPr="009C7A6F" w:rsidRDefault="00EF1AFB" w:rsidP="00AB5C3D">
            <w:pPr>
              <w:pStyle w:val="cuadroCabe"/>
              <w:rPr>
                <w:lang w:val="es-ES" w:eastAsia="es-ES"/>
              </w:rPr>
            </w:pPr>
            <w:r w:rsidRPr="009C7A6F">
              <w:rPr>
                <w:lang w:val="es-ES" w:eastAsia="es-ES"/>
              </w:rPr>
              <w:t>Financiador</w:t>
            </w:r>
          </w:p>
        </w:tc>
        <w:tc>
          <w:tcPr>
            <w:tcW w:w="1612" w:type="dxa"/>
            <w:tcBorders>
              <w:top w:val="single" w:sz="4" w:space="0" w:color="auto"/>
              <w:left w:val="nil"/>
              <w:bottom w:val="single" w:sz="4" w:space="0" w:color="auto"/>
              <w:right w:val="nil"/>
            </w:tcBorders>
            <w:shd w:val="clear" w:color="auto" w:fill="8DB3E2" w:themeFill="text2" w:themeFillTint="66"/>
            <w:vAlign w:val="center"/>
            <w:hideMark/>
          </w:tcPr>
          <w:p w:rsidR="00EF1AFB" w:rsidRPr="009C7A6F" w:rsidRDefault="00EF1AFB" w:rsidP="001F550E">
            <w:pPr>
              <w:pStyle w:val="cuadroCabe"/>
              <w:jc w:val="right"/>
              <w:rPr>
                <w:lang w:val="es-ES" w:eastAsia="es-ES"/>
              </w:rPr>
            </w:pPr>
            <w:r w:rsidRPr="009C7A6F">
              <w:rPr>
                <w:lang w:val="es-ES" w:eastAsia="es-ES"/>
              </w:rPr>
              <w:t>Ingresos</w:t>
            </w:r>
          </w:p>
        </w:tc>
        <w:tc>
          <w:tcPr>
            <w:tcW w:w="2145" w:type="dxa"/>
            <w:tcBorders>
              <w:top w:val="single" w:sz="4" w:space="0" w:color="auto"/>
              <w:left w:val="nil"/>
              <w:bottom w:val="single" w:sz="4" w:space="0" w:color="auto"/>
              <w:right w:val="nil"/>
            </w:tcBorders>
            <w:shd w:val="clear" w:color="auto" w:fill="8DB3E2" w:themeFill="text2" w:themeFillTint="66"/>
            <w:vAlign w:val="center"/>
            <w:hideMark/>
          </w:tcPr>
          <w:p w:rsidR="00EF1AFB" w:rsidRPr="009C7A6F" w:rsidRDefault="00EF1AFB" w:rsidP="001F550E">
            <w:pPr>
              <w:pStyle w:val="cuadroCabe"/>
              <w:jc w:val="right"/>
              <w:rPr>
                <w:lang w:val="es-ES" w:eastAsia="es-ES"/>
              </w:rPr>
            </w:pPr>
            <w:r w:rsidRPr="009C7A6F">
              <w:rPr>
                <w:lang w:val="es-ES" w:eastAsia="es-ES"/>
              </w:rPr>
              <w:t>Número de proyectos</w:t>
            </w:r>
          </w:p>
        </w:tc>
        <w:tc>
          <w:tcPr>
            <w:tcW w:w="2675" w:type="dxa"/>
            <w:tcBorders>
              <w:top w:val="single" w:sz="4" w:space="0" w:color="auto"/>
              <w:left w:val="nil"/>
              <w:bottom w:val="single" w:sz="4" w:space="0" w:color="auto"/>
              <w:right w:val="nil"/>
            </w:tcBorders>
            <w:shd w:val="clear" w:color="auto" w:fill="8DB3E2" w:themeFill="text2" w:themeFillTint="66"/>
            <w:vAlign w:val="bottom"/>
            <w:hideMark/>
          </w:tcPr>
          <w:p w:rsidR="00EF1AFB" w:rsidRPr="009C7A6F" w:rsidRDefault="00EF1AFB" w:rsidP="001F550E">
            <w:pPr>
              <w:pStyle w:val="cuadroCabe"/>
              <w:jc w:val="right"/>
              <w:rPr>
                <w:lang w:val="es-ES" w:eastAsia="es-ES"/>
              </w:rPr>
            </w:pPr>
            <w:r w:rsidRPr="009C7A6F">
              <w:rPr>
                <w:lang w:val="es-ES" w:eastAsia="es-ES"/>
              </w:rPr>
              <w:t>Importe medio</w:t>
            </w:r>
            <w:r w:rsidR="00917563">
              <w:rPr>
                <w:lang w:val="es-ES" w:eastAsia="es-ES"/>
              </w:rPr>
              <w:t xml:space="preserve"> </w:t>
            </w:r>
            <w:r w:rsidRPr="009C7A6F">
              <w:rPr>
                <w:lang w:val="es-ES" w:eastAsia="es-ES"/>
              </w:rPr>
              <w:t>por proyecto</w:t>
            </w:r>
          </w:p>
        </w:tc>
      </w:tr>
      <w:tr w:rsidR="00EF1AFB" w:rsidRPr="009C7A6F" w:rsidTr="00AB5C3D">
        <w:trPr>
          <w:trHeight w:val="198"/>
        </w:trPr>
        <w:tc>
          <w:tcPr>
            <w:tcW w:w="2287" w:type="dxa"/>
            <w:tcBorders>
              <w:top w:val="single" w:sz="4" w:space="0" w:color="auto"/>
              <w:bottom w:val="single" w:sz="2" w:space="0" w:color="auto"/>
            </w:tcBorders>
            <w:noWrap/>
            <w:vAlign w:val="bottom"/>
            <w:hideMark/>
          </w:tcPr>
          <w:p w:rsidR="00EF1AFB" w:rsidRPr="009C7A6F" w:rsidRDefault="00EF1AFB" w:rsidP="00AB5C3D">
            <w:pPr>
              <w:pStyle w:val="cuatexto"/>
              <w:rPr>
                <w:lang w:val="es-ES" w:eastAsia="es-ES"/>
              </w:rPr>
            </w:pPr>
            <w:r w:rsidRPr="009C7A6F">
              <w:rPr>
                <w:lang w:val="es-ES" w:eastAsia="es-ES"/>
              </w:rPr>
              <w:t>Estatal</w:t>
            </w:r>
          </w:p>
        </w:tc>
        <w:tc>
          <w:tcPr>
            <w:tcW w:w="1612" w:type="dxa"/>
            <w:tcBorders>
              <w:top w:val="single" w:sz="4"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2.503.706</w:t>
            </w:r>
          </w:p>
        </w:tc>
        <w:tc>
          <w:tcPr>
            <w:tcW w:w="2145" w:type="dxa"/>
            <w:tcBorders>
              <w:top w:val="single" w:sz="4"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29</w:t>
            </w:r>
          </w:p>
        </w:tc>
        <w:tc>
          <w:tcPr>
            <w:tcW w:w="2675" w:type="dxa"/>
            <w:tcBorders>
              <w:top w:val="single" w:sz="4"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86.335</w:t>
            </w:r>
          </w:p>
        </w:tc>
      </w:tr>
      <w:tr w:rsidR="00EF1AFB" w:rsidRPr="009C7A6F" w:rsidTr="00AB5C3D">
        <w:trPr>
          <w:trHeight w:val="198"/>
        </w:trPr>
        <w:tc>
          <w:tcPr>
            <w:tcW w:w="2287" w:type="dxa"/>
            <w:tcBorders>
              <w:top w:val="single" w:sz="2" w:space="0" w:color="auto"/>
              <w:bottom w:val="single" w:sz="2" w:space="0" w:color="auto"/>
            </w:tcBorders>
            <w:noWrap/>
            <w:vAlign w:val="bottom"/>
            <w:hideMark/>
          </w:tcPr>
          <w:p w:rsidR="00EF1AFB" w:rsidRPr="009C7A6F" w:rsidRDefault="00EF1AFB" w:rsidP="00AB5C3D">
            <w:pPr>
              <w:pStyle w:val="cuatexto"/>
              <w:rPr>
                <w:lang w:val="es-ES" w:eastAsia="es-ES"/>
              </w:rPr>
            </w:pPr>
            <w:r w:rsidRPr="009C7A6F">
              <w:rPr>
                <w:lang w:val="es-ES" w:eastAsia="es-ES"/>
              </w:rPr>
              <w:t>Europa</w:t>
            </w:r>
          </w:p>
        </w:tc>
        <w:tc>
          <w:tcPr>
            <w:tcW w:w="1612" w:type="dxa"/>
            <w:tcBorders>
              <w:top w:val="single" w:sz="2"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448.125</w:t>
            </w:r>
          </w:p>
        </w:tc>
        <w:tc>
          <w:tcPr>
            <w:tcW w:w="2145" w:type="dxa"/>
            <w:tcBorders>
              <w:top w:val="single" w:sz="2"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3</w:t>
            </w:r>
          </w:p>
        </w:tc>
        <w:tc>
          <w:tcPr>
            <w:tcW w:w="2675" w:type="dxa"/>
            <w:tcBorders>
              <w:top w:val="single" w:sz="2" w:space="0" w:color="auto"/>
              <w:bottom w:val="single" w:sz="2" w:space="0" w:color="auto"/>
            </w:tcBorders>
            <w:noWrap/>
            <w:vAlign w:val="bottom"/>
          </w:tcPr>
          <w:p w:rsidR="00EF1AFB" w:rsidRPr="009C7A6F" w:rsidRDefault="00EF1AFB" w:rsidP="001F550E">
            <w:pPr>
              <w:pStyle w:val="cuatexto"/>
              <w:jc w:val="right"/>
              <w:rPr>
                <w:lang w:val="es-ES" w:eastAsia="es-ES"/>
              </w:rPr>
            </w:pPr>
            <w:r w:rsidRPr="009C7A6F">
              <w:rPr>
                <w:lang w:val="es-ES" w:eastAsia="es-ES"/>
              </w:rPr>
              <w:t>149.375</w:t>
            </w:r>
          </w:p>
        </w:tc>
      </w:tr>
      <w:tr w:rsidR="00EF1AFB" w:rsidRPr="009C7A6F" w:rsidTr="00AB5C3D">
        <w:trPr>
          <w:trHeight w:val="198"/>
        </w:trPr>
        <w:tc>
          <w:tcPr>
            <w:tcW w:w="2287" w:type="dxa"/>
            <w:tcBorders>
              <w:top w:val="single" w:sz="2" w:space="0" w:color="auto"/>
              <w:bottom w:val="single" w:sz="2" w:space="0" w:color="auto"/>
            </w:tcBorders>
            <w:noWrap/>
            <w:vAlign w:val="bottom"/>
            <w:hideMark/>
          </w:tcPr>
          <w:p w:rsidR="00EF1AFB" w:rsidRPr="009C7A6F" w:rsidRDefault="00EF1AFB" w:rsidP="00AB5C3D">
            <w:pPr>
              <w:pStyle w:val="cuatexto"/>
              <w:rPr>
                <w:lang w:val="es-ES" w:eastAsia="es-ES"/>
              </w:rPr>
            </w:pPr>
            <w:r w:rsidRPr="009C7A6F">
              <w:rPr>
                <w:lang w:val="es-ES" w:eastAsia="es-ES"/>
              </w:rPr>
              <w:t>Gobierno Navarra</w:t>
            </w:r>
          </w:p>
        </w:tc>
        <w:tc>
          <w:tcPr>
            <w:tcW w:w="1612" w:type="dxa"/>
            <w:tcBorders>
              <w:top w:val="single" w:sz="2"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431.335</w:t>
            </w:r>
          </w:p>
        </w:tc>
        <w:tc>
          <w:tcPr>
            <w:tcW w:w="2145" w:type="dxa"/>
            <w:tcBorders>
              <w:top w:val="single" w:sz="2"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12</w:t>
            </w:r>
          </w:p>
        </w:tc>
        <w:tc>
          <w:tcPr>
            <w:tcW w:w="2675" w:type="dxa"/>
            <w:tcBorders>
              <w:top w:val="single" w:sz="2" w:space="0" w:color="auto"/>
              <w:bottom w:val="single" w:sz="2"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35.945</w:t>
            </w:r>
          </w:p>
        </w:tc>
      </w:tr>
      <w:tr w:rsidR="00EF1AFB" w:rsidRPr="009C7A6F" w:rsidTr="00AB5C3D">
        <w:trPr>
          <w:trHeight w:val="198"/>
        </w:trPr>
        <w:tc>
          <w:tcPr>
            <w:tcW w:w="2287" w:type="dxa"/>
            <w:tcBorders>
              <w:top w:val="single" w:sz="2" w:space="0" w:color="auto"/>
              <w:bottom w:val="single" w:sz="4" w:space="0" w:color="auto"/>
            </w:tcBorders>
            <w:noWrap/>
            <w:vAlign w:val="bottom"/>
            <w:hideMark/>
          </w:tcPr>
          <w:p w:rsidR="00EF1AFB" w:rsidRPr="009C7A6F" w:rsidRDefault="00EF1AFB" w:rsidP="00AB5C3D">
            <w:pPr>
              <w:pStyle w:val="cuatexto"/>
              <w:rPr>
                <w:lang w:val="es-ES" w:eastAsia="es-ES"/>
              </w:rPr>
            </w:pPr>
            <w:r w:rsidRPr="009C7A6F">
              <w:rPr>
                <w:lang w:val="es-ES" w:eastAsia="es-ES"/>
              </w:rPr>
              <w:t>Otros</w:t>
            </w:r>
          </w:p>
        </w:tc>
        <w:tc>
          <w:tcPr>
            <w:tcW w:w="1612" w:type="dxa"/>
            <w:tcBorders>
              <w:top w:val="single" w:sz="2" w:space="0" w:color="auto"/>
              <w:bottom w:val="single" w:sz="4"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411.999</w:t>
            </w:r>
          </w:p>
        </w:tc>
        <w:tc>
          <w:tcPr>
            <w:tcW w:w="2145" w:type="dxa"/>
            <w:tcBorders>
              <w:top w:val="single" w:sz="2" w:space="0" w:color="auto"/>
              <w:bottom w:val="single" w:sz="4"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14</w:t>
            </w:r>
          </w:p>
        </w:tc>
        <w:tc>
          <w:tcPr>
            <w:tcW w:w="2675" w:type="dxa"/>
            <w:tcBorders>
              <w:top w:val="single" w:sz="2" w:space="0" w:color="auto"/>
              <w:bottom w:val="single" w:sz="4" w:space="0" w:color="auto"/>
            </w:tcBorders>
            <w:noWrap/>
            <w:vAlign w:val="bottom"/>
            <w:hideMark/>
          </w:tcPr>
          <w:p w:rsidR="00EF1AFB" w:rsidRPr="009C7A6F" w:rsidRDefault="00EF1AFB" w:rsidP="001F550E">
            <w:pPr>
              <w:pStyle w:val="cuatexto"/>
              <w:jc w:val="right"/>
              <w:rPr>
                <w:lang w:val="es-ES" w:eastAsia="es-ES"/>
              </w:rPr>
            </w:pPr>
            <w:r w:rsidRPr="009C7A6F">
              <w:rPr>
                <w:lang w:val="es-ES" w:eastAsia="es-ES"/>
              </w:rPr>
              <w:t>29.428</w:t>
            </w:r>
          </w:p>
        </w:tc>
      </w:tr>
      <w:tr w:rsidR="00EF1AFB" w:rsidRPr="009C7A6F" w:rsidTr="00AB5C3D">
        <w:trPr>
          <w:trHeight w:val="255"/>
        </w:trPr>
        <w:tc>
          <w:tcPr>
            <w:tcW w:w="2287"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AB5C3D">
            <w:pPr>
              <w:pStyle w:val="cuadroCabe"/>
              <w:rPr>
                <w:lang w:val="es-ES" w:eastAsia="es-ES"/>
              </w:rPr>
            </w:pPr>
            <w:r w:rsidRPr="009C7A6F">
              <w:rPr>
                <w:lang w:val="es-ES" w:eastAsia="es-ES"/>
              </w:rPr>
              <w:t>Total general</w:t>
            </w:r>
          </w:p>
        </w:tc>
        <w:tc>
          <w:tcPr>
            <w:tcW w:w="1612"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1F550E">
            <w:pPr>
              <w:pStyle w:val="cuadroCabe"/>
              <w:jc w:val="right"/>
              <w:rPr>
                <w:lang w:val="es-ES" w:eastAsia="es-ES"/>
              </w:rPr>
            </w:pPr>
            <w:r w:rsidRPr="009C7A6F">
              <w:rPr>
                <w:lang w:val="es-ES" w:eastAsia="es-ES"/>
              </w:rPr>
              <w:t>3.795.165</w:t>
            </w:r>
          </w:p>
        </w:tc>
        <w:tc>
          <w:tcPr>
            <w:tcW w:w="2145"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1F550E">
            <w:pPr>
              <w:pStyle w:val="cuadroCabe"/>
              <w:jc w:val="right"/>
              <w:rPr>
                <w:lang w:val="es-ES" w:eastAsia="es-ES"/>
              </w:rPr>
            </w:pPr>
            <w:r w:rsidRPr="009C7A6F">
              <w:rPr>
                <w:lang w:val="es-ES" w:eastAsia="es-ES"/>
              </w:rPr>
              <w:t>58</w:t>
            </w:r>
          </w:p>
        </w:tc>
        <w:tc>
          <w:tcPr>
            <w:tcW w:w="2675"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1F550E">
            <w:pPr>
              <w:pStyle w:val="cuadroCabe"/>
              <w:jc w:val="right"/>
              <w:rPr>
                <w:lang w:val="es-ES" w:eastAsia="es-ES"/>
              </w:rPr>
            </w:pPr>
            <w:r w:rsidRPr="009C7A6F">
              <w:rPr>
                <w:lang w:val="es-ES" w:eastAsia="es-ES"/>
              </w:rPr>
              <w:t>65.434</w:t>
            </w:r>
          </w:p>
        </w:tc>
      </w:tr>
    </w:tbl>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spacing w:val="6"/>
          <w:sz w:val="26"/>
          <w:szCs w:val="24"/>
          <w:lang w:val="es-ES"/>
        </w:rPr>
        <w:t>De este importe, el Instituto Carlos III ha aportado 2.070.071 euros, es decir, el 55 por ciento.</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b/>
          <w:spacing w:val="6"/>
          <w:sz w:val="26"/>
          <w:szCs w:val="26"/>
        </w:rPr>
        <w:t>14</w:t>
      </w:r>
      <w:proofErr w:type="gramStart"/>
      <w:r w:rsidRPr="009C7A6F">
        <w:rPr>
          <w:b/>
          <w:spacing w:val="6"/>
          <w:sz w:val="26"/>
          <w:szCs w:val="26"/>
        </w:rPr>
        <w:t>.ª</w:t>
      </w:r>
      <w:proofErr w:type="gramEnd"/>
      <w:r w:rsidRPr="009C7A6F">
        <w:rPr>
          <w:b/>
          <w:spacing w:val="6"/>
          <w:sz w:val="26"/>
          <w:szCs w:val="26"/>
        </w:rPr>
        <w:t>)</w:t>
      </w:r>
      <w:r w:rsidRPr="009C7A6F">
        <w:rPr>
          <w:spacing w:val="6"/>
          <w:sz w:val="26"/>
          <w:szCs w:val="26"/>
        </w:rPr>
        <w:t xml:space="preserve"> Los</w:t>
      </w:r>
      <w:r w:rsidRPr="009C7A6F">
        <w:rPr>
          <w:spacing w:val="6"/>
          <w:sz w:val="26"/>
          <w:szCs w:val="24"/>
          <w:lang w:val="es-ES"/>
        </w:rPr>
        <w:t xml:space="preserve"> 58 proyectos de investigación presentan importes muy diferentes que van desde los 4.235 euros, hasta los 358.000 euros, siendo su importe m</w:t>
      </w:r>
      <w:r w:rsidRPr="009C7A6F">
        <w:rPr>
          <w:spacing w:val="6"/>
          <w:sz w:val="26"/>
          <w:szCs w:val="24"/>
          <w:lang w:val="es-ES"/>
        </w:rPr>
        <w:t>e</w:t>
      </w:r>
      <w:r w:rsidRPr="009C7A6F">
        <w:rPr>
          <w:spacing w:val="6"/>
          <w:sz w:val="26"/>
          <w:szCs w:val="24"/>
          <w:lang w:val="es-ES"/>
        </w:rPr>
        <w:t>dio de 65.434 euros.</w:t>
      </w:r>
    </w:p>
    <w:p w:rsidR="00EF1AFB" w:rsidRPr="009C7A6F" w:rsidRDefault="00EF1AFB" w:rsidP="00EF1AFB">
      <w:pPr>
        <w:tabs>
          <w:tab w:val="num" w:pos="720"/>
          <w:tab w:val="center" w:pos="2835"/>
          <w:tab w:val="center" w:pos="3969"/>
          <w:tab w:val="center" w:pos="5103"/>
          <w:tab w:val="center" w:pos="6237"/>
          <w:tab w:val="center" w:pos="7371"/>
        </w:tabs>
        <w:spacing w:before="240" w:after="240"/>
        <w:ind w:firstLine="284"/>
        <w:rPr>
          <w:spacing w:val="6"/>
          <w:sz w:val="26"/>
          <w:szCs w:val="24"/>
          <w:lang w:val="es-ES"/>
        </w:rPr>
      </w:pPr>
      <w:r w:rsidRPr="009C7A6F">
        <w:rPr>
          <w:b/>
          <w:spacing w:val="6"/>
          <w:sz w:val="26"/>
          <w:szCs w:val="26"/>
        </w:rPr>
        <w:t>15</w:t>
      </w:r>
      <w:proofErr w:type="gramStart"/>
      <w:r w:rsidRPr="009C7A6F">
        <w:rPr>
          <w:b/>
          <w:spacing w:val="6"/>
          <w:sz w:val="26"/>
          <w:szCs w:val="26"/>
        </w:rPr>
        <w:t>.ª</w:t>
      </w:r>
      <w:proofErr w:type="gramEnd"/>
      <w:r w:rsidRPr="009C7A6F">
        <w:rPr>
          <w:b/>
          <w:spacing w:val="6"/>
          <w:sz w:val="26"/>
          <w:szCs w:val="26"/>
        </w:rPr>
        <w:t>)</w:t>
      </w:r>
      <w:r w:rsidRPr="009C7A6F">
        <w:rPr>
          <w:spacing w:val="6"/>
          <w:sz w:val="26"/>
          <w:szCs w:val="26"/>
        </w:rPr>
        <w:t xml:space="preserve"> Por</w:t>
      </w:r>
      <w:r w:rsidRPr="009C7A6F">
        <w:rPr>
          <w:spacing w:val="6"/>
          <w:sz w:val="26"/>
          <w:szCs w:val="24"/>
          <w:lang w:val="es-ES"/>
        </w:rPr>
        <w:t xml:space="preserve"> áreas de investigación, el cáncer, con 20 proyectos, y cardiología, con 5 proyectos, representan el 51 por ciento del importe.</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b/>
          <w:spacing w:val="6"/>
          <w:sz w:val="26"/>
          <w:szCs w:val="26"/>
        </w:rPr>
        <w:t>16</w:t>
      </w:r>
      <w:proofErr w:type="gramStart"/>
      <w:r w:rsidRPr="009C7A6F">
        <w:rPr>
          <w:b/>
          <w:spacing w:val="6"/>
          <w:sz w:val="26"/>
          <w:szCs w:val="26"/>
        </w:rPr>
        <w:t>.ª</w:t>
      </w:r>
      <w:proofErr w:type="gramEnd"/>
      <w:r w:rsidRPr="009C7A6F">
        <w:rPr>
          <w:b/>
          <w:spacing w:val="6"/>
          <w:sz w:val="26"/>
          <w:szCs w:val="26"/>
        </w:rPr>
        <w:t>)</w:t>
      </w:r>
      <w:r w:rsidRPr="009C7A6F">
        <w:rPr>
          <w:spacing w:val="6"/>
          <w:sz w:val="26"/>
          <w:szCs w:val="26"/>
        </w:rPr>
        <w:t xml:space="preserve"> Por</w:t>
      </w:r>
      <w:r w:rsidRPr="009C7A6F">
        <w:rPr>
          <w:spacing w:val="6"/>
          <w:sz w:val="26"/>
          <w:szCs w:val="24"/>
          <w:lang w:val="es-ES"/>
        </w:rPr>
        <w:t xml:space="preserve"> centro de origen del investigador principal, el 54 por ciento del i</w:t>
      </w:r>
      <w:r w:rsidRPr="009C7A6F">
        <w:rPr>
          <w:spacing w:val="6"/>
          <w:sz w:val="26"/>
          <w:szCs w:val="24"/>
          <w:lang w:val="es-ES"/>
        </w:rPr>
        <w:t>m</w:t>
      </w:r>
      <w:r w:rsidRPr="009C7A6F">
        <w:rPr>
          <w:spacing w:val="6"/>
          <w:sz w:val="26"/>
          <w:szCs w:val="24"/>
          <w:lang w:val="es-ES"/>
        </w:rPr>
        <w:t>porte obtenido para investigación lo consiguen los investigadores de la Fund</w:t>
      </w:r>
      <w:r w:rsidRPr="009C7A6F">
        <w:rPr>
          <w:spacing w:val="6"/>
          <w:sz w:val="26"/>
          <w:szCs w:val="24"/>
          <w:lang w:val="es-ES"/>
        </w:rPr>
        <w:t>a</w:t>
      </w:r>
      <w:r w:rsidRPr="009C7A6F">
        <w:rPr>
          <w:spacing w:val="6"/>
          <w:sz w:val="26"/>
          <w:szCs w:val="24"/>
          <w:lang w:val="es-ES"/>
        </w:rPr>
        <w:t>ción Miguel Servet-</w:t>
      </w:r>
      <w:proofErr w:type="spellStart"/>
      <w:r w:rsidRPr="009C7A6F">
        <w:rPr>
          <w:spacing w:val="6"/>
          <w:sz w:val="26"/>
          <w:szCs w:val="24"/>
          <w:lang w:val="es-ES"/>
        </w:rPr>
        <w:t>Navarrabiomed</w:t>
      </w:r>
      <w:proofErr w:type="spellEnd"/>
      <w:r w:rsidRPr="009C7A6F">
        <w:rPr>
          <w:spacing w:val="6"/>
          <w:sz w:val="26"/>
          <w:szCs w:val="24"/>
          <w:lang w:val="es-ES"/>
        </w:rPr>
        <w:t xml:space="preserve"> con un importe de 2 millones.</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lang w:val="es-ES"/>
        </w:rPr>
      </w:pPr>
      <w:r w:rsidRPr="009C7A6F">
        <w:rPr>
          <w:b/>
          <w:spacing w:val="6"/>
          <w:sz w:val="26"/>
          <w:szCs w:val="26"/>
        </w:rPr>
        <w:t>17</w:t>
      </w:r>
      <w:proofErr w:type="gramStart"/>
      <w:r w:rsidRPr="009C7A6F">
        <w:rPr>
          <w:b/>
          <w:spacing w:val="6"/>
          <w:sz w:val="26"/>
          <w:szCs w:val="26"/>
        </w:rPr>
        <w:t>.ª</w:t>
      </w:r>
      <w:proofErr w:type="gramEnd"/>
      <w:r w:rsidRPr="009C7A6F">
        <w:rPr>
          <w:b/>
          <w:spacing w:val="6"/>
          <w:sz w:val="26"/>
          <w:szCs w:val="26"/>
        </w:rPr>
        <w:t>)</w:t>
      </w:r>
      <w:r w:rsidRPr="009C7A6F">
        <w:rPr>
          <w:spacing w:val="6"/>
          <w:sz w:val="26"/>
          <w:szCs w:val="24"/>
          <w:lang w:val="es-ES"/>
        </w:rPr>
        <w:t xml:space="preserve"> S</w:t>
      </w:r>
      <w:r w:rsidRPr="009C7A6F">
        <w:rPr>
          <w:spacing w:val="6"/>
          <w:sz w:val="26"/>
          <w:szCs w:val="24"/>
        </w:rPr>
        <w:t>i</w:t>
      </w:r>
      <w:r w:rsidRPr="009C7A6F">
        <w:rPr>
          <w:spacing w:val="6"/>
          <w:sz w:val="26"/>
          <w:szCs w:val="24"/>
          <w:lang w:val="es-ES"/>
        </w:rPr>
        <w:t xml:space="preserve"> nos fijamos en los ensayos clínicos, en el período 2012-2015, se han realizado 614 ensayos, que han supuesto un total de 2,4 millones. Los servicios</w:t>
      </w:r>
      <w:r w:rsidRPr="009C7A6F">
        <w:rPr>
          <w:b/>
          <w:spacing w:val="6"/>
          <w:sz w:val="26"/>
          <w:szCs w:val="24"/>
          <w:lang w:val="es-ES"/>
        </w:rPr>
        <w:t xml:space="preserve"> </w:t>
      </w:r>
      <w:r w:rsidRPr="009C7A6F">
        <w:rPr>
          <w:spacing w:val="6"/>
          <w:sz w:val="26"/>
          <w:szCs w:val="24"/>
          <w:lang w:val="es-ES"/>
        </w:rPr>
        <w:t>de hematología, con 178 ensayos, y de oncología, con 163 ensayos, suponen el 60 por ciento del importe.</w:t>
      </w:r>
    </w:p>
    <w:p w:rsidR="00EF1AFB" w:rsidRPr="009C7A6F" w:rsidRDefault="00EF1AFB" w:rsidP="000F7950">
      <w:pPr>
        <w:pStyle w:val="texto"/>
        <w:rPr>
          <w:lang w:val="es-ES"/>
        </w:rPr>
      </w:pPr>
      <w:r w:rsidRPr="009C7A6F">
        <w:rPr>
          <w:lang w:val="es-ES"/>
        </w:rPr>
        <w:t>Como resumen, y a modo de conclusión general, en los últimos años se o</w:t>
      </w:r>
      <w:r w:rsidRPr="009C7A6F">
        <w:rPr>
          <w:lang w:val="es-ES"/>
        </w:rPr>
        <w:t>b</w:t>
      </w:r>
      <w:r w:rsidRPr="009C7A6F">
        <w:rPr>
          <w:lang w:val="es-ES"/>
        </w:rPr>
        <w:t>serva una apuesta del Gobierno de Navarra por la investigación sanitaria, que se realiza a través de la Fundación Miguel Servet-</w:t>
      </w:r>
      <w:proofErr w:type="spellStart"/>
      <w:r w:rsidRPr="009C7A6F">
        <w:rPr>
          <w:lang w:val="es-ES"/>
        </w:rPr>
        <w:t>Navarrabiomed</w:t>
      </w:r>
      <w:proofErr w:type="spellEnd"/>
      <w:r w:rsidRPr="009C7A6F">
        <w:rPr>
          <w:lang w:val="es-ES"/>
        </w:rPr>
        <w:t>, que ha i</w:t>
      </w:r>
      <w:r w:rsidRPr="009C7A6F">
        <w:rPr>
          <w:lang w:val="es-ES"/>
        </w:rPr>
        <w:t>n</w:t>
      </w:r>
      <w:r w:rsidRPr="009C7A6F">
        <w:rPr>
          <w:lang w:val="es-ES"/>
        </w:rPr>
        <w:t>crementado su actividad y sus presupuestos. No obstante, hay que señalar que el mayor importe se ha destinado a la construcción del edificio.</w:t>
      </w:r>
    </w:p>
    <w:p w:rsidR="00EF1AFB" w:rsidRPr="009C7A6F" w:rsidRDefault="00EF1AFB" w:rsidP="000F7950">
      <w:pPr>
        <w:pStyle w:val="texto"/>
        <w:rPr>
          <w:lang w:val="es-ES"/>
        </w:rPr>
      </w:pPr>
      <w:r w:rsidRPr="009C7A6F">
        <w:rPr>
          <w:lang w:val="es-ES"/>
        </w:rPr>
        <w:lastRenderedPageBreak/>
        <w:t>El presupuesto dedicado estrictamente a investigación sanitaria por el Depa</w:t>
      </w:r>
      <w:r w:rsidRPr="009C7A6F">
        <w:rPr>
          <w:lang w:val="es-ES"/>
        </w:rPr>
        <w:t>r</w:t>
      </w:r>
      <w:r w:rsidRPr="009C7A6F">
        <w:rPr>
          <w:lang w:val="es-ES"/>
        </w:rPr>
        <w:t xml:space="preserve">tamento de Salud en </w:t>
      </w:r>
      <w:r w:rsidR="000C2224">
        <w:rPr>
          <w:lang w:val="es-ES"/>
        </w:rPr>
        <w:t>el periodo 2012-2015 representa</w:t>
      </w:r>
      <w:r w:rsidRPr="009C7A6F">
        <w:rPr>
          <w:lang w:val="es-ES"/>
        </w:rPr>
        <w:t xml:space="preserve"> el 0,13 por ciento de los gastos totales del departamento.</w:t>
      </w:r>
    </w:p>
    <w:p w:rsidR="00AC1700" w:rsidRDefault="00AC1700" w:rsidP="000F7950">
      <w:pPr>
        <w:pStyle w:val="texto"/>
        <w:rPr>
          <w:lang w:val="es-ES"/>
        </w:rPr>
      </w:pPr>
    </w:p>
    <w:p w:rsidR="00AE7CAF" w:rsidRDefault="00EF1AFB" w:rsidP="000F7950">
      <w:pPr>
        <w:pStyle w:val="texto"/>
        <w:rPr>
          <w:lang w:val="es-ES"/>
        </w:rPr>
      </w:pPr>
      <w:r w:rsidRPr="009C7A6F">
        <w:rPr>
          <w:lang w:val="es-ES"/>
        </w:rPr>
        <w:t>Navarra no cuenta con un instituto de investigación sanitaria acreditado por el ISCIII y, por la dificultad para cumplir los requisitos exigidos, se ha optado por la colaboración público privada para conseguirlo, mediante el relanzamie</w:t>
      </w:r>
      <w:r w:rsidRPr="009C7A6F">
        <w:rPr>
          <w:lang w:val="es-ES"/>
        </w:rPr>
        <w:t>n</w:t>
      </w:r>
      <w:r w:rsidRPr="009C7A6F">
        <w:rPr>
          <w:lang w:val="es-ES"/>
        </w:rPr>
        <w:t xml:space="preserve">to del </w:t>
      </w:r>
      <w:proofErr w:type="spellStart"/>
      <w:r w:rsidRPr="009C7A6F">
        <w:rPr>
          <w:lang w:val="es-ES"/>
        </w:rPr>
        <w:t>IdiSNA</w:t>
      </w:r>
      <w:proofErr w:type="spellEnd"/>
      <w:r w:rsidRPr="009C7A6F">
        <w:rPr>
          <w:lang w:val="es-ES"/>
        </w:rPr>
        <w:t xml:space="preserve">, en el que colabora el Gobierno de Navarra, la Universidad de Navarra y se espera la integración de la Universidad Pública de Navarra. El </w:t>
      </w:r>
      <w:proofErr w:type="spellStart"/>
      <w:r w:rsidRPr="009C7A6F">
        <w:rPr>
          <w:lang w:val="es-ES"/>
        </w:rPr>
        <w:t>IdiSNA</w:t>
      </w:r>
      <w:proofErr w:type="spellEnd"/>
      <w:r w:rsidRPr="009C7A6F">
        <w:rPr>
          <w:lang w:val="es-ES"/>
        </w:rPr>
        <w:t xml:space="preserve"> ha solicitado la acreditación, aunque en la fecha de elaboración de este informe todavía no la tiene concedida.</w:t>
      </w:r>
    </w:p>
    <w:p w:rsidR="00AE7CAF" w:rsidRDefault="00AE7CAF">
      <w:pPr>
        <w:spacing w:after="0"/>
        <w:ind w:firstLine="0"/>
        <w:jc w:val="left"/>
        <w:rPr>
          <w:spacing w:val="6"/>
          <w:sz w:val="26"/>
          <w:szCs w:val="24"/>
          <w:lang w:val="es-ES"/>
        </w:rPr>
      </w:pPr>
      <w:r>
        <w:rPr>
          <w:lang w:val="es-ES"/>
        </w:rPr>
        <w:br w:type="page"/>
      </w:r>
    </w:p>
    <w:p w:rsidR="007114E5" w:rsidRDefault="00AE7CAF" w:rsidP="00AE7CAF">
      <w:pPr>
        <w:pStyle w:val="atitulo1"/>
        <w:ind w:left="2552"/>
        <w:rPr>
          <w:sz w:val="28"/>
          <w:lang w:val="es-ES" w:eastAsia="es-ES"/>
        </w:rPr>
      </w:pPr>
      <w:bookmarkStart w:id="34" w:name="_Toc75166913"/>
      <w:bookmarkStart w:id="35" w:name="_Toc75427861"/>
      <w:r w:rsidRPr="00133AD7">
        <w:rPr>
          <w:sz w:val="28"/>
          <w:lang w:val="es-ES" w:eastAsia="es-ES"/>
        </w:rPr>
        <w:lastRenderedPageBreak/>
        <w:t>Alegaciones formuladas al informe provisional</w:t>
      </w:r>
      <w:bookmarkEnd w:id="34"/>
      <w:bookmarkEnd w:id="35"/>
    </w:p>
    <w:p w:rsidR="00E12ADB" w:rsidRPr="00E12ADB" w:rsidRDefault="00E12ADB" w:rsidP="00E12ADB">
      <w:pPr>
        <w:pStyle w:val="texto"/>
      </w:pPr>
      <w:r w:rsidRPr="00E12ADB">
        <w:t>Tras revisar el informe provisional de fiscalización sobre “Seguimiento de recomendaciones sobre la Fundación Miguel Servet” emitido por la Cámara de Comptos, solicitamos la incorporación de una alegación referente al párrafo “Informes de auditoría y de procedimientos acordados de legalidad de la Fu</w:t>
      </w:r>
      <w:r w:rsidRPr="00E12ADB">
        <w:t>n</w:t>
      </w:r>
      <w:r w:rsidRPr="00E12ADB">
        <w:t>dación”, dentro de apartado V.1. Aspectos generales sobre la gestión de la Fu</w:t>
      </w:r>
      <w:r w:rsidRPr="00E12ADB">
        <w:t>n</w:t>
      </w:r>
      <w:r w:rsidRPr="00E12ADB">
        <w:t>dación Miguel Servet, IV. Conclusiones y recomendaciones.</w:t>
      </w:r>
    </w:p>
    <w:p w:rsidR="00E12ADB" w:rsidRPr="00E12ADB" w:rsidRDefault="00E12ADB" w:rsidP="00E12ADB">
      <w:pPr>
        <w:pStyle w:val="texto"/>
      </w:pPr>
      <w:r w:rsidRPr="00E12ADB">
        <w:t>El párrafo que actualmente figura en la página 11 del informe provisional es el siguiente:</w:t>
      </w:r>
    </w:p>
    <w:p w:rsidR="00E12ADB" w:rsidRPr="00E12ADB" w:rsidRDefault="00E12ADB" w:rsidP="00E12ADB">
      <w:pPr>
        <w:pStyle w:val="texto"/>
        <w:rPr>
          <w:i/>
        </w:rPr>
      </w:pPr>
      <w:r w:rsidRPr="00E12ADB">
        <w:rPr>
          <w:i/>
        </w:rPr>
        <w:t>“En 2017 y 2018 el resultado de esta revisión fue favorable, si bien se incl</w:t>
      </w:r>
      <w:r w:rsidRPr="00E12ADB">
        <w:rPr>
          <w:i/>
        </w:rPr>
        <w:t>u</w:t>
      </w:r>
      <w:r w:rsidRPr="00E12ADB">
        <w:rPr>
          <w:i/>
        </w:rPr>
        <w:t>yó una observación sobre la ausencia de aplicación de la normativa en la apl</w:t>
      </w:r>
      <w:r w:rsidRPr="00E12ADB">
        <w:rPr>
          <w:i/>
        </w:rPr>
        <w:t>i</w:t>
      </w:r>
      <w:r w:rsidRPr="00E12ADB">
        <w:rPr>
          <w:i/>
        </w:rPr>
        <w:t>cación de la tasa de reposición de personal y de estabilización respectivame</w:t>
      </w:r>
      <w:r w:rsidRPr="00E12ADB">
        <w:rPr>
          <w:i/>
        </w:rPr>
        <w:t>n</w:t>
      </w:r>
      <w:r w:rsidRPr="00E12ADB">
        <w:rPr>
          <w:i/>
        </w:rPr>
        <w:t>te; en 2019, la conclusión fue favorable. A la fecha de redacción de este info</w:t>
      </w:r>
      <w:r w:rsidRPr="00E12ADB">
        <w:rPr>
          <w:i/>
        </w:rPr>
        <w:t>r</w:t>
      </w:r>
      <w:r w:rsidRPr="00E12ADB">
        <w:rPr>
          <w:i/>
        </w:rPr>
        <w:t>me, la revisión correspondiente a 20</w:t>
      </w:r>
      <w:r w:rsidR="000C2224">
        <w:rPr>
          <w:i/>
        </w:rPr>
        <w:t>20 está pendiente de finalizació</w:t>
      </w:r>
      <w:bookmarkStart w:id="36" w:name="_GoBack"/>
      <w:bookmarkEnd w:id="36"/>
      <w:r w:rsidRPr="00E12ADB">
        <w:rPr>
          <w:i/>
        </w:rPr>
        <w:t>n”.</w:t>
      </w:r>
    </w:p>
    <w:p w:rsidR="00E12ADB" w:rsidRPr="00E12ADB" w:rsidRDefault="00E12ADB" w:rsidP="00E12ADB">
      <w:pPr>
        <w:pStyle w:val="texto"/>
      </w:pPr>
      <w:r w:rsidRPr="00E12ADB">
        <w:t>Consideramos que la descripción de este párrafo no refleja correctamente el funcionamiento de la Fundación, puesto que la tasa de reposición la tenemos muy presente y el texto da a entender que en los años 2017 y 2018 hay una a</w:t>
      </w:r>
      <w:r w:rsidRPr="00E12ADB">
        <w:t>u</w:t>
      </w:r>
      <w:r w:rsidRPr="00E12ADB">
        <w:t>sencia de aplicación de la normativa. La realidad es que desde su publicación tratamos de aplicarla en todo momento, con la excepción de 2017, año de su publicación y 2018, en el que se supera la tasa de reposición en un único co</w:t>
      </w:r>
      <w:r w:rsidRPr="00E12ADB">
        <w:t>n</w:t>
      </w:r>
      <w:r w:rsidRPr="00E12ADB">
        <w:t>trato debido a la obligación de cumplir con la ley laboral.</w:t>
      </w:r>
    </w:p>
    <w:p w:rsidR="00E12ADB" w:rsidRPr="00E12ADB" w:rsidRDefault="00E12ADB" w:rsidP="00E12ADB">
      <w:pPr>
        <w:pStyle w:val="texto"/>
      </w:pPr>
      <w:r w:rsidRPr="00E12ADB">
        <w:t>Por ello, solicitamos la sustitución del párrafo señalado anteriormente por el comentario trasladado en el borrador del informe:</w:t>
      </w:r>
    </w:p>
    <w:p w:rsidR="00E12ADB" w:rsidRPr="00E12ADB" w:rsidRDefault="00E12ADB" w:rsidP="00E12ADB">
      <w:pPr>
        <w:pStyle w:val="texto"/>
        <w:rPr>
          <w:i/>
        </w:rPr>
      </w:pPr>
      <w:r w:rsidRPr="00E12ADB">
        <w:rPr>
          <w:i/>
        </w:rPr>
        <w:t>“En la contratación de personal se ha aplicado anualmente la tasa de rep</w:t>
      </w:r>
      <w:r w:rsidRPr="00E12ADB">
        <w:rPr>
          <w:i/>
        </w:rPr>
        <w:t>o</w:t>
      </w:r>
      <w:r w:rsidRPr="00E12ADB">
        <w:rPr>
          <w:i/>
        </w:rPr>
        <w:t>sición de las fundaciones del sector público autonómico. Se ha cumplido con los requisitos establecidos en la Ley de Presupuestos correspondiente, excepto en 2017, primer año en que se introduce esta normativa extensiva a fundaci</w:t>
      </w:r>
      <w:r w:rsidRPr="00E12ADB">
        <w:rPr>
          <w:i/>
        </w:rPr>
        <w:t>o</w:t>
      </w:r>
      <w:r w:rsidRPr="00E12ADB">
        <w:rPr>
          <w:i/>
        </w:rPr>
        <w:t>nes, y en 2018, que el resultado de esta revisión concluyó en el cumplimiento de la tasa de reposición aunque se supera en un contrato la tasa de estabiliz</w:t>
      </w:r>
      <w:r w:rsidRPr="00E12ADB">
        <w:rPr>
          <w:i/>
        </w:rPr>
        <w:t>a</w:t>
      </w:r>
      <w:r w:rsidRPr="00E12ADB">
        <w:rPr>
          <w:i/>
        </w:rPr>
        <w:t>ción de empleo temporal. La Fundación se vio obligada por la ley laboral a proceder a esta contratación indefinida debido a la previa relación laboral existente entre el sujeto contratado y la FMS”.</w:t>
      </w:r>
    </w:p>
    <w:p w:rsidR="00E12ADB" w:rsidRPr="00E12ADB" w:rsidRDefault="00E12ADB" w:rsidP="00E12ADB">
      <w:pPr>
        <w:pStyle w:val="texto"/>
      </w:pPr>
      <w:r w:rsidRPr="00E12ADB">
        <w:t>En Pamplona, a 21 de junio de 2021</w:t>
      </w:r>
    </w:p>
    <w:p w:rsidR="00E12ADB" w:rsidRDefault="00E12ADB" w:rsidP="00E12ADB">
      <w:pPr>
        <w:pStyle w:val="texto"/>
      </w:pPr>
      <w:r w:rsidRPr="00E12ADB">
        <w:t xml:space="preserve">El director de </w:t>
      </w:r>
      <w:proofErr w:type="spellStart"/>
      <w:r w:rsidRPr="00E12ADB">
        <w:t>Navarrabiomed</w:t>
      </w:r>
      <w:proofErr w:type="spellEnd"/>
      <w:r w:rsidRPr="00E12ADB">
        <w:t xml:space="preserve">: Iñigo Lasa </w:t>
      </w:r>
      <w:proofErr w:type="spellStart"/>
      <w:r w:rsidRPr="00E12ADB">
        <w:t>Uzcudun</w:t>
      </w:r>
      <w:proofErr w:type="spellEnd"/>
    </w:p>
    <w:p w:rsidR="00E12ADB" w:rsidRPr="00E12ADB" w:rsidRDefault="00E12ADB" w:rsidP="00E12ADB">
      <w:pPr>
        <w:pStyle w:val="texto"/>
        <w:sectPr w:rsidR="00E12ADB" w:rsidRPr="00E12ADB" w:rsidSect="000F7950">
          <w:headerReference w:type="even" r:id="rId17"/>
          <w:footerReference w:type="default" r:id="rId18"/>
          <w:type w:val="oddPage"/>
          <w:pgSz w:w="11907" w:h="16840" w:code="9"/>
          <w:pgMar w:top="2109" w:right="1559" w:bottom="1644" w:left="1559" w:header="369" w:footer="136" w:gutter="0"/>
          <w:cols w:space="720"/>
          <w:docGrid w:linePitch="360"/>
        </w:sectPr>
      </w:pPr>
    </w:p>
    <w:p w:rsidR="00AE7CAF" w:rsidRDefault="00AE7CAF" w:rsidP="00AE7CAF">
      <w:pPr>
        <w:pStyle w:val="atitulo1"/>
        <w:ind w:left="2552"/>
        <w:rPr>
          <w:sz w:val="28"/>
          <w:lang w:val="es-ES" w:eastAsia="es-ES"/>
        </w:rPr>
      </w:pPr>
    </w:p>
    <w:p w:rsidR="00AE7CAF" w:rsidRDefault="00AE7CAF" w:rsidP="00AE7CAF">
      <w:pPr>
        <w:pStyle w:val="atitulo1"/>
        <w:rPr>
          <w:lang w:val="es-ES" w:eastAsia="es-ES"/>
        </w:rPr>
      </w:pPr>
      <w:bookmarkStart w:id="37" w:name="_Toc66949902"/>
      <w:bookmarkStart w:id="38" w:name="_Toc75166914"/>
      <w:bookmarkStart w:id="39" w:name="_Toc75427862"/>
      <w:r>
        <w:rPr>
          <w:lang w:val="es-ES" w:eastAsia="es-ES"/>
        </w:rPr>
        <w:t>Contestación de la Cámara de Comptos a las alegaciones presentadas al informe provisional</w:t>
      </w:r>
      <w:bookmarkEnd w:id="37"/>
      <w:bookmarkEnd w:id="38"/>
      <w:bookmarkEnd w:id="39"/>
    </w:p>
    <w:p w:rsidR="00AE7CAF" w:rsidRDefault="00AE7CAF" w:rsidP="00AE7CAF">
      <w:pPr>
        <w:autoSpaceDE w:val="0"/>
        <w:autoSpaceDN w:val="0"/>
        <w:adjustRightInd w:val="0"/>
        <w:spacing w:after="0"/>
        <w:ind w:firstLine="0"/>
        <w:jc w:val="left"/>
        <w:rPr>
          <w:rFonts w:ascii="Arial-BoldMT" w:hAnsi="Arial-BoldMT" w:cs="Arial-BoldMT"/>
          <w:b/>
          <w:bCs/>
          <w:sz w:val="25"/>
          <w:szCs w:val="25"/>
          <w:lang w:val="es-ES" w:eastAsia="es-ES"/>
        </w:rPr>
      </w:pPr>
    </w:p>
    <w:p w:rsidR="00AE7CAF" w:rsidRDefault="00AE7CAF" w:rsidP="00AE7CAF">
      <w:pPr>
        <w:autoSpaceDE w:val="0"/>
        <w:autoSpaceDN w:val="0"/>
        <w:adjustRightInd w:val="0"/>
        <w:spacing w:after="0"/>
        <w:ind w:firstLine="284"/>
        <w:rPr>
          <w:rFonts w:ascii="ArialMT" w:hAnsi="ArialMT" w:cs="ArialMT"/>
          <w:sz w:val="24"/>
          <w:szCs w:val="24"/>
          <w:lang w:val="es-ES" w:eastAsia="es-ES"/>
        </w:rPr>
      </w:pPr>
      <w:r>
        <w:rPr>
          <w:rFonts w:ascii="ArialMT" w:hAnsi="ArialMT" w:cs="ArialMT"/>
          <w:sz w:val="24"/>
          <w:szCs w:val="24"/>
          <w:lang w:val="es-ES" w:eastAsia="es-ES"/>
        </w:rPr>
        <w:t xml:space="preserve">Agradecemos al </w:t>
      </w:r>
      <w:r w:rsidR="004C2ADF" w:rsidRPr="004C2ADF">
        <w:rPr>
          <w:rFonts w:ascii="ArialMT" w:hAnsi="ArialMT" w:cs="ArialMT"/>
          <w:sz w:val="24"/>
          <w:szCs w:val="24"/>
          <w:lang w:val="es-ES" w:eastAsia="es-ES"/>
        </w:rPr>
        <w:t xml:space="preserve">Director de </w:t>
      </w:r>
      <w:proofErr w:type="spellStart"/>
      <w:r w:rsidR="004C2ADF" w:rsidRPr="004C2ADF">
        <w:rPr>
          <w:rFonts w:ascii="ArialMT" w:hAnsi="ArialMT" w:cs="ArialMT"/>
          <w:sz w:val="24"/>
          <w:szCs w:val="24"/>
          <w:lang w:val="es-ES" w:eastAsia="es-ES"/>
        </w:rPr>
        <w:t>Navarrabiomed</w:t>
      </w:r>
      <w:proofErr w:type="spellEnd"/>
      <w:r w:rsidR="004C2ADF" w:rsidRPr="004C2ADF">
        <w:rPr>
          <w:rFonts w:ascii="ArialMT" w:hAnsi="ArialMT" w:cs="ArialMT"/>
          <w:sz w:val="24"/>
          <w:szCs w:val="24"/>
          <w:lang w:val="es-ES" w:eastAsia="es-ES"/>
        </w:rPr>
        <w:t>-Fundación Miguel Servet</w:t>
      </w:r>
      <w:r>
        <w:rPr>
          <w:rFonts w:ascii="ArialMT" w:hAnsi="ArialMT" w:cs="ArialMT"/>
          <w:sz w:val="24"/>
          <w:szCs w:val="24"/>
          <w:lang w:val="es-ES" w:eastAsia="es-ES"/>
        </w:rPr>
        <w:t>, las al</w:t>
      </w:r>
      <w:r>
        <w:rPr>
          <w:rFonts w:ascii="ArialMT" w:hAnsi="ArialMT" w:cs="ArialMT"/>
          <w:sz w:val="24"/>
          <w:szCs w:val="24"/>
          <w:lang w:val="es-ES" w:eastAsia="es-ES"/>
        </w:rPr>
        <w:t>e</w:t>
      </w:r>
      <w:r>
        <w:rPr>
          <w:rFonts w:ascii="ArialMT" w:hAnsi="ArialMT" w:cs="ArialMT"/>
          <w:sz w:val="24"/>
          <w:szCs w:val="24"/>
          <w:lang w:val="es-ES" w:eastAsia="es-ES"/>
        </w:rPr>
        <w:t>gaciones que nos ha presentado. Estas alegaciones se incorporan al informe pr</w:t>
      </w:r>
      <w:r>
        <w:rPr>
          <w:rFonts w:ascii="ArialMT" w:hAnsi="ArialMT" w:cs="ArialMT"/>
          <w:sz w:val="24"/>
          <w:szCs w:val="24"/>
          <w:lang w:val="es-ES" w:eastAsia="es-ES"/>
        </w:rPr>
        <w:t>o</w:t>
      </w:r>
      <w:r>
        <w:rPr>
          <w:rFonts w:ascii="ArialMT" w:hAnsi="ArialMT" w:cs="ArialMT"/>
          <w:sz w:val="24"/>
          <w:szCs w:val="24"/>
          <w:lang w:val="es-ES" w:eastAsia="es-ES"/>
        </w:rPr>
        <w:t>visional y se eleva éste a definitivo al considerar que constituyen una explicación de la fiscalización realizada y no alteran su contenido.</w:t>
      </w:r>
    </w:p>
    <w:p w:rsidR="00AE7CAF" w:rsidRDefault="00AE7CAF" w:rsidP="00AE7CAF">
      <w:pPr>
        <w:autoSpaceDE w:val="0"/>
        <w:autoSpaceDN w:val="0"/>
        <w:adjustRightInd w:val="0"/>
        <w:spacing w:after="0"/>
        <w:ind w:firstLine="720"/>
        <w:rPr>
          <w:rFonts w:ascii="ArialMT" w:hAnsi="ArialMT" w:cs="ArialMT"/>
          <w:sz w:val="24"/>
          <w:szCs w:val="24"/>
          <w:lang w:val="es-ES" w:eastAsia="es-ES"/>
        </w:rPr>
      </w:pPr>
    </w:p>
    <w:p w:rsidR="00AE7CAF" w:rsidRDefault="00AE7CAF" w:rsidP="00AE7CAF">
      <w:pPr>
        <w:pStyle w:val="texto"/>
        <w:spacing w:before="240" w:after="0"/>
        <w:ind w:firstLine="0"/>
        <w:jc w:val="center"/>
      </w:pPr>
      <w:r>
        <w:t>Pamplona, a 2</w:t>
      </w:r>
      <w:r w:rsidR="008A7FDB">
        <w:t>4</w:t>
      </w:r>
      <w:r>
        <w:t xml:space="preserve"> de junio de 2021</w:t>
      </w:r>
    </w:p>
    <w:p w:rsidR="00AE7CAF" w:rsidRPr="00385010" w:rsidRDefault="00AE7CAF" w:rsidP="00AE7CAF">
      <w:pPr>
        <w:pStyle w:val="texto"/>
        <w:spacing w:before="240" w:after="0"/>
        <w:ind w:firstLine="0"/>
        <w:jc w:val="center"/>
        <w:rPr>
          <w:i/>
          <w:iCs/>
        </w:rPr>
      </w:pPr>
      <w:r w:rsidRPr="008F1DF4">
        <w:t xml:space="preserve">La presidenta, Asunción Olaechea </w:t>
      </w:r>
      <w:proofErr w:type="spellStart"/>
      <w:r w:rsidRPr="008F1DF4">
        <w:t>Estanga</w:t>
      </w:r>
      <w:proofErr w:type="spellEnd"/>
    </w:p>
    <w:p w:rsidR="00AE7CAF" w:rsidRPr="00644B67" w:rsidRDefault="00AE7CAF" w:rsidP="00AE7CAF">
      <w:pPr>
        <w:autoSpaceDE w:val="0"/>
        <w:autoSpaceDN w:val="0"/>
        <w:adjustRightInd w:val="0"/>
        <w:spacing w:after="0"/>
        <w:ind w:firstLine="720"/>
        <w:rPr>
          <w:i/>
          <w:sz w:val="25"/>
          <w:szCs w:val="25"/>
        </w:rPr>
      </w:pPr>
    </w:p>
    <w:p w:rsidR="00AE7CAF" w:rsidRPr="00133AD7" w:rsidRDefault="00AE7CAF" w:rsidP="00AE7CAF">
      <w:pPr>
        <w:pStyle w:val="atitulo1"/>
        <w:ind w:left="2552"/>
        <w:rPr>
          <w:sz w:val="28"/>
          <w:lang w:val="es-ES" w:eastAsia="es-ES"/>
        </w:rPr>
      </w:pPr>
    </w:p>
    <w:p w:rsidR="00EF1AFB" w:rsidRPr="009C7A6F" w:rsidRDefault="00EF1AFB" w:rsidP="000F7950">
      <w:pPr>
        <w:pStyle w:val="texto"/>
        <w:rPr>
          <w:b/>
          <w:lang w:val="es-ES"/>
        </w:rPr>
      </w:pPr>
    </w:p>
    <w:p w:rsidR="00EF1AFB" w:rsidRDefault="00EF1AFB" w:rsidP="00EF1AFB">
      <w:pPr>
        <w:pStyle w:val="atitulo2"/>
      </w:pPr>
    </w:p>
    <w:p w:rsidR="00477C53" w:rsidRDefault="00477C53" w:rsidP="00E36872">
      <w:pPr>
        <w:pStyle w:val="atitulo1"/>
      </w:pPr>
    </w:p>
    <w:sectPr w:rsidR="00477C53" w:rsidSect="007114E5">
      <w:footerReference w:type="default" r:id="rId19"/>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14" w:rsidRDefault="00D87814">
      <w:r>
        <w:separator/>
      </w:r>
    </w:p>
    <w:p w:rsidR="00D87814" w:rsidRDefault="00D87814"/>
    <w:p w:rsidR="00D87814" w:rsidRDefault="00D87814"/>
    <w:p w:rsidR="00D87814" w:rsidRDefault="00D87814"/>
  </w:endnote>
  <w:endnote w:type="continuationSeparator" w:id="0">
    <w:p w:rsidR="00D87814" w:rsidRDefault="00D87814">
      <w:r>
        <w:continuationSeparator/>
      </w:r>
    </w:p>
    <w:p w:rsidR="00D87814" w:rsidRDefault="00D87814"/>
    <w:p w:rsidR="00D87814" w:rsidRDefault="00D87814"/>
    <w:p w:rsidR="00D87814" w:rsidRDefault="00D8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Traj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7814" w:rsidRDefault="00D8781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F03814" w:rsidRDefault="00D8781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7814" w:rsidRPr="00F74E38" w:rsidRDefault="00D87814"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F03814" w:rsidRDefault="00D8781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0EE7B48" wp14:editId="77FC3A91">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C2224">
      <w:rPr>
        <w:rStyle w:val="Nmerodepgina"/>
        <w:noProof/>
        <w:szCs w:val="24"/>
      </w:rPr>
      <w:t>8</w:t>
    </w:r>
    <w:r w:rsidRPr="001D4F09">
      <w:rPr>
        <w:rStyle w:val="Nmerodepgina"/>
        <w:szCs w:val="24"/>
      </w:rPr>
      <w:fldChar w:fldCharType="end"/>
    </w:r>
    <w:r w:rsidRPr="001D4F09">
      <w:rPr>
        <w:rStyle w:val="Nmerodepgina"/>
        <w:szCs w:val="24"/>
      </w:rPr>
      <w:t xml:space="preserve"> -</w:t>
    </w:r>
  </w:p>
  <w:p w:rsidR="00D87814" w:rsidRDefault="00D878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F03814" w:rsidRDefault="00D8781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60427E7" wp14:editId="387B7C65">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C2224">
      <w:rPr>
        <w:rStyle w:val="Nmerodepgina"/>
        <w:noProof/>
        <w:szCs w:val="24"/>
      </w:rPr>
      <w:t>22</w:t>
    </w:r>
    <w:r w:rsidRPr="001D4F09">
      <w:rPr>
        <w:rStyle w:val="Nmerodepgina"/>
        <w:szCs w:val="24"/>
      </w:rPr>
      <w:fldChar w:fldCharType="end"/>
    </w:r>
    <w:r w:rsidRPr="001D4F09">
      <w:rPr>
        <w:rStyle w:val="Nmerodepgina"/>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5" w:rsidRPr="00F03814" w:rsidRDefault="007114E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7FE18A7" wp14:editId="1A04A2ED">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14" w:rsidRDefault="00D87814">
      <w:r>
        <w:separator/>
      </w:r>
    </w:p>
    <w:p w:rsidR="00D87814" w:rsidRDefault="00D87814"/>
    <w:p w:rsidR="00D87814" w:rsidRDefault="00D87814"/>
    <w:p w:rsidR="00D87814" w:rsidRDefault="00D87814"/>
  </w:footnote>
  <w:footnote w:type="continuationSeparator" w:id="0">
    <w:p w:rsidR="00D87814" w:rsidRDefault="00D87814">
      <w:r>
        <w:continuationSeparator/>
      </w:r>
    </w:p>
    <w:p w:rsidR="00D87814" w:rsidRDefault="00D87814"/>
    <w:p w:rsidR="00D87814" w:rsidRDefault="00D87814"/>
    <w:p w:rsidR="00D87814" w:rsidRDefault="00D878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3A6A45" w:rsidRDefault="00D87814" w:rsidP="003A6A45">
    <w:pPr>
      <w:pStyle w:val="Encabezado"/>
      <w:pBdr>
        <w:bottom w:val="single" w:sz="4" w:space="1" w:color="auto"/>
      </w:pBdr>
      <w:spacing w:after="40"/>
      <w:ind w:firstLine="0"/>
      <w:jc w:val="left"/>
      <w:rPr>
        <w:sz w:val="13"/>
        <w:szCs w:val="13"/>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lang w:val="es-ES"/>
      </w:rPr>
      <w:t xml:space="preserve">informe </w:t>
    </w:r>
    <w:r w:rsidR="00ED14F5">
      <w:rPr>
        <w:sz w:val="13"/>
        <w:szCs w:val="13"/>
        <w:lang w:val="es-ES"/>
      </w:rPr>
      <w:t>de Fiscalización</w:t>
    </w:r>
    <w:r w:rsidRPr="003A6A45">
      <w:rPr>
        <w:sz w:val="13"/>
        <w:szCs w:val="13"/>
        <w:lang w:val="es-ES"/>
      </w:rPr>
      <w:t xml:space="preserve"> SOBRE Seguimiento de recomendaciones DE la Fundación Miguel Servet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p w:rsidR="00D87814" w:rsidRDefault="00D87814"/>
  <w:p w:rsidR="00D87814" w:rsidRDefault="00D878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p w:rsidR="00D87814" w:rsidRDefault="00D87814"/>
  <w:p w:rsidR="00D87814" w:rsidRDefault="00D878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40D6A82"/>
    <w:multiLevelType w:val="hybridMultilevel"/>
    <w:tmpl w:val="B192D39A"/>
    <w:lvl w:ilvl="0" w:tplc="AD9A5DA4">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2669AB"/>
    <w:multiLevelType w:val="hybridMultilevel"/>
    <w:tmpl w:val="D73841BC"/>
    <w:lvl w:ilvl="0" w:tplc="9142390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AB67C7"/>
    <w:multiLevelType w:val="hybridMultilevel"/>
    <w:tmpl w:val="C6A0871C"/>
    <w:lvl w:ilvl="0" w:tplc="DA2AFB2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357516C"/>
    <w:multiLevelType w:val="hybridMultilevel"/>
    <w:tmpl w:val="0E5C5DF2"/>
    <w:lvl w:ilvl="0" w:tplc="9A7C29F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50A63CD8"/>
    <w:multiLevelType w:val="hybridMultilevel"/>
    <w:tmpl w:val="A3B85F70"/>
    <w:lvl w:ilvl="0" w:tplc="0C0A0001">
      <w:start w:val="1"/>
      <w:numFmt w:val="bullet"/>
      <w:lvlText w:val=""/>
      <w:lvlJc w:val="left"/>
      <w:pPr>
        <w:ind w:left="1004" w:hanging="360"/>
      </w:pPr>
      <w:rPr>
        <w:rFonts w:ascii="Symbol" w:hAnsi="Symbol" w:hint="default"/>
      </w:rPr>
    </w:lvl>
    <w:lvl w:ilvl="1" w:tplc="ABB27AEC">
      <w:numFmt w:val="bullet"/>
      <w:lvlText w:val="-"/>
      <w:lvlJc w:val="left"/>
      <w:pPr>
        <w:ind w:left="1724" w:hanging="360"/>
      </w:pPr>
      <w:rPr>
        <w:rFonts w:ascii="Times New Roman" w:eastAsia="Calibri"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71F924B9"/>
    <w:multiLevelType w:val="hybridMultilevel"/>
    <w:tmpl w:val="1EF6243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75366A42"/>
    <w:multiLevelType w:val="hybridMultilevel"/>
    <w:tmpl w:val="B1548A22"/>
    <w:lvl w:ilvl="0" w:tplc="E8AA5D16">
      <w:numFmt w:val="bullet"/>
      <w:lvlText w:val="-"/>
      <w:lvlJc w:val="left"/>
      <w:pPr>
        <w:ind w:left="720" w:hanging="360"/>
      </w:pPr>
      <w:rPr>
        <w:rFonts w:ascii="ITCCentury Book" w:eastAsia="Times New Roman" w:hAnsi="ITCCentury Book"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7">
    <w:nsid w:val="7C4E1559"/>
    <w:multiLevelType w:val="hybridMultilevel"/>
    <w:tmpl w:val="5E5C6EBE"/>
    <w:lvl w:ilvl="0" w:tplc="0C0A0019">
      <w:start w:val="1"/>
      <w:numFmt w:val="lowerLetter"/>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8">
    <w:nsid w:val="7E9A1F52"/>
    <w:multiLevelType w:val="hybridMultilevel"/>
    <w:tmpl w:val="65A85420"/>
    <w:lvl w:ilvl="0" w:tplc="0C0A0001">
      <w:start w:val="1"/>
      <w:numFmt w:val="bullet"/>
      <w:lvlText w:val=""/>
      <w:lvlJc w:val="left"/>
      <w:pPr>
        <w:ind w:left="600" w:hanging="360"/>
      </w:pPr>
      <w:rPr>
        <w:rFonts w:ascii="Symbol" w:hAnsi="Symbol"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num w:numId="1">
    <w:abstractNumId w:val="16"/>
  </w:num>
  <w:num w:numId="2">
    <w:abstractNumId w:val="12"/>
  </w:num>
  <w:num w:numId="3">
    <w:abstractNumId w:val="1"/>
  </w:num>
  <w:num w:numId="4">
    <w:abstractNumId w:val="8"/>
  </w:num>
  <w:num w:numId="5">
    <w:abstractNumId w:val="13"/>
  </w:num>
  <w:num w:numId="6">
    <w:abstractNumId w:val="1"/>
  </w:num>
  <w:num w:numId="7">
    <w:abstractNumId w:val="1"/>
  </w:num>
  <w:num w:numId="8">
    <w:abstractNumId w:val="1"/>
  </w:num>
  <w:num w:numId="9">
    <w:abstractNumId w:val="5"/>
  </w:num>
  <w:num w:numId="10">
    <w:abstractNumId w:val="4"/>
  </w:num>
  <w:num w:numId="11">
    <w:abstractNumId w:val="6"/>
  </w:num>
  <w:num w:numId="12">
    <w:abstractNumId w:val="9"/>
  </w:num>
  <w:num w:numId="13">
    <w:abstractNumId w:val="11"/>
  </w:num>
  <w:num w:numId="14">
    <w:abstractNumId w:val="7"/>
  </w:num>
  <w:num w:numId="15">
    <w:abstractNumId w:val="17"/>
  </w:num>
  <w:num w:numId="16">
    <w:abstractNumId w:val="18"/>
  </w:num>
  <w:num w:numId="17">
    <w:abstractNumId w:val="10"/>
  </w:num>
  <w:num w:numId="18">
    <w:abstractNumId w:val="0"/>
  </w:num>
  <w:num w:numId="19">
    <w:abstractNumId w:val="3"/>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FB"/>
    <w:rsid w:val="000019D8"/>
    <w:rsid w:val="00006736"/>
    <w:rsid w:val="00006A97"/>
    <w:rsid w:val="0001123B"/>
    <w:rsid w:val="00012A7F"/>
    <w:rsid w:val="0001500B"/>
    <w:rsid w:val="00015430"/>
    <w:rsid w:val="00017A3A"/>
    <w:rsid w:val="00036E42"/>
    <w:rsid w:val="0004373B"/>
    <w:rsid w:val="000448FA"/>
    <w:rsid w:val="00053A42"/>
    <w:rsid w:val="0005517D"/>
    <w:rsid w:val="0005554D"/>
    <w:rsid w:val="0005556A"/>
    <w:rsid w:val="0006133D"/>
    <w:rsid w:val="00063585"/>
    <w:rsid w:val="00071CD0"/>
    <w:rsid w:val="00075677"/>
    <w:rsid w:val="00075692"/>
    <w:rsid w:val="00087B8D"/>
    <w:rsid w:val="000934DB"/>
    <w:rsid w:val="00093D67"/>
    <w:rsid w:val="00093E60"/>
    <w:rsid w:val="00094A9C"/>
    <w:rsid w:val="00094FCE"/>
    <w:rsid w:val="00096A34"/>
    <w:rsid w:val="00097E98"/>
    <w:rsid w:val="000A18B7"/>
    <w:rsid w:val="000A2C1E"/>
    <w:rsid w:val="000A3234"/>
    <w:rsid w:val="000A4697"/>
    <w:rsid w:val="000B2728"/>
    <w:rsid w:val="000B3943"/>
    <w:rsid w:val="000B4477"/>
    <w:rsid w:val="000B5988"/>
    <w:rsid w:val="000C0704"/>
    <w:rsid w:val="000C2224"/>
    <w:rsid w:val="000C2B07"/>
    <w:rsid w:val="000C39CC"/>
    <w:rsid w:val="000C7566"/>
    <w:rsid w:val="000D188E"/>
    <w:rsid w:val="000D5335"/>
    <w:rsid w:val="000E7B86"/>
    <w:rsid w:val="000F2B66"/>
    <w:rsid w:val="000F3D83"/>
    <w:rsid w:val="000F738A"/>
    <w:rsid w:val="000F7950"/>
    <w:rsid w:val="00100F12"/>
    <w:rsid w:val="00102466"/>
    <w:rsid w:val="00103589"/>
    <w:rsid w:val="001045C9"/>
    <w:rsid w:val="00107CC1"/>
    <w:rsid w:val="00111A92"/>
    <w:rsid w:val="001145C3"/>
    <w:rsid w:val="0011613C"/>
    <w:rsid w:val="001161D2"/>
    <w:rsid w:val="00131DF1"/>
    <w:rsid w:val="00132C38"/>
    <w:rsid w:val="00133984"/>
    <w:rsid w:val="001365C4"/>
    <w:rsid w:val="0014147D"/>
    <w:rsid w:val="00141D29"/>
    <w:rsid w:val="0014506A"/>
    <w:rsid w:val="0014728F"/>
    <w:rsid w:val="001521A2"/>
    <w:rsid w:val="00152358"/>
    <w:rsid w:val="00155BFF"/>
    <w:rsid w:val="001568AA"/>
    <w:rsid w:val="00160F66"/>
    <w:rsid w:val="001633AF"/>
    <w:rsid w:val="00166A6C"/>
    <w:rsid w:val="001728D0"/>
    <w:rsid w:val="00173EDD"/>
    <w:rsid w:val="0017402B"/>
    <w:rsid w:val="00181D37"/>
    <w:rsid w:val="001835B7"/>
    <w:rsid w:val="0018426B"/>
    <w:rsid w:val="00185A37"/>
    <w:rsid w:val="00194309"/>
    <w:rsid w:val="0019660E"/>
    <w:rsid w:val="001B39E2"/>
    <w:rsid w:val="001B7A28"/>
    <w:rsid w:val="001C2B26"/>
    <w:rsid w:val="001C3A32"/>
    <w:rsid w:val="001D4F09"/>
    <w:rsid w:val="001F1331"/>
    <w:rsid w:val="001F1482"/>
    <w:rsid w:val="001F20D7"/>
    <w:rsid w:val="001F550E"/>
    <w:rsid w:val="001F7744"/>
    <w:rsid w:val="002014EB"/>
    <w:rsid w:val="00202B1A"/>
    <w:rsid w:val="00204979"/>
    <w:rsid w:val="00211D69"/>
    <w:rsid w:val="00211D6D"/>
    <w:rsid w:val="002179DB"/>
    <w:rsid w:val="00226C80"/>
    <w:rsid w:val="00227E48"/>
    <w:rsid w:val="00230577"/>
    <w:rsid w:val="0023159D"/>
    <w:rsid w:val="0023209D"/>
    <w:rsid w:val="002333F8"/>
    <w:rsid w:val="00233D79"/>
    <w:rsid w:val="00234A87"/>
    <w:rsid w:val="00237657"/>
    <w:rsid w:val="00242BA7"/>
    <w:rsid w:val="002437B5"/>
    <w:rsid w:val="00244EF1"/>
    <w:rsid w:val="00246F21"/>
    <w:rsid w:val="002509BE"/>
    <w:rsid w:val="00253E78"/>
    <w:rsid w:val="00261BB6"/>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1330"/>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865"/>
    <w:rsid w:val="00312E9C"/>
    <w:rsid w:val="00313875"/>
    <w:rsid w:val="003203BF"/>
    <w:rsid w:val="00321369"/>
    <w:rsid w:val="00330787"/>
    <w:rsid w:val="003322DB"/>
    <w:rsid w:val="00337493"/>
    <w:rsid w:val="0034285F"/>
    <w:rsid w:val="003464A4"/>
    <w:rsid w:val="00351684"/>
    <w:rsid w:val="00354458"/>
    <w:rsid w:val="00357D47"/>
    <w:rsid w:val="00363653"/>
    <w:rsid w:val="0036509D"/>
    <w:rsid w:val="0037228C"/>
    <w:rsid w:val="00373351"/>
    <w:rsid w:val="003738FD"/>
    <w:rsid w:val="003748FB"/>
    <w:rsid w:val="00375E14"/>
    <w:rsid w:val="003810BE"/>
    <w:rsid w:val="00386F6C"/>
    <w:rsid w:val="00387709"/>
    <w:rsid w:val="00387794"/>
    <w:rsid w:val="00397162"/>
    <w:rsid w:val="003A335E"/>
    <w:rsid w:val="003A3DD2"/>
    <w:rsid w:val="003A6A45"/>
    <w:rsid w:val="003B3573"/>
    <w:rsid w:val="003B5813"/>
    <w:rsid w:val="003B68F7"/>
    <w:rsid w:val="003C03EA"/>
    <w:rsid w:val="003C196B"/>
    <w:rsid w:val="003C6E1D"/>
    <w:rsid w:val="003D058C"/>
    <w:rsid w:val="003D76B1"/>
    <w:rsid w:val="003E17A6"/>
    <w:rsid w:val="003E2BD1"/>
    <w:rsid w:val="003E4AA5"/>
    <w:rsid w:val="003F1CEC"/>
    <w:rsid w:val="003F43BF"/>
    <w:rsid w:val="003F6BE4"/>
    <w:rsid w:val="00403CF8"/>
    <w:rsid w:val="00407459"/>
    <w:rsid w:val="00413E50"/>
    <w:rsid w:val="00414D01"/>
    <w:rsid w:val="004170FE"/>
    <w:rsid w:val="004209E6"/>
    <w:rsid w:val="0042324B"/>
    <w:rsid w:val="004234E8"/>
    <w:rsid w:val="00426805"/>
    <w:rsid w:val="00430150"/>
    <w:rsid w:val="004302F9"/>
    <w:rsid w:val="0043229B"/>
    <w:rsid w:val="00435287"/>
    <w:rsid w:val="00440A22"/>
    <w:rsid w:val="0045550E"/>
    <w:rsid w:val="00456456"/>
    <w:rsid w:val="00456C1A"/>
    <w:rsid w:val="00462367"/>
    <w:rsid w:val="0046490C"/>
    <w:rsid w:val="00470287"/>
    <w:rsid w:val="00470733"/>
    <w:rsid w:val="00472B99"/>
    <w:rsid w:val="00473CC4"/>
    <w:rsid w:val="004751FE"/>
    <w:rsid w:val="00477C53"/>
    <w:rsid w:val="00485380"/>
    <w:rsid w:val="00486631"/>
    <w:rsid w:val="00493D87"/>
    <w:rsid w:val="004950D4"/>
    <w:rsid w:val="004A0506"/>
    <w:rsid w:val="004A2342"/>
    <w:rsid w:val="004A2F62"/>
    <w:rsid w:val="004B1DB8"/>
    <w:rsid w:val="004B2F01"/>
    <w:rsid w:val="004B4182"/>
    <w:rsid w:val="004B4538"/>
    <w:rsid w:val="004B4926"/>
    <w:rsid w:val="004B6FB6"/>
    <w:rsid w:val="004C2ADF"/>
    <w:rsid w:val="004C3423"/>
    <w:rsid w:val="004C571D"/>
    <w:rsid w:val="004D35A2"/>
    <w:rsid w:val="004D5FD1"/>
    <w:rsid w:val="004E0459"/>
    <w:rsid w:val="004F5D8F"/>
    <w:rsid w:val="004F7C93"/>
    <w:rsid w:val="00502EC9"/>
    <w:rsid w:val="005031C2"/>
    <w:rsid w:val="00506105"/>
    <w:rsid w:val="00513162"/>
    <w:rsid w:val="00516E65"/>
    <w:rsid w:val="00517A7A"/>
    <w:rsid w:val="00525809"/>
    <w:rsid w:val="005339C4"/>
    <w:rsid w:val="00535130"/>
    <w:rsid w:val="00537302"/>
    <w:rsid w:val="0055043F"/>
    <w:rsid w:val="00552AD8"/>
    <w:rsid w:val="00555509"/>
    <w:rsid w:val="00561C5B"/>
    <w:rsid w:val="00562965"/>
    <w:rsid w:val="00564F2D"/>
    <w:rsid w:val="00566CDA"/>
    <w:rsid w:val="0056727E"/>
    <w:rsid w:val="00567BA6"/>
    <w:rsid w:val="00570033"/>
    <w:rsid w:val="00570147"/>
    <w:rsid w:val="0057307E"/>
    <w:rsid w:val="00573A4C"/>
    <w:rsid w:val="00574B79"/>
    <w:rsid w:val="00574D12"/>
    <w:rsid w:val="005800B4"/>
    <w:rsid w:val="0058070B"/>
    <w:rsid w:val="00580A23"/>
    <w:rsid w:val="0058296F"/>
    <w:rsid w:val="00585FA1"/>
    <w:rsid w:val="00595E80"/>
    <w:rsid w:val="0059650E"/>
    <w:rsid w:val="00596868"/>
    <w:rsid w:val="00596953"/>
    <w:rsid w:val="005A6030"/>
    <w:rsid w:val="005B54EC"/>
    <w:rsid w:val="005B57AD"/>
    <w:rsid w:val="005B722E"/>
    <w:rsid w:val="005C02FE"/>
    <w:rsid w:val="005C34EF"/>
    <w:rsid w:val="005C50AC"/>
    <w:rsid w:val="005C6406"/>
    <w:rsid w:val="005C7ECE"/>
    <w:rsid w:val="005D69D1"/>
    <w:rsid w:val="005E210D"/>
    <w:rsid w:val="005E2F4F"/>
    <w:rsid w:val="005E6FFF"/>
    <w:rsid w:val="005F2425"/>
    <w:rsid w:val="005F5EC7"/>
    <w:rsid w:val="005F7207"/>
    <w:rsid w:val="005F7FCF"/>
    <w:rsid w:val="00607691"/>
    <w:rsid w:val="0061062C"/>
    <w:rsid w:val="00613183"/>
    <w:rsid w:val="006133F0"/>
    <w:rsid w:val="00616888"/>
    <w:rsid w:val="00616DFC"/>
    <w:rsid w:val="006176BE"/>
    <w:rsid w:val="006212CB"/>
    <w:rsid w:val="006279F9"/>
    <w:rsid w:val="006369EE"/>
    <w:rsid w:val="0064700E"/>
    <w:rsid w:val="00650183"/>
    <w:rsid w:val="00650677"/>
    <w:rsid w:val="00665F41"/>
    <w:rsid w:val="00671CE1"/>
    <w:rsid w:val="006736A9"/>
    <w:rsid w:val="00673BC7"/>
    <w:rsid w:val="00674975"/>
    <w:rsid w:val="00675D39"/>
    <w:rsid w:val="0068560B"/>
    <w:rsid w:val="00687EB6"/>
    <w:rsid w:val="006A1277"/>
    <w:rsid w:val="006A2602"/>
    <w:rsid w:val="006A2D41"/>
    <w:rsid w:val="006A67E1"/>
    <w:rsid w:val="006C36FB"/>
    <w:rsid w:val="006C7D62"/>
    <w:rsid w:val="006D0B23"/>
    <w:rsid w:val="006D2ED6"/>
    <w:rsid w:val="006D5685"/>
    <w:rsid w:val="006D74A8"/>
    <w:rsid w:val="006D758F"/>
    <w:rsid w:val="006E1987"/>
    <w:rsid w:val="006E23B2"/>
    <w:rsid w:val="006E5207"/>
    <w:rsid w:val="006E77E2"/>
    <w:rsid w:val="006F5C70"/>
    <w:rsid w:val="006F6A20"/>
    <w:rsid w:val="007047B2"/>
    <w:rsid w:val="00704DE7"/>
    <w:rsid w:val="00706868"/>
    <w:rsid w:val="007078B8"/>
    <w:rsid w:val="007114E5"/>
    <w:rsid w:val="0071234A"/>
    <w:rsid w:val="00715E32"/>
    <w:rsid w:val="007162D1"/>
    <w:rsid w:val="00716463"/>
    <w:rsid w:val="0071706E"/>
    <w:rsid w:val="007174D0"/>
    <w:rsid w:val="00726A18"/>
    <w:rsid w:val="00727292"/>
    <w:rsid w:val="007342DE"/>
    <w:rsid w:val="00742F6A"/>
    <w:rsid w:val="007446E8"/>
    <w:rsid w:val="00751553"/>
    <w:rsid w:val="0075165E"/>
    <w:rsid w:val="00754E10"/>
    <w:rsid w:val="00762A29"/>
    <w:rsid w:val="0076327D"/>
    <w:rsid w:val="00764E94"/>
    <w:rsid w:val="00767745"/>
    <w:rsid w:val="007707FC"/>
    <w:rsid w:val="00770BE3"/>
    <w:rsid w:val="00770CEA"/>
    <w:rsid w:val="0077177A"/>
    <w:rsid w:val="007728A8"/>
    <w:rsid w:val="00785A76"/>
    <w:rsid w:val="00787852"/>
    <w:rsid w:val="007915BC"/>
    <w:rsid w:val="007967FA"/>
    <w:rsid w:val="00797E7A"/>
    <w:rsid w:val="007A0EA6"/>
    <w:rsid w:val="007A2D9E"/>
    <w:rsid w:val="007A30D8"/>
    <w:rsid w:val="007A6191"/>
    <w:rsid w:val="007B0381"/>
    <w:rsid w:val="007B0F3D"/>
    <w:rsid w:val="007B148D"/>
    <w:rsid w:val="007B18C8"/>
    <w:rsid w:val="007B28DE"/>
    <w:rsid w:val="007B7A5F"/>
    <w:rsid w:val="007C36BE"/>
    <w:rsid w:val="007D1427"/>
    <w:rsid w:val="007D2678"/>
    <w:rsid w:val="007D53ED"/>
    <w:rsid w:val="007D6001"/>
    <w:rsid w:val="007D7F94"/>
    <w:rsid w:val="007E1B76"/>
    <w:rsid w:val="007E219A"/>
    <w:rsid w:val="007E37BF"/>
    <w:rsid w:val="007E6593"/>
    <w:rsid w:val="007F1101"/>
    <w:rsid w:val="007F2CB1"/>
    <w:rsid w:val="00801DA4"/>
    <w:rsid w:val="00801E24"/>
    <w:rsid w:val="00803D20"/>
    <w:rsid w:val="008112A0"/>
    <w:rsid w:val="008165C4"/>
    <w:rsid w:val="0081696D"/>
    <w:rsid w:val="00816E01"/>
    <w:rsid w:val="008173D0"/>
    <w:rsid w:val="00823235"/>
    <w:rsid w:val="008249F1"/>
    <w:rsid w:val="00824AF2"/>
    <w:rsid w:val="00825A64"/>
    <w:rsid w:val="00825E25"/>
    <w:rsid w:val="00826686"/>
    <w:rsid w:val="00826DEE"/>
    <w:rsid w:val="00835563"/>
    <w:rsid w:val="00836511"/>
    <w:rsid w:val="00836B02"/>
    <w:rsid w:val="00836EC6"/>
    <w:rsid w:val="00836FBC"/>
    <w:rsid w:val="00836FF7"/>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A7FDB"/>
    <w:rsid w:val="008B3F34"/>
    <w:rsid w:val="008B6143"/>
    <w:rsid w:val="008C56B9"/>
    <w:rsid w:val="008D05E0"/>
    <w:rsid w:val="008D2600"/>
    <w:rsid w:val="008E0AC0"/>
    <w:rsid w:val="008E221A"/>
    <w:rsid w:val="008E3FFE"/>
    <w:rsid w:val="008E512D"/>
    <w:rsid w:val="008E60BE"/>
    <w:rsid w:val="008E6B74"/>
    <w:rsid w:val="008F0FAF"/>
    <w:rsid w:val="008F1F4F"/>
    <w:rsid w:val="008F46CD"/>
    <w:rsid w:val="008F6480"/>
    <w:rsid w:val="008F6541"/>
    <w:rsid w:val="008F7740"/>
    <w:rsid w:val="00900CA2"/>
    <w:rsid w:val="00903653"/>
    <w:rsid w:val="00910A52"/>
    <w:rsid w:val="00911479"/>
    <w:rsid w:val="0091484D"/>
    <w:rsid w:val="009161A5"/>
    <w:rsid w:val="00917563"/>
    <w:rsid w:val="00925E71"/>
    <w:rsid w:val="0093329F"/>
    <w:rsid w:val="00937043"/>
    <w:rsid w:val="00943A26"/>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A4E0C"/>
    <w:rsid w:val="009B2AAC"/>
    <w:rsid w:val="009B3521"/>
    <w:rsid w:val="009B541C"/>
    <w:rsid w:val="009B6569"/>
    <w:rsid w:val="009C4460"/>
    <w:rsid w:val="009D7192"/>
    <w:rsid w:val="009D727D"/>
    <w:rsid w:val="009E0E38"/>
    <w:rsid w:val="009E1A35"/>
    <w:rsid w:val="009F09AA"/>
    <w:rsid w:val="009F2B7D"/>
    <w:rsid w:val="009F2C16"/>
    <w:rsid w:val="009F2C1B"/>
    <w:rsid w:val="009F335C"/>
    <w:rsid w:val="00A002B5"/>
    <w:rsid w:val="00A0260C"/>
    <w:rsid w:val="00A041B5"/>
    <w:rsid w:val="00A04F8C"/>
    <w:rsid w:val="00A05158"/>
    <w:rsid w:val="00A05D6E"/>
    <w:rsid w:val="00A13BF5"/>
    <w:rsid w:val="00A14837"/>
    <w:rsid w:val="00A225E3"/>
    <w:rsid w:val="00A23A26"/>
    <w:rsid w:val="00A24A8F"/>
    <w:rsid w:val="00A25708"/>
    <w:rsid w:val="00A25BF0"/>
    <w:rsid w:val="00A3026E"/>
    <w:rsid w:val="00A4576A"/>
    <w:rsid w:val="00A45AD0"/>
    <w:rsid w:val="00A45EE9"/>
    <w:rsid w:val="00A52E61"/>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C3D"/>
    <w:rsid w:val="00AB5FE4"/>
    <w:rsid w:val="00AB659D"/>
    <w:rsid w:val="00AC1700"/>
    <w:rsid w:val="00AC229F"/>
    <w:rsid w:val="00AD2B31"/>
    <w:rsid w:val="00AD3E89"/>
    <w:rsid w:val="00AD6EE1"/>
    <w:rsid w:val="00AD7671"/>
    <w:rsid w:val="00AE4498"/>
    <w:rsid w:val="00AE53E8"/>
    <w:rsid w:val="00AE6FE4"/>
    <w:rsid w:val="00AE7236"/>
    <w:rsid w:val="00AE7CAF"/>
    <w:rsid w:val="00AF2059"/>
    <w:rsid w:val="00AF3D84"/>
    <w:rsid w:val="00AF4161"/>
    <w:rsid w:val="00AF5340"/>
    <w:rsid w:val="00AF580B"/>
    <w:rsid w:val="00B007C8"/>
    <w:rsid w:val="00B124D2"/>
    <w:rsid w:val="00B14410"/>
    <w:rsid w:val="00B15E61"/>
    <w:rsid w:val="00B174E2"/>
    <w:rsid w:val="00B24F35"/>
    <w:rsid w:val="00B278C5"/>
    <w:rsid w:val="00B32C88"/>
    <w:rsid w:val="00B34747"/>
    <w:rsid w:val="00B42E49"/>
    <w:rsid w:val="00B500F0"/>
    <w:rsid w:val="00B50903"/>
    <w:rsid w:val="00B62FFE"/>
    <w:rsid w:val="00B65013"/>
    <w:rsid w:val="00B7123A"/>
    <w:rsid w:val="00B7435C"/>
    <w:rsid w:val="00B76F38"/>
    <w:rsid w:val="00B8085D"/>
    <w:rsid w:val="00B81EFF"/>
    <w:rsid w:val="00B836BB"/>
    <w:rsid w:val="00B84122"/>
    <w:rsid w:val="00B862B0"/>
    <w:rsid w:val="00BA2B7C"/>
    <w:rsid w:val="00BA760E"/>
    <w:rsid w:val="00BA7948"/>
    <w:rsid w:val="00BB142A"/>
    <w:rsid w:val="00BB34B9"/>
    <w:rsid w:val="00BB35C2"/>
    <w:rsid w:val="00BB553B"/>
    <w:rsid w:val="00BC1A10"/>
    <w:rsid w:val="00BC28D7"/>
    <w:rsid w:val="00BC376C"/>
    <w:rsid w:val="00BC6321"/>
    <w:rsid w:val="00BC7817"/>
    <w:rsid w:val="00BD3819"/>
    <w:rsid w:val="00BD642D"/>
    <w:rsid w:val="00BD6988"/>
    <w:rsid w:val="00BE1A77"/>
    <w:rsid w:val="00BE2227"/>
    <w:rsid w:val="00BE4742"/>
    <w:rsid w:val="00BE7383"/>
    <w:rsid w:val="00BE754D"/>
    <w:rsid w:val="00BF1DB9"/>
    <w:rsid w:val="00BF6D10"/>
    <w:rsid w:val="00BF6E79"/>
    <w:rsid w:val="00C03F6C"/>
    <w:rsid w:val="00C07D2E"/>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A8B"/>
    <w:rsid w:val="00C63BD5"/>
    <w:rsid w:val="00C74906"/>
    <w:rsid w:val="00C81B40"/>
    <w:rsid w:val="00C81FEA"/>
    <w:rsid w:val="00C83969"/>
    <w:rsid w:val="00C86C95"/>
    <w:rsid w:val="00CA05EB"/>
    <w:rsid w:val="00CA3515"/>
    <w:rsid w:val="00CA3A05"/>
    <w:rsid w:val="00CB14E9"/>
    <w:rsid w:val="00CB6D90"/>
    <w:rsid w:val="00CB72C3"/>
    <w:rsid w:val="00CC22B9"/>
    <w:rsid w:val="00CC45E4"/>
    <w:rsid w:val="00CD019F"/>
    <w:rsid w:val="00CD27C5"/>
    <w:rsid w:val="00CD732C"/>
    <w:rsid w:val="00CE32C4"/>
    <w:rsid w:val="00CE4169"/>
    <w:rsid w:val="00CE7894"/>
    <w:rsid w:val="00CF06A1"/>
    <w:rsid w:val="00CF1467"/>
    <w:rsid w:val="00CF48D6"/>
    <w:rsid w:val="00CF57D6"/>
    <w:rsid w:val="00CF6C1B"/>
    <w:rsid w:val="00D019D5"/>
    <w:rsid w:val="00D040FE"/>
    <w:rsid w:val="00D168FD"/>
    <w:rsid w:val="00D16F64"/>
    <w:rsid w:val="00D244DE"/>
    <w:rsid w:val="00D2472C"/>
    <w:rsid w:val="00D279BA"/>
    <w:rsid w:val="00D3362A"/>
    <w:rsid w:val="00D404B5"/>
    <w:rsid w:val="00D43D82"/>
    <w:rsid w:val="00D447CB"/>
    <w:rsid w:val="00D47D16"/>
    <w:rsid w:val="00D505F4"/>
    <w:rsid w:val="00D51CE1"/>
    <w:rsid w:val="00D562F2"/>
    <w:rsid w:val="00D60983"/>
    <w:rsid w:val="00D61B93"/>
    <w:rsid w:val="00D647A2"/>
    <w:rsid w:val="00D65CCB"/>
    <w:rsid w:val="00D6758E"/>
    <w:rsid w:val="00D67E4A"/>
    <w:rsid w:val="00D712E5"/>
    <w:rsid w:val="00D763FD"/>
    <w:rsid w:val="00D87814"/>
    <w:rsid w:val="00D90AD1"/>
    <w:rsid w:val="00D941F7"/>
    <w:rsid w:val="00DA11A9"/>
    <w:rsid w:val="00DA4DDF"/>
    <w:rsid w:val="00DB0804"/>
    <w:rsid w:val="00DB2FC4"/>
    <w:rsid w:val="00DC382A"/>
    <w:rsid w:val="00DC7074"/>
    <w:rsid w:val="00DC79FA"/>
    <w:rsid w:val="00DE1923"/>
    <w:rsid w:val="00DE2B33"/>
    <w:rsid w:val="00DE3988"/>
    <w:rsid w:val="00DE4C3B"/>
    <w:rsid w:val="00DE638B"/>
    <w:rsid w:val="00DE72EE"/>
    <w:rsid w:val="00DF37E5"/>
    <w:rsid w:val="00DF78C9"/>
    <w:rsid w:val="00E034FE"/>
    <w:rsid w:val="00E041E5"/>
    <w:rsid w:val="00E04888"/>
    <w:rsid w:val="00E0763B"/>
    <w:rsid w:val="00E10302"/>
    <w:rsid w:val="00E12ADB"/>
    <w:rsid w:val="00E16FE9"/>
    <w:rsid w:val="00E17EC5"/>
    <w:rsid w:val="00E26BFD"/>
    <w:rsid w:val="00E27567"/>
    <w:rsid w:val="00E27E90"/>
    <w:rsid w:val="00E33D02"/>
    <w:rsid w:val="00E34F2C"/>
    <w:rsid w:val="00E35D79"/>
    <w:rsid w:val="00E36872"/>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4B3D"/>
    <w:rsid w:val="00EB627B"/>
    <w:rsid w:val="00EB6D94"/>
    <w:rsid w:val="00EC3697"/>
    <w:rsid w:val="00EC4183"/>
    <w:rsid w:val="00EC6468"/>
    <w:rsid w:val="00EC6708"/>
    <w:rsid w:val="00ED14F5"/>
    <w:rsid w:val="00ED207C"/>
    <w:rsid w:val="00ED325A"/>
    <w:rsid w:val="00ED3F41"/>
    <w:rsid w:val="00ED5615"/>
    <w:rsid w:val="00ED692E"/>
    <w:rsid w:val="00ED69AF"/>
    <w:rsid w:val="00EE1847"/>
    <w:rsid w:val="00EE240E"/>
    <w:rsid w:val="00EE688E"/>
    <w:rsid w:val="00EE6A6D"/>
    <w:rsid w:val="00EE7347"/>
    <w:rsid w:val="00EF03E2"/>
    <w:rsid w:val="00EF1AFB"/>
    <w:rsid w:val="00EF3930"/>
    <w:rsid w:val="00EF7F8B"/>
    <w:rsid w:val="00F03814"/>
    <w:rsid w:val="00F07A09"/>
    <w:rsid w:val="00F123F9"/>
    <w:rsid w:val="00F1390C"/>
    <w:rsid w:val="00F14D98"/>
    <w:rsid w:val="00F20C5E"/>
    <w:rsid w:val="00F21718"/>
    <w:rsid w:val="00F30E02"/>
    <w:rsid w:val="00F3269D"/>
    <w:rsid w:val="00F36A1D"/>
    <w:rsid w:val="00F44278"/>
    <w:rsid w:val="00F51B65"/>
    <w:rsid w:val="00F52AAB"/>
    <w:rsid w:val="00F52EB6"/>
    <w:rsid w:val="00F55260"/>
    <w:rsid w:val="00F6316B"/>
    <w:rsid w:val="00F65AE0"/>
    <w:rsid w:val="00F74E38"/>
    <w:rsid w:val="00F76D6F"/>
    <w:rsid w:val="00F778B0"/>
    <w:rsid w:val="00F834BF"/>
    <w:rsid w:val="00F83BC2"/>
    <w:rsid w:val="00F843E9"/>
    <w:rsid w:val="00F85894"/>
    <w:rsid w:val="00F92EC1"/>
    <w:rsid w:val="00F94C47"/>
    <w:rsid w:val="00FA0421"/>
    <w:rsid w:val="00FA3389"/>
    <w:rsid w:val="00FA3476"/>
    <w:rsid w:val="00FA48CC"/>
    <w:rsid w:val="00FA495F"/>
    <w:rsid w:val="00FB0C10"/>
    <w:rsid w:val="00FB3C36"/>
    <w:rsid w:val="00FB4280"/>
    <w:rsid w:val="00FB7CCE"/>
    <w:rsid w:val="00FC01C8"/>
    <w:rsid w:val="00FC4272"/>
    <w:rsid w:val="00FC5027"/>
    <w:rsid w:val="00FC50C7"/>
    <w:rsid w:val="00FC511D"/>
    <w:rsid w:val="00FC68BC"/>
    <w:rsid w:val="00FD11D4"/>
    <w:rsid w:val="00FD225D"/>
    <w:rsid w:val="00FD2384"/>
    <w:rsid w:val="00FE452E"/>
    <w:rsid w:val="00FF0895"/>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EF1AFB"/>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EF1AFB"/>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EF1AFB"/>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EF1AFB"/>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EF1AFB"/>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EF3930"/>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EF1AFB"/>
    <w:rPr>
      <w:b/>
      <w:bCs/>
      <w:sz w:val="28"/>
      <w:szCs w:val="28"/>
    </w:rPr>
  </w:style>
  <w:style w:type="character" w:customStyle="1" w:styleId="Ttulo6Car">
    <w:name w:val="Título 6 Car"/>
    <w:basedOn w:val="Fuentedeprrafopredeter"/>
    <w:link w:val="Ttulo6"/>
    <w:rsid w:val="00EF1AFB"/>
    <w:rPr>
      <w:b/>
      <w:bCs/>
      <w:sz w:val="22"/>
      <w:szCs w:val="22"/>
    </w:rPr>
  </w:style>
  <w:style w:type="character" w:customStyle="1" w:styleId="Ttulo7Car">
    <w:name w:val="Título 7 Car"/>
    <w:basedOn w:val="Fuentedeprrafopredeter"/>
    <w:link w:val="Ttulo7"/>
    <w:rsid w:val="00EF1AFB"/>
    <w:rPr>
      <w:sz w:val="52"/>
    </w:rPr>
  </w:style>
  <w:style w:type="character" w:customStyle="1" w:styleId="Ttulo8Car">
    <w:name w:val="Título 8 Car"/>
    <w:basedOn w:val="Fuentedeprrafopredeter"/>
    <w:link w:val="Ttulo8"/>
    <w:rsid w:val="00EF1AFB"/>
    <w:rPr>
      <w:i/>
      <w:iCs/>
      <w:sz w:val="24"/>
      <w:szCs w:val="24"/>
    </w:rPr>
  </w:style>
  <w:style w:type="character" w:customStyle="1" w:styleId="Ttulo9Car">
    <w:name w:val="Título 9 Car"/>
    <w:basedOn w:val="Fuentedeprrafopredeter"/>
    <w:link w:val="Ttulo9"/>
    <w:rsid w:val="00EF1AFB"/>
    <w:rPr>
      <w:rFonts w:ascii="Arial" w:hAnsi="Arial" w:cs="Arial"/>
      <w:sz w:val="22"/>
      <w:szCs w:val="22"/>
    </w:rPr>
  </w:style>
  <w:style w:type="character" w:customStyle="1" w:styleId="atitulo1Car">
    <w:name w:val="atitulo1 Car"/>
    <w:basedOn w:val="Fuentedeprrafopredeter"/>
    <w:link w:val="atitulo1"/>
    <w:locked/>
    <w:rsid w:val="00EF1AFB"/>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EF1AFB"/>
    <w:pPr>
      <w:spacing w:after="0"/>
    </w:pPr>
  </w:style>
  <w:style w:type="character" w:customStyle="1" w:styleId="TextonotapieCar">
    <w:name w:val="Texto nota pie Car"/>
    <w:basedOn w:val="Fuentedeprrafopredeter"/>
    <w:link w:val="Textonotapie"/>
    <w:rsid w:val="00EF1AFB"/>
    <w:rPr>
      <w:lang w:val="es-ES_tradnl" w:eastAsia="en-US"/>
    </w:rPr>
  </w:style>
  <w:style w:type="character" w:styleId="Refdenotaalpie">
    <w:name w:val="footnote reference"/>
    <w:basedOn w:val="Fuentedeprrafopredeter"/>
    <w:unhideWhenUsed/>
    <w:rsid w:val="00EF1AFB"/>
    <w:rPr>
      <w:vertAlign w:val="superscript"/>
    </w:rPr>
  </w:style>
  <w:style w:type="paragraph" w:styleId="NormalWeb">
    <w:name w:val="Normal (Web)"/>
    <w:basedOn w:val="Normal"/>
    <w:uiPriority w:val="99"/>
    <w:unhideWhenUsed/>
    <w:rsid w:val="00EF1AFB"/>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EF1AFB"/>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EF1AFB"/>
    <w:pPr>
      <w:ind w:left="720"/>
      <w:contextualSpacing/>
    </w:pPr>
  </w:style>
  <w:style w:type="character" w:customStyle="1" w:styleId="Ttulo1Car">
    <w:name w:val="Título 1 Car"/>
    <w:link w:val="Ttulo1"/>
    <w:locked/>
    <w:rsid w:val="00EF1AFB"/>
    <w:rPr>
      <w:rFonts w:ascii="Arial" w:hAnsi="Arial" w:cs="Arial"/>
      <w:b/>
      <w:bCs/>
      <w:kern w:val="32"/>
      <w:sz w:val="32"/>
      <w:szCs w:val="32"/>
      <w:lang w:val="es-ES_tradnl" w:eastAsia="en-US"/>
    </w:rPr>
  </w:style>
  <w:style w:type="character" w:customStyle="1" w:styleId="Ttulo2Car">
    <w:name w:val="Título 2 Car"/>
    <w:link w:val="Ttulo2"/>
    <w:locked/>
    <w:rsid w:val="00EF1AFB"/>
    <w:rPr>
      <w:rFonts w:ascii="Arial" w:hAnsi="Arial" w:cs="Arial"/>
      <w:b/>
      <w:bCs/>
      <w:i/>
      <w:iCs/>
      <w:sz w:val="28"/>
      <w:szCs w:val="28"/>
      <w:lang w:val="es-ES_tradnl" w:eastAsia="en-US"/>
    </w:rPr>
  </w:style>
  <w:style w:type="character" w:customStyle="1" w:styleId="Ttulo3Car">
    <w:name w:val="Título 3 Car"/>
    <w:link w:val="Ttulo3"/>
    <w:locked/>
    <w:rsid w:val="00EF1AFB"/>
    <w:rPr>
      <w:rFonts w:ascii="Arial" w:hAnsi="Arial" w:cs="Arial"/>
      <w:b/>
      <w:bCs/>
      <w:szCs w:val="26"/>
      <w:lang w:val="es-ES_tradnl" w:eastAsia="en-US"/>
    </w:rPr>
  </w:style>
  <w:style w:type="character" w:customStyle="1" w:styleId="Ttulo5Car">
    <w:name w:val="Título 5 Car"/>
    <w:link w:val="Ttulo5"/>
    <w:locked/>
    <w:rsid w:val="00EF1AFB"/>
    <w:rPr>
      <w:b/>
      <w:sz w:val="28"/>
      <w:lang w:eastAsia="en-US"/>
    </w:rPr>
  </w:style>
  <w:style w:type="character" w:customStyle="1" w:styleId="TextodegloboCar">
    <w:name w:val="Texto de globo Car"/>
    <w:link w:val="Textodeglobo"/>
    <w:semiHidden/>
    <w:locked/>
    <w:rsid w:val="00EF1AFB"/>
    <w:rPr>
      <w:rFonts w:ascii="Tahoma" w:hAnsi="Tahoma" w:cs="Tahoma"/>
      <w:sz w:val="16"/>
      <w:szCs w:val="16"/>
      <w:lang w:val="es-ES_tradnl" w:eastAsia="en-US"/>
    </w:rPr>
  </w:style>
  <w:style w:type="character" w:customStyle="1" w:styleId="EncabezadoCar">
    <w:name w:val="Encabezado Car"/>
    <w:link w:val="Encabezado"/>
    <w:locked/>
    <w:rsid w:val="00EF1AFB"/>
    <w:rPr>
      <w:bCs/>
      <w:caps/>
      <w:sz w:val="14"/>
      <w:szCs w:val="12"/>
      <w:lang w:val="es-ES_tradnl" w:eastAsia="en-US"/>
    </w:rPr>
  </w:style>
  <w:style w:type="character" w:customStyle="1" w:styleId="PiedepginaCar">
    <w:name w:val="Pie de página Car"/>
    <w:link w:val="Piedepgina"/>
    <w:locked/>
    <w:rsid w:val="00EF1AFB"/>
    <w:rPr>
      <w:spacing w:val="6"/>
      <w:lang w:val="es-ES_tradnl" w:eastAsia="en-US"/>
    </w:rPr>
  </w:style>
  <w:style w:type="paragraph" w:customStyle="1" w:styleId="cuatitul">
    <w:name w:val="cuatitul"/>
    <w:basedOn w:val="Normal"/>
    <w:rsid w:val="00EF1AFB"/>
    <w:pPr>
      <w:spacing w:after="60"/>
      <w:ind w:firstLine="0"/>
      <w:jc w:val="center"/>
    </w:pPr>
    <w:rPr>
      <w:rFonts w:ascii="GillSans" w:eastAsia="Calibri" w:hAnsi="GillSans"/>
      <w:sz w:val="22"/>
      <w:lang w:eastAsia="es-ES"/>
    </w:rPr>
  </w:style>
  <w:style w:type="paragraph" w:customStyle="1" w:styleId="TablaCC">
    <w:name w:val="TablaCC"/>
    <w:basedOn w:val="Normal"/>
    <w:rsid w:val="00EF1AFB"/>
    <w:pPr>
      <w:spacing w:before="200" w:after="0"/>
      <w:ind w:firstLine="0"/>
      <w:jc w:val="left"/>
    </w:pPr>
    <w:rPr>
      <w:rFonts w:ascii="Arial" w:eastAsia="Calibri" w:hAnsi="Arial"/>
      <w:b/>
      <w:sz w:val="24"/>
      <w:szCs w:val="24"/>
      <w:lang w:val="es-ES"/>
    </w:rPr>
  </w:style>
  <w:style w:type="paragraph" w:customStyle="1" w:styleId="xl25">
    <w:name w:val="xl25"/>
    <w:basedOn w:val="Normal"/>
    <w:rsid w:val="00EF1AFB"/>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EF1AFB"/>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F1AFB"/>
    <w:rPr>
      <w:rFonts w:ascii="Arial" w:eastAsia="Calibri" w:hAnsi="Arial"/>
      <w:sz w:val="24"/>
      <w:lang w:val="es-ES_tradnl"/>
    </w:rPr>
  </w:style>
  <w:style w:type="character" w:customStyle="1" w:styleId="AyuntamientoCar">
    <w:name w:val="Ayuntamiento Car"/>
    <w:link w:val="Ayuntamiento"/>
    <w:locked/>
    <w:rsid w:val="00EF1AFB"/>
    <w:rPr>
      <w:rFonts w:ascii="Arial" w:hAnsi="Arial"/>
      <w:sz w:val="24"/>
      <w:lang w:val="x-none"/>
    </w:rPr>
  </w:style>
  <w:style w:type="paragraph" w:customStyle="1" w:styleId="Ayuntamiento">
    <w:name w:val="Ayuntamiento"/>
    <w:basedOn w:val="Normal"/>
    <w:link w:val="AyuntamientoCar"/>
    <w:rsid w:val="00EF1AFB"/>
    <w:pPr>
      <w:spacing w:after="0"/>
      <w:ind w:firstLine="0"/>
    </w:pPr>
    <w:rPr>
      <w:rFonts w:ascii="Arial" w:hAnsi="Arial"/>
      <w:sz w:val="24"/>
      <w:lang w:val="x-none" w:eastAsia="es-ES"/>
    </w:rPr>
  </w:style>
  <w:style w:type="character" w:customStyle="1" w:styleId="JavierCar">
    <w:name w:val="Javier Car"/>
    <w:link w:val="Javier"/>
    <w:locked/>
    <w:rsid w:val="00EF1AFB"/>
    <w:rPr>
      <w:rFonts w:ascii="Arial" w:hAnsi="Arial"/>
      <w:sz w:val="24"/>
      <w:lang w:val="x-none"/>
    </w:rPr>
  </w:style>
  <w:style w:type="paragraph" w:customStyle="1" w:styleId="Javier">
    <w:name w:val="Javier"/>
    <w:basedOn w:val="Normal"/>
    <w:link w:val="JavierCar"/>
    <w:rsid w:val="00EF1AFB"/>
    <w:pPr>
      <w:spacing w:after="0"/>
      <w:ind w:firstLine="0"/>
    </w:pPr>
    <w:rPr>
      <w:rFonts w:ascii="Arial" w:hAnsi="Arial"/>
      <w:sz w:val="24"/>
      <w:lang w:val="x-none" w:eastAsia="es-ES"/>
    </w:rPr>
  </w:style>
  <w:style w:type="character" w:styleId="Textoennegrita">
    <w:name w:val="Strong"/>
    <w:uiPriority w:val="22"/>
    <w:qFormat/>
    <w:rsid w:val="00EF1AFB"/>
    <w:rPr>
      <w:b/>
    </w:rPr>
  </w:style>
  <w:style w:type="paragraph" w:customStyle="1" w:styleId="foral-f-parrafo-c">
    <w:name w:val="foral-f-parrafo-c"/>
    <w:basedOn w:val="Normal"/>
    <w:rsid w:val="00EF1AFB"/>
    <w:pPr>
      <w:spacing w:after="240"/>
      <w:ind w:firstLine="0"/>
      <w:jc w:val="left"/>
    </w:pPr>
    <w:rPr>
      <w:rFonts w:eastAsia="Calibri"/>
      <w:sz w:val="24"/>
      <w:szCs w:val="24"/>
      <w:lang w:val="es-ES" w:eastAsia="es-ES"/>
    </w:rPr>
  </w:style>
  <w:style w:type="paragraph" w:customStyle="1" w:styleId="Estndar">
    <w:name w:val="Estándar"/>
    <w:rsid w:val="00EF1AFB"/>
    <w:pPr>
      <w:snapToGrid w:val="0"/>
    </w:pPr>
    <w:rPr>
      <w:rFonts w:ascii="CG Omega" w:hAnsi="CG Omega"/>
      <w:color w:val="000000"/>
      <w:sz w:val="22"/>
    </w:rPr>
  </w:style>
  <w:style w:type="paragraph" w:styleId="Textoindependiente2">
    <w:name w:val="Body Text 2"/>
    <w:basedOn w:val="Normal"/>
    <w:link w:val="Textoindependiente2Car"/>
    <w:rsid w:val="00EF1AFB"/>
    <w:pPr>
      <w:spacing w:after="120" w:line="480" w:lineRule="auto"/>
    </w:pPr>
    <w:rPr>
      <w:rFonts w:eastAsia="Calibri"/>
    </w:rPr>
  </w:style>
  <w:style w:type="character" w:customStyle="1" w:styleId="Textoindependiente2Car">
    <w:name w:val="Texto independiente 2 Car"/>
    <w:basedOn w:val="Fuentedeprrafopredeter"/>
    <w:link w:val="Textoindependiente2"/>
    <w:rsid w:val="00EF1AFB"/>
    <w:rPr>
      <w:rFonts w:eastAsia="Calibri"/>
      <w:lang w:val="es-ES_tradnl" w:eastAsia="en-US"/>
    </w:rPr>
  </w:style>
  <w:style w:type="paragraph" w:styleId="Textoindependiente3">
    <w:name w:val="Body Text 3"/>
    <w:basedOn w:val="Normal"/>
    <w:link w:val="Textoindependiente3Car"/>
    <w:rsid w:val="00EF1AFB"/>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EF1AFB"/>
    <w:rPr>
      <w:rFonts w:ascii="ITCCentury Book" w:hAnsi="ITCCentury Book"/>
      <w:b/>
      <w:sz w:val="96"/>
    </w:rPr>
  </w:style>
  <w:style w:type="paragraph" w:customStyle="1" w:styleId="c22">
    <w:name w:val="c22"/>
    <w:basedOn w:val="Normal"/>
    <w:rsid w:val="00EF1AFB"/>
    <w:pPr>
      <w:spacing w:before="100" w:beforeAutospacing="1" w:after="100" w:afterAutospacing="1"/>
      <w:ind w:firstLine="0"/>
      <w:jc w:val="left"/>
    </w:pPr>
    <w:rPr>
      <w:sz w:val="24"/>
      <w:szCs w:val="24"/>
      <w:lang w:val="es-ES" w:eastAsia="es-ES"/>
    </w:rPr>
  </w:style>
  <w:style w:type="paragraph" w:customStyle="1" w:styleId="np">
    <w:name w:val="np"/>
    <w:basedOn w:val="Normal"/>
    <w:rsid w:val="00EF1AFB"/>
    <w:pPr>
      <w:spacing w:before="100" w:beforeAutospacing="1" w:after="100" w:afterAutospacing="1"/>
      <w:ind w:firstLine="0"/>
      <w:jc w:val="left"/>
    </w:pPr>
    <w:rPr>
      <w:sz w:val="24"/>
      <w:szCs w:val="24"/>
      <w:lang w:val="es-ES" w:eastAsia="es-ES"/>
    </w:rPr>
  </w:style>
  <w:style w:type="paragraph" w:customStyle="1" w:styleId="Default">
    <w:name w:val="Default"/>
    <w:rsid w:val="00EF1AFB"/>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EF1AFB"/>
    <w:pPr>
      <w:overflowPunct w:val="0"/>
      <w:adjustRightInd w:val="0"/>
      <w:spacing w:before="240" w:after="0"/>
      <w:ind w:firstLine="0"/>
    </w:pPr>
    <w:rPr>
      <w:sz w:val="22"/>
      <w:lang w:eastAsia="es-ES"/>
    </w:rPr>
  </w:style>
  <w:style w:type="paragraph" w:customStyle="1" w:styleId="xa1">
    <w:name w:val="xa1"/>
    <w:basedOn w:val="Normal"/>
    <w:uiPriority w:val="99"/>
    <w:rsid w:val="00EF1AFB"/>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EF1AFB"/>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EF1AFB"/>
  </w:style>
  <w:style w:type="paragraph" w:customStyle="1" w:styleId="pie">
    <w:name w:val="pie"/>
    <w:basedOn w:val="Normal"/>
    <w:rsid w:val="00EF1AFB"/>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EF1AFB"/>
  </w:style>
  <w:style w:type="character" w:customStyle="1" w:styleId="spelle">
    <w:name w:val="spelle"/>
    <w:rsid w:val="00EF1AFB"/>
  </w:style>
  <w:style w:type="character" w:customStyle="1" w:styleId="grame">
    <w:name w:val="grame"/>
    <w:rsid w:val="00EF1AFB"/>
  </w:style>
  <w:style w:type="paragraph" w:customStyle="1" w:styleId="Informal2">
    <w:name w:val="Informal2"/>
    <w:basedOn w:val="Normal"/>
    <w:rsid w:val="00EF1AFB"/>
    <w:pPr>
      <w:spacing w:before="60" w:after="60"/>
      <w:ind w:firstLine="0"/>
      <w:jc w:val="left"/>
    </w:pPr>
    <w:rPr>
      <w:rFonts w:ascii="Arial" w:hAnsi="Arial"/>
      <w:b/>
      <w:lang w:eastAsia="es-ES"/>
    </w:rPr>
  </w:style>
  <w:style w:type="paragraph" w:customStyle="1" w:styleId="xdef">
    <w:name w:val="xdef"/>
    <w:basedOn w:val="Normal"/>
    <w:rsid w:val="00EF1AFB"/>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uiPriority w:val="59"/>
    <w:rsid w:val="00EF1A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EF1AFB"/>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EF1AFB"/>
    <w:pPr>
      <w:spacing w:after="0"/>
    </w:pPr>
  </w:style>
  <w:style w:type="character" w:customStyle="1" w:styleId="TextonotaalfinalCar">
    <w:name w:val="Texto nota al final Car"/>
    <w:basedOn w:val="Fuentedeprrafopredeter"/>
    <w:link w:val="Textonotaalfinal"/>
    <w:rsid w:val="00EF1AFB"/>
    <w:rPr>
      <w:lang w:val="es-ES_tradnl" w:eastAsia="en-US"/>
    </w:rPr>
  </w:style>
  <w:style w:type="character" w:styleId="Refdenotaalfinal">
    <w:name w:val="endnote reference"/>
    <w:basedOn w:val="Fuentedeprrafopredeter"/>
    <w:rsid w:val="00EF1AFB"/>
    <w:rPr>
      <w:vertAlign w:val="superscript"/>
    </w:rPr>
  </w:style>
  <w:style w:type="character" w:styleId="Hipervnculovisitado">
    <w:name w:val="FollowedHyperlink"/>
    <w:basedOn w:val="Fuentedeprrafopredeter"/>
    <w:uiPriority w:val="99"/>
    <w:unhideWhenUsed/>
    <w:rsid w:val="00EF1AFB"/>
    <w:rPr>
      <w:color w:val="800080"/>
      <w:u w:val="single"/>
    </w:rPr>
  </w:style>
  <w:style w:type="paragraph" w:customStyle="1" w:styleId="xl66">
    <w:name w:val="xl66"/>
    <w:basedOn w:val="Normal"/>
    <w:rsid w:val="00EF1AFB"/>
    <w:pPr>
      <w:spacing w:before="100" w:beforeAutospacing="1" w:after="100" w:afterAutospacing="1"/>
      <w:ind w:firstLine="0"/>
      <w:jc w:val="left"/>
    </w:pPr>
    <w:rPr>
      <w:lang w:val="es-ES" w:eastAsia="es-ES"/>
    </w:rPr>
  </w:style>
  <w:style w:type="paragraph" w:customStyle="1" w:styleId="xl67">
    <w:name w:val="xl67"/>
    <w:basedOn w:val="Normal"/>
    <w:rsid w:val="00EF1AFB"/>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EF1AFB"/>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EF1AFB"/>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EF1AFB"/>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EF1AFB"/>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EF1AFB"/>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EF1AFB"/>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EF1AFB"/>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EF1AFB"/>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EF1AFB"/>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EF1AFB"/>
    <w:rPr>
      <w:rFonts w:ascii="EYInterstate Light" w:hAnsi="EYInterstate Light"/>
      <w:szCs w:val="24"/>
      <w:lang w:val="en-US" w:eastAsia="en-US"/>
    </w:rPr>
  </w:style>
  <w:style w:type="character" w:styleId="Refdecomentario">
    <w:name w:val="annotation reference"/>
    <w:basedOn w:val="Fuentedeprrafopredeter"/>
    <w:semiHidden/>
    <w:unhideWhenUsed/>
    <w:rsid w:val="00EF1AFB"/>
    <w:rPr>
      <w:sz w:val="16"/>
      <w:szCs w:val="16"/>
    </w:rPr>
  </w:style>
  <w:style w:type="paragraph" w:styleId="Textocomentario">
    <w:name w:val="annotation text"/>
    <w:basedOn w:val="Normal"/>
    <w:link w:val="TextocomentarioCar"/>
    <w:unhideWhenUsed/>
    <w:rsid w:val="00EF1AFB"/>
  </w:style>
  <w:style w:type="character" w:customStyle="1" w:styleId="TextocomentarioCar">
    <w:name w:val="Texto comentario Car"/>
    <w:basedOn w:val="Fuentedeprrafopredeter"/>
    <w:link w:val="Textocomentario"/>
    <w:rsid w:val="00EF1AFB"/>
    <w:rPr>
      <w:lang w:val="es-ES_tradnl" w:eastAsia="en-US"/>
    </w:rPr>
  </w:style>
  <w:style w:type="paragraph" w:styleId="Asuntodelcomentario">
    <w:name w:val="annotation subject"/>
    <w:basedOn w:val="Textocomentario"/>
    <w:next w:val="Textocomentario"/>
    <w:link w:val="AsuntodelcomentarioCar"/>
    <w:semiHidden/>
    <w:unhideWhenUsed/>
    <w:rsid w:val="00EF1AFB"/>
    <w:rPr>
      <w:b/>
      <w:bCs/>
    </w:rPr>
  </w:style>
  <w:style w:type="character" w:customStyle="1" w:styleId="AsuntodelcomentarioCar">
    <w:name w:val="Asunto del comentario Car"/>
    <w:basedOn w:val="TextocomentarioCar"/>
    <w:link w:val="Asuntodelcomentario"/>
    <w:semiHidden/>
    <w:rsid w:val="00EF1AFB"/>
    <w:rPr>
      <w:b/>
      <w:bCs/>
      <w:lang w:val="es-ES_tradnl" w:eastAsia="en-US"/>
    </w:rPr>
  </w:style>
  <w:style w:type="paragraph" w:styleId="Revisin">
    <w:name w:val="Revision"/>
    <w:hidden/>
    <w:uiPriority w:val="99"/>
    <w:semiHidden/>
    <w:rsid w:val="00EF1AFB"/>
    <w:rPr>
      <w:lang w:val="es-ES_tradnl" w:eastAsia="en-US"/>
    </w:rPr>
  </w:style>
  <w:style w:type="character" w:customStyle="1" w:styleId="jselectarea">
    <w:name w:val="jselectarea"/>
    <w:basedOn w:val="Fuentedeprrafopredeter"/>
    <w:rsid w:val="00EF1AFB"/>
  </w:style>
  <w:style w:type="character" w:customStyle="1" w:styleId="atitulo3Car">
    <w:name w:val="atitulo3 Car"/>
    <w:link w:val="atitulo3"/>
    <w:uiPriority w:val="99"/>
    <w:rsid w:val="00EF1AFB"/>
    <w:rPr>
      <w:rFonts w:ascii="Arial" w:hAnsi="Arial"/>
      <w:i/>
      <w:iCs/>
      <w:color w:val="000000"/>
      <w:spacing w:val="10"/>
      <w:kern w:val="28"/>
      <w:sz w:val="25"/>
      <w:szCs w:val="26"/>
      <w:lang w:val="es-ES_tradnl" w:eastAsia="en-US"/>
    </w:rPr>
  </w:style>
  <w:style w:type="paragraph" w:customStyle="1" w:styleId="aaa">
    <w:name w:val="aaa"/>
    <w:basedOn w:val="Normal"/>
    <w:rsid w:val="00517A7A"/>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Estilo">
    <w:name w:val="Estilo"/>
    <w:rsid w:val="00E12ADB"/>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EF1AFB"/>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EF1AFB"/>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EF1AFB"/>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EF1AFB"/>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EF1AFB"/>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EF3930"/>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EF1AFB"/>
    <w:rPr>
      <w:b/>
      <w:bCs/>
      <w:sz w:val="28"/>
      <w:szCs w:val="28"/>
    </w:rPr>
  </w:style>
  <w:style w:type="character" w:customStyle="1" w:styleId="Ttulo6Car">
    <w:name w:val="Título 6 Car"/>
    <w:basedOn w:val="Fuentedeprrafopredeter"/>
    <w:link w:val="Ttulo6"/>
    <w:rsid w:val="00EF1AFB"/>
    <w:rPr>
      <w:b/>
      <w:bCs/>
      <w:sz w:val="22"/>
      <w:szCs w:val="22"/>
    </w:rPr>
  </w:style>
  <w:style w:type="character" w:customStyle="1" w:styleId="Ttulo7Car">
    <w:name w:val="Título 7 Car"/>
    <w:basedOn w:val="Fuentedeprrafopredeter"/>
    <w:link w:val="Ttulo7"/>
    <w:rsid w:val="00EF1AFB"/>
    <w:rPr>
      <w:sz w:val="52"/>
    </w:rPr>
  </w:style>
  <w:style w:type="character" w:customStyle="1" w:styleId="Ttulo8Car">
    <w:name w:val="Título 8 Car"/>
    <w:basedOn w:val="Fuentedeprrafopredeter"/>
    <w:link w:val="Ttulo8"/>
    <w:rsid w:val="00EF1AFB"/>
    <w:rPr>
      <w:i/>
      <w:iCs/>
      <w:sz w:val="24"/>
      <w:szCs w:val="24"/>
    </w:rPr>
  </w:style>
  <w:style w:type="character" w:customStyle="1" w:styleId="Ttulo9Car">
    <w:name w:val="Título 9 Car"/>
    <w:basedOn w:val="Fuentedeprrafopredeter"/>
    <w:link w:val="Ttulo9"/>
    <w:rsid w:val="00EF1AFB"/>
    <w:rPr>
      <w:rFonts w:ascii="Arial" w:hAnsi="Arial" w:cs="Arial"/>
      <w:sz w:val="22"/>
      <w:szCs w:val="22"/>
    </w:rPr>
  </w:style>
  <w:style w:type="character" w:customStyle="1" w:styleId="atitulo1Car">
    <w:name w:val="atitulo1 Car"/>
    <w:basedOn w:val="Fuentedeprrafopredeter"/>
    <w:link w:val="atitulo1"/>
    <w:locked/>
    <w:rsid w:val="00EF1AFB"/>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EF1AFB"/>
    <w:pPr>
      <w:spacing w:after="0"/>
    </w:pPr>
  </w:style>
  <w:style w:type="character" w:customStyle="1" w:styleId="TextonotapieCar">
    <w:name w:val="Texto nota pie Car"/>
    <w:basedOn w:val="Fuentedeprrafopredeter"/>
    <w:link w:val="Textonotapie"/>
    <w:rsid w:val="00EF1AFB"/>
    <w:rPr>
      <w:lang w:val="es-ES_tradnl" w:eastAsia="en-US"/>
    </w:rPr>
  </w:style>
  <w:style w:type="character" w:styleId="Refdenotaalpie">
    <w:name w:val="footnote reference"/>
    <w:basedOn w:val="Fuentedeprrafopredeter"/>
    <w:unhideWhenUsed/>
    <w:rsid w:val="00EF1AFB"/>
    <w:rPr>
      <w:vertAlign w:val="superscript"/>
    </w:rPr>
  </w:style>
  <w:style w:type="paragraph" w:styleId="NormalWeb">
    <w:name w:val="Normal (Web)"/>
    <w:basedOn w:val="Normal"/>
    <w:uiPriority w:val="99"/>
    <w:unhideWhenUsed/>
    <w:rsid w:val="00EF1AFB"/>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EF1AFB"/>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EF1AFB"/>
    <w:pPr>
      <w:ind w:left="720"/>
      <w:contextualSpacing/>
    </w:pPr>
  </w:style>
  <w:style w:type="character" w:customStyle="1" w:styleId="Ttulo1Car">
    <w:name w:val="Título 1 Car"/>
    <w:link w:val="Ttulo1"/>
    <w:locked/>
    <w:rsid w:val="00EF1AFB"/>
    <w:rPr>
      <w:rFonts w:ascii="Arial" w:hAnsi="Arial" w:cs="Arial"/>
      <w:b/>
      <w:bCs/>
      <w:kern w:val="32"/>
      <w:sz w:val="32"/>
      <w:szCs w:val="32"/>
      <w:lang w:val="es-ES_tradnl" w:eastAsia="en-US"/>
    </w:rPr>
  </w:style>
  <w:style w:type="character" w:customStyle="1" w:styleId="Ttulo2Car">
    <w:name w:val="Título 2 Car"/>
    <w:link w:val="Ttulo2"/>
    <w:locked/>
    <w:rsid w:val="00EF1AFB"/>
    <w:rPr>
      <w:rFonts w:ascii="Arial" w:hAnsi="Arial" w:cs="Arial"/>
      <w:b/>
      <w:bCs/>
      <w:i/>
      <w:iCs/>
      <w:sz w:val="28"/>
      <w:szCs w:val="28"/>
      <w:lang w:val="es-ES_tradnl" w:eastAsia="en-US"/>
    </w:rPr>
  </w:style>
  <w:style w:type="character" w:customStyle="1" w:styleId="Ttulo3Car">
    <w:name w:val="Título 3 Car"/>
    <w:link w:val="Ttulo3"/>
    <w:locked/>
    <w:rsid w:val="00EF1AFB"/>
    <w:rPr>
      <w:rFonts w:ascii="Arial" w:hAnsi="Arial" w:cs="Arial"/>
      <w:b/>
      <w:bCs/>
      <w:szCs w:val="26"/>
      <w:lang w:val="es-ES_tradnl" w:eastAsia="en-US"/>
    </w:rPr>
  </w:style>
  <w:style w:type="character" w:customStyle="1" w:styleId="Ttulo5Car">
    <w:name w:val="Título 5 Car"/>
    <w:link w:val="Ttulo5"/>
    <w:locked/>
    <w:rsid w:val="00EF1AFB"/>
    <w:rPr>
      <w:b/>
      <w:sz w:val="28"/>
      <w:lang w:eastAsia="en-US"/>
    </w:rPr>
  </w:style>
  <w:style w:type="character" w:customStyle="1" w:styleId="TextodegloboCar">
    <w:name w:val="Texto de globo Car"/>
    <w:link w:val="Textodeglobo"/>
    <w:semiHidden/>
    <w:locked/>
    <w:rsid w:val="00EF1AFB"/>
    <w:rPr>
      <w:rFonts w:ascii="Tahoma" w:hAnsi="Tahoma" w:cs="Tahoma"/>
      <w:sz w:val="16"/>
      <w:szCs w:val="16"/>
      <w:lang w:val="es-ES_tradnl" w:eastAsia="en-US"/>
    </w:rPr>
  </w:style>
  <w:style w:type="character" w:customStyle="1" w:styleId="EncabezadoCar">
    <w:name w:val="Encabezado Car"/>
    <w:link w:val="Encabezado"/>
    <w:locked/>
    <w:rsid w:val="00EF1AFB"/>
    <w:rPr>
      <w:bCs/>
      <w:caps/>
      <w:sz w:val="14"/>
      <w:szCs w:val="12"/>
      <w:lang w:val="es-ES_tradnl" w:eastAsia="en-US"/>
    </w:rPr>
  </w:style>
  <w:style w:type="character" w:customStyle="1" w:styleId="PiedepginaCar">
    <w:name w:val="Pie de página Car"/>
    <w:link w:val="Piedepgina"/>
    <w:locked/>
    <w:rsid w:val="00EF1AFB"/>
    <w:rPr>
      <w:spacing w:val="6"/>
      <w:lang w:val="es-ES_tradnl" w:eastAsia="en-US"/>
    </w:rPr>
  </w:style>
  <w:style w:type="paragraph" w:customStyle="1" w:styleId="cuatitul">
    <w:name w:val="cuatitul"/>
    <w:basedOn w:val="Normal"/>
    <w:rsid w:val="00EF1AFB"/>
    <w:pPr>
      <w:spacing w:after="60"/>
      <w:ind w:firstLine="0"/>
      <w:jc w:val="center"/>
    </w:pPr>
    <w:rPr>
      <w:rFonts w:ascii="GillSans" w:eastAsia="Calibri" w:hAnsi="GillSans"/>
      <w:sz w:val="22"/>
      <w:lang w:eastAsia="es-ES"/>
    </w:rPr>
  </w:style>
  <w:style w:type="paragraph" w:customStyle="1" w:styleId="TablaCC">
    <w:name w:val="TablaCC"/>
    <w:basedOn w:val="Normal"/>
    <w:rsid w:val="00EF1AFB"/>
    <w:pPr>
      <w:spacing w:before="200" w:after="0"/>
      <w:ind w:firstLine="0"/>
      <w:jc w:val="left"/>
    </w:pPr>
    <w:rPr>
      <w:rFonts w:ascii="Arial" w:eastAsia="Calibri" w:hAnsi="Arial"/>
      <w:b/>
      <w:sz w:val="24"/>
      <w:szCs w:val="24"/>
      <w:lang w:val="es-ES"/>
    </w:rPr>
  </w:style>
  <w:style w:type="paragraph" w:customStyle="1" w:styleId="xl25">
    <w:name w:val="xl25"/>
    <w:basedOn w:val="Normal"/>
    <w:rsid w:val="00EF1AFB"/>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EF1AFB"/>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F1AFB"/>
    <w:rPr>
      <w:rFonts w:ascii="Arial" w:eastAsia="Calibri" w:hAnsi="Arial"/>
      <w:sz w:val="24"/>
      <w:lang w:val="es-ES_tradnl"/>
    </w:rPr>
  </w:style>
  <w:style w:type="character" w:customStyle="1" w:styleId="AyuntamientoCar">
    <w:name w:val="Ayuntamiento Car"/>
    <w:link w:val="Ayuntamiento"/>
    <w:locked/>
    <w:rsid w:val="00EF1AFB"/>
    <w:rPr>
      <w:rFonts w:ascii="Arial" w:hAnsi="Arial"/>
      <w:sz w:val="24"/>
      <w:lang w:val="x-none"/>
    </w:rPr>
  </w:style>
  <w:style w:type="paragraph" w:customStyle="1" w:styleId="Ayuntamiento">
    <w:name w:val="Ayuntamiento"/>
    <w:basedOn w:val="Normal"/>
    <w:link w:val="AyuntamientoCar"/>
    <w:rsid w:val="00EF1AFB"/>
    <w:pPr>
      <w:spacing w:after="0"/>
      <w:ind w:firstLine="0"/>
    </w:pPr>
    <w:rPr>
      <w:rFonts w:ascii="Arial" w:hAnsi="Arial"/>
      <w:sz w:val="24"/>
      <w:lang w:val="x-none" w:eastAsia="es-ES"/>
    </w:rPr>
  </w:style>
  <w:style w:type="character" w:customStyle="1" w:styleId="JavierCar">
    <w:name w:val="Javier Car"/>
    <w:link w:val="Javier"/>
    <w:locked/>
    <w:rsid w:val="00EF1AFB"/>
    <w:rPr>
      <w:rFonts w:ascii="Arial" w:hAnsi="Arial"/>
      <w:sz w:val="24"/>
      <w:lang w:val="x-none"/>
    </w:rPr>
  </w:style>
  <w:style w:type="paragraph" w:customStyle="1" w:styleId="Javier">
    <w:name w:val="Javier"/>
    <w:basedOn w:val="Normal"/>
    <w:link w:val="JavierCar"/>
    <w:rsid w:val="00EF1AFB"/>
    <w:pPr>
      <w:spacing w:after="0"/>
      <w:ind w:firstLine="0"/>
    </w:pPr>
    <w:rPr>
      <w:rFonts w:ascii="Arial" w:hAnsi="Arial"/>
      <w:sz w:val="24"/>
      <w:lang w:val="x-none" w:eastAsia="es-ES"/>
    </w:rPr>
  </w:style>
  <w:style w:type="character" w:styleId="Textoennegrita">
    <w:name w:val="Strong"/>
    <w:uiPriority w:val="22"/>
    <w:qFormat/>
    <w:rsid w:val="00EF1AFB"/>
    <w:rPr>
      <w:b/>
    </w:rPr>
  </w:style>
  <w:style w:type="paragraph" w:customStyle="1" w:styleId="foral-f-parrafo-c">
    <w:name w:val="foral-f-parrafo-c"/>
    <w:basedOn w:val="Normal"/>
    <w:rsid w:val="00EF1AFB"/>
    <w:pPr>
      <w:spacing w:after="240"/>
      <w:ind w:firstLine="0"/>
      <w:jc w:val="left"/>
    </w:pPr>
    <w:rPr>
      <w:rFonts w:eastAsia="Calibri"/>
      <w:sz w:val="24"/>
      <w:szCs w:val="24"/>
      <w:lang w:val="es-ES" w:eastAsia="es-ES"/>
    </w:rPr>
  </w:style>
  <w:style w:type="paragraph" w:customStyle="1" w:styleId="Estndar">
    <w:name w:val="Estándar"/>
    <w:rsid w:val="00EF1AFB"/>
    <w:pPr>
      <w:snapToGrid w:val="0"/>
    </w:pPr>
    <w:rPr>
      <w:rFonts w:ascii="CG Omega" w:hAnsi="CG Omega"/>
      <w:color w:val="000000"/>
      <w:sz w:val="22"/>
    </w:rPr>
  </w:style>
  <w:style w:type="paragraph" w:styleId="Textoindependiente2">
    <w:name w:val="Body Text 2"/>
    <w:basedOn w:val="Normal"/>
    <w:link w:val="Textoindependiente2Car"/>
    <w:rsid w:val="00EF1AFB"/>
    <w:pPr>
      <w:spacing w:after="120" w:line="480" w:lineRule="auto"/>
    </w:pPr>
    <w:rPr>
      <w:rFonts w:eastAsia="Calibri"/>
    </w:rPr>
  </w:style>
  <w:style w:type="character" w:customStyle="1" w:styleId="Textoindependiente2Car">
    <w:name w:val="Texto independiente 2 Car"/>
    <w:basedOn w:val="Fuentedeprrafopredeter"/>
    <w:link w:val="Textoindependiente2"/>
    <w:rsid w:val="00EF1AFB"/>
    <w:rPr>
      <w:rFonts w:eastAsia="Calibri"/>
      <w:lang w:val="es-ES_tradnl" w:eastAsia="en-US"/>
    </w:rPr>
  </w:style>
  <w:style w:type="paragraph" w:styleId="Textoindependiente3">
    <w:name w:val="Body Text 3"/>
    <w:basedOn w:val="Normal"/>
    <w:link w:val="Textoindependiente3Car"/>
    <w:rsid w:val="00EF1AFB"/>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EF1AFB"/>
    <w:rPr>
      <w:rFonts w:ascii="ITCCentury Book" w:hAnsi="ITCCentury Book"/>
      <w:b/>
      <w:sz w:val="96"/>
    </w:rPr>
  </w:style>
  <w:style w:type="paragraph" w:customStyle="1" w:styleId="c22">
    <w:name w:val="c22"/>
    <w:basedOn w:val="Normal"/>
    <w:rsid w:val="00EF1AFB"/>
    <w:pPr>
      <w:spacing w:before="100" w:beforeAutospacing="1" w:after="100" w:afterAutospacing="1"/>
      <w:ind w:firstLine="0"/>
      <w:jc w:val="left"/>
    </w:pPr>
    <w:rPr>
      <w:sz w:val="24"/>
      <w:szCs w:val="24"/>
      <w:lang w:val="es-ES" w:eastAsia="es-ES"/>
    </w:rPr>
  </w:style>
  <w:style w:type="paragraph" w:customStyle="1" w:styleId="np">
    <w:name w:val="np"/>
    <w:basedOn w:val="Normal"/>
    <w:rsid w:val="00EF1AFB"/>
    <w:pPr>
      <w:spacing w:before="100" w:beforeAutospacing="1" w:after="100" w:afterAutospacing="1"/>
      <w:ind w:firstLine="0"/>
      <w:jc w:val="left"/>
    </w:pPr>
    <w:rPr>
      <w:sz w:val="24"/>
      <w:szCs w:val="24"/>
      <w:lang w:val="es-ES" w:eastAsia="es-ES"/>
    </w:rPr>
  </w:style>
  <w:style w:type="paragraph" w:customStyle="1" w:styleId="Default">
    <w:name w:val="Default"/>
    <w:rsid w:val="00EF1AFB"/>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EF1AFB"/>
    <w:pPr>
      <w:overflowPunct w:val="0"/>
      <w:adjustRightInd w:val="0"/>
      <w:spacing w:before="240" w:after="0"/>
      <w:ind w:firstLine="0"/>
    </w:pPr>
    <w:rPr>
      <w:sz w:val="22"/>
      <w:lang w:eastAsia="es-ES"/>
    </w:rPr>
  </w:style>
  <w:style w:type="paragraph" w:customStyle="1" w:styleId="xa1">
    <w:name w:val="xa1"/>
    <w:basedOn w:val="Normal"/>
    <w:uiPriority w:val="99"/>
    <w:rsid w:val="00EF1AFB"/>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EF1AFB"/>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EF1AFB"/>
  </w:style>
  <w:style w:type="paragraph" w:customStyle="1" w:styleId="pie">
    <w:name w:val="pie"/>
    <w:basedOn w:val="Normal"/>
    <w:rsid w:val="00EF1AFB"/>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EF1AFB"/>
  </w:style>
  <w:style w:type="character" w:customStyle="1" w:styleId="spelle">
    <w:name w:val="spelle"/>
    <w:rsid w:val="00EF1AFB"/>
  </w:style>
  <w:style w:type="character" w:customStyle="1" w:styleId="grame">
    <w:name w:val="grame"/>
    <w:rsid w:val="00EF1AFB"/>
  </w:style>
  <w:style w:type="paragraph" w:customStyle="1" w:styleId="Informal2">
    <w:name w:val="Informal2"/>
    <w:basedOn w:val="Normal"/>
    <w:rsid w:val="00EF1AFB"/>
    <w:pPr>
      <w:spacing w:before="60" w:after="60"/>
      <w:ind w:firstLine="0"/>
      <w:jc w:val="left"/>
    </w:pPr>
    <w:rPr>
      <w:rFonts w:ascii="Arial" w:hAnsi="Arial"/>
      <w:b/>
      <w:lang w:eastAsia="es-ES"/>
    </w:rPr>
  </w:style>
  <w:style w:type="paragraph" w:customStyle="1" w:styleId="xdef">
    <w:name w:val="xdef"/>
    <w:basedOn w:val="Normal"/>
    <w:rsid w:val="00EF1AFB"/>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uiPriority w:val="59"/>
    <w:rsid w:val="00EF1A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EF1AFB"/>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EF1AFB"/>
    <w:pPr>
      <w:spacing w:after="0"/>
    </w:pPr>
  </w:style>
  <w:style w:type="character" w:customStyle="1" w:styleId="TextonotaalfinalCar">
    <w:name w:val="Texto nota al final Car"/>
    <w:basedOn w:val="Fuentedeprrafopredeter"/>
    <w:link w:val="Textonotaalfinal"/>
    <w:rsid w:val="00EF1AFB"/>
    <w:rPr>
      <w:lang w:val="es-ES_tradnl" w:eastAsia="en-US"/>
    </w:rPr>
  </w:style>
  <w:style w:type="character" w:styleId="Refdenotaalfinal">
    <w:name w:val="endnote reference"/>
    <w:basedOn w:val="Fuentedeprrafopredeter"/>
    <w:rsid w:val="00EF1AFB"/>
    <w:rPr>
      <w:vertAlign w:val="superscript"/>
    </w:rPr>
  </w:style>
  <w:style w:type="character" w:styleId="Hipervnculovisitado">
    <w:name w:val="FollowedHyperlink"/>
    <w:basedOn w:val="Fuentedeprrafopredeter"/>
    <w:uiPriority w:val="99"/>
    <w:unhideWhenUsed/>
    <w:rsid w:val="00EF1AFB"/>
    <w:rPr>
      <w:color w:val="800080"/>
      <w:u w:val="single"/>
    </w:rPr>
  </w:style>
  <w:style w:type="paragraph" w:customStyle="1" w:styleId="xl66">
    <w:name w:val="xl66"/>
    <w:basedOn w:val="Normal"/>
    <w:rsid w:val="00EF1AFB"/>
    <w:pPr>
      <w:spacing w:before="100" w:beforeAutospacing="1" w:after="100" w:afterAutospacing="1"/>
      <w:ind w:firstLine="0"/>
      <w:jc w:val="left"/>
    </w:pPr>
    <w:rPr>
      <w:lang w:val="es-ES" w:eastAsia="es-ES"/>
    </w:rPr>
  </w:style>
  <w:style w:type="paragraph" w:customStyle="1" w:styleId="xl67">
    <w:name w:val="xl67"/>
    <w:basedOn w:val="Normal"/>
    <w:rsid w:val="00EF1AFB"/>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EF1AFB"/>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EF1AFB"/>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EF1AFB"/>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EF1AFB"/>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EF1AFB"/>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EF1AFB"/>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EF1AFB"/>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EF1AFB"/>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EF1AFB"/>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EF1AFB"/>
    <w:rPr>
      <w:rFonts w:ascii="EYInterstate Light" w:hAnsi="EYInterstate Light"/>
      <w:szCs w:val="24"/>
      <w:lang w:val="en-US" w:eastAsia="en-US"/>
    </w:rPr>
  </w:style>
  <w:style w:type="character" w:styleId="Refdecomentario">
    <w:name w:val="annotation reference"/>
    <w:basedOn w:val="Fuentedeprrafopredeter"/>
    <w:semiHidden/>
    <w:unhideWhenUsed/>
    <w:rsid w:val="00EF1AFB"/>
    <w:rPr>
      <w:sz w:val="16"/>
      <w:szCs w:val="16"/>
    </w:rPr>
  </w:style>
  <w:style w:type="paragraph" w:styleId="Textocomentario">
    <w:name w:val="annotation text"/>
    <w:basedOn w:val="Normal"/>
    <w:link w:val="TextocomentarioCar"/>
    <w:unhideWhenUsed/>
    <w:rsid w:val="00EF1AFB"/>
  </w:style>
  <w:style w:type="character" w:customStyle="1" w:styleId="TextocomentarioCar">
    <w:name w:val="Texto comentario Car"/>
    <w:basedOn w:val="Fuentedeprrafopredeter"/>
    <w:link w:val="Textocomentario"/>
    <w:rsid w:val="00EF1AFB"/>
    <w:rPr>
      <w:lang w:val="es-ES_tradnl" w:eastAsia="en-US"/>
    </w:rPr>
  </w:style>
  <w:style w:type="paragraph" w:styleId="Asuntodelcomentario">
    <w:name w:val="annotation subject"/>
    <w:basedOn w:val="Textocomentario"/>
    <w:next w:val="Textocomentario"/>
    <w:link w:val="AsuntodelcomentarioCar"/>
    <w:semiHidden/>
    <w:unhideWhenUsed/>
    <w:rsid w:val="00EF1AFB"/>
    <w:rPr>
      <w:b/>
      <w:bCs/>
    </w:rPr>
  </w:style>
  <w:style w:type="character" w:customStyle="1" w:styleId="AsuntodelcomentarioCar">
    <w:name w:val="Asunto del comentario Car"/>
    <w:basedOn w:val="TextocomentarioCar"/>
    <w:link w:val="Asuntodelcomentario"/>
    <w:semiHidden/>
    <w:rsid w:val="00EF1AFB"/>
    <w:rPr>
      <w:b/>
      <w:bCs/>
      <w:lang w:val="es-ES_tradnl" w:eastAsia="en-US"/>
    </w:rPr>
  </w:style>
  <w:style w:type="paragraph" w:styleId="Revisin">
    <w:name w:val="Revision"/>
    <w:hidden/>
    <w:uiPriority w:val="99"/>
    <w:semiHidden/>
    <w:rsid w:val="00EF1AFB"/>
    <w:rPr>
      <w:lang w:val="es-ES_tradnl" w:eastAsia="en-US"/>
    </w:rPr>
  </w:style>
  <w:style w:type="character" w:customStyle="1" w:styleId="jselectarea">
    <w:name w:val="jselectarea"/>
    <w:basedOn w:val="Fuentedeprrafopredeter"/>
    <w:rsid w:val="00EF1AFB"/>
  </w:style>
  <w:style w:type="character" w:customStyle="1" w:styleId="atitulo3Car">
    <w:name w:val="atitulo3 Car"/>
    <w:link w:val="atitulo3"/>
    <w:uiPriority w:val="99"/>
    <w:rsid w:val="00EF1AFB"/>
    <w:rPr>
      <w:rFonts w:ascii="Arial" w:hAnsi="Arial"/>
      <w:i/>
      <w:iCs/>
      <w:color w:val="000000"/>
      <w:spacing w:val="10"/>
      <w:kern w:val="28"/>
      <w:sz w:val="25"/>
      <w:szCs w:val="26"/>
      <w:lang w:val="es-ES_tradnl" w:eastAsia="en-US"/>
    </w:rPr>
  </w:style>
  <w:style w:type="paragraph" w:customStyle="1" w:styleId="aaa">
    <w:name w:val="aaa"/>
    <w:basedOn w:val="Normal"/>
    <w:rsid w:val="00517A7A"/>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Estilo">
    <w:name w:val="Estilo"/>
    <w:rsid w:val="00E12ADB"/>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6144</Words>
  <Characters>33952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d156363</dc:creator>
  <cp:lastModifiedBy>Aranaz, Carlota</cp:lastModifiedBy>
  <cp:revision>3</cp:revision>
  <cp:lastPrinted>2021-06-08T11:14:00Z</cp:lastPrinted>
  <dcterms:created xsi:type="dcterms:W3CDTF">2021-08-13T07:09:00Z</dcterms:created>
  <dcterms:modified xsi:type="dcterms:W3CDTF">2021-09-14T05:56:00Z</dcterms:modified>
</cp:coreProperties>
</file>