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ak, 2021eko irailaren 16an egin</w:t>
        <w:softHyphen/>
        <w:t xml:space="preserve">da</w:t>
        <w:softHyphen/>
        <w:t xml:space="preserve">ko Osoko Bilkuran, honako era</w:t>
        <w:softHyphen/>
        <w:t xml:space="preserve">ba</w:t>
        <w:softHyphen/>
        <w:t xml:space="preserve">ki hau one</w:t>
        <w:softHyphen/>
        <w:softHyphen/>
        <w:softHyphen/>
        <w:t xml:space="preserve">tsi zuen: “Erabakia. Horren bidez, Nafarroako Gobernua premiatzen da egin behar diren txosten eta administrazio-eginbideak azkartu ditzan, ahal den neurrian murrizte aldera Estellerriko azpiestazioa eta linea elektrikoa ezartzeko REEren proiektuaren izapideen espediente guztiak”.</w:t>
      </w:r>
    </w:p>
    <w:p>
      <w:pPr>
        <w:pStyle w:val="0"/>
        <w:suppressAutoHyphens w:val="false"/>
        <w:rPr>
          <w:rStyle w:val="1"/>
        </w:rPr>
      </w:pPr>
      <w:r>
        <w:rPr>
          <w:rStyle w:val="1"/>
        </w:rPr>
        <w:t xml:space="preserve">Lege</w:t>
        <w:softHyphen/>
        <w:t xml:space="preserve">bil</w:t>
        <w:softHyphen/>
        <w:softHyphen/>
        <w:softHyphen/>
        <w:t xml:space="preserve">tza</w:t>
        <w:softHyphen/>
        <w:t xml:space="preserve">rre</w:t>
        <w:softHyphen/>
        <w:t xml:space="preserve">ko Erre</w:t>
        <w:softHyphen/>
        <w:t xml:space="preserve">ge</w:t>
        <w:softHyphen/>
        <w:t xml:space="preserve">la</w:t>
        <w:softHyphen/>
        <w:t xml:space="preserve">men</w:t>
        <w:softHyphen/>
        <w:t xml:space="preserve">du</w:t>
        <w:softHyphen/>
        <w:t xml:space="preserve">ko 114. arti</w:t>
        <w:softHyphen/>
        <w:t xml:space="preserve">ku</w:t>
        <w:softHyphen/>
        <w:t xml:space="preserve">lu</w:t>
        <w:softHyphen/>
        <w:t xml:space="preserve">an eza</w:t>
        <w:softHyphen/>
        <w:t xml:space="preserve">rri</w:t>
        <w:softHyphen/>
        <w:t xml:space="preserve">ta</w:t>
        <w:softHyphen/>
        <w:t xml:space="preserve">koa betez, aipa</w:t>
        <w:softHyphen/>
        <w:t xml:space="preserve">tu era</w:t>
        <w:softHyphen/>
        <w:t xml:space="preserve">ba</w:t>
        <w:softHyphen/>
        <w:t xml:space="preserve">kia Nafa</w:t>
        <w:softHyphen/>
        <w:t xml:space="preserve">rro</w:t>
        <w:softHyphen/>
        <w:t xml:space="preserve">a</w:t>
        <w:softHyphen/>
        <w:t xml:space="preserve">ko Par</w:t>
        <w:softHyphen/>
        <w:t xml:space="preserve">la</w:t>
        <w:softHyphen/>
        <w:t xml:space="preserve">men</w:t>
        <w:softHyphen/>
        <w:t xml:space="preserve">tu</w:t>
        <w:softHyphen/>
        <w:t xml:space="preserve">ko Aldiz</w:t>
        <w:softHyphen/>
        <w:t xml:space="preserve">ka</w:t>
        <w:softHyphen/>
        <w:t xml:space="preserve">ri Ofi</w:t>
        <w:softHyphen/>
        <w:t xml:space="preserve">zi</w:t>
        <w:softHyphen/>
        <w:t xml:space="preserve">a</w:t>
        <w:softHyphen/>
        <w:t xml:space="preserve">le</w:t>
        <w:softHyphen/>
        <w:t xml:space="preserve">an argi</w:t>
        <w:softHyphen/>
        <w:t xml:space="preserve">ta</w:t>
        <w:softHyphen/>
        <w:t xml:space="preserve">ra dadin agin</w:t>
        <w:softHyphen/>
        <w:t xml:space="preserve">tzen dut. Hona tes</w:t>
        <w:softHyphen/>
        <w:t xml:space="preserve">tua:</w:t>
      </w:r>
    </w:p>
    <w:p>
      <w:pPr>
        <w:pStyle w:val="0"/>
        <w:suppressAutoHyphens w:val="false"/>
        <w:rPr>
          <w:rStyle w:val="1"/>
        </w:rPr>
      </w:pPr>
      <w:r>
        <w:rPr>
          <w:rStyle w:val="1"/>
        </w:rPr>
        <w:t xml:space="preserve">“Nafarroako Parlamentuak Nafarroako Gobernua premiatzen du, ukitutako departamentuek egin daitezkeen eta beharrezkoak diren zuzemen guztiak egin ditzaten, Estellerriko Merindadean hain beharrezkoak diren eta hainbestetan eskatu diren azpiegitura elektrikoak ezartzearren REEk planifikatutako lanak albait lasterren egitera bideratutako administrazio-izapideak nahiz txosten eta diligentzien epeak azkartzeko eta murrizteko”.</w:t>
      </w:r>
    </w:p>
    <w:p>
      <w:pPr>
        <w:pStyle w:val="0"/>
        <w:suppressAutoHyphens w:val="false"/>
        <w:rPr>
          <w:rStyle w:val="1"/>
        </w:rPr>
      </w:pPr>
      <w:r>
        <w:rPr>
          <w:rStyle w:val="1"/>
        </w:rPr>
        <w:t xml:space="preserve">Iruñean, 2021eko irailaren 17an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