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modalidad de gestión de la actuación “TIC-School. Formación de profesionales en nuevas especialidades de desarrollo del software e implantación de soluciones necesarias para la transformación digital del tejido empresarial y de los servicios públicos de Navarra”, formulada por la Ilma. Sra. D.ª María Isabel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Maribel García Malo, miembro de las Cortes de Navarra, adscrita al Grupo Parlamentario Navarra Suma (NA+), realiza la siguiente pregunta escrita dirigida a la Consejera de Derechos Sociales: </w:t>
      </w:r>
    </w:p>
    <w:p>
      <w:pPr>
        <w:pStyle w:val="0"/>
        <w:suppressAutoHyphens w:val="false"/>
        <w:rPr>
          <w:rStyle w:val="1"/>
        </w:rPr>
      </w:pPr>
      <w:r>
        <w:rPr>
          <w:rStyle w:val="1"/>
        </w:rPr>
        <w:t xml:space="preserve">En la ficha técnica del proyecto 11 DDSS, REACT EU Navarra “TIC-School. Formación de profesionales en nuevas especialidades de desarrollo del software e implantación de soluciones necesarias para la transformación digital del tejido empresarial y de los servicios públicos de Navarra” recoge que el organismo responsable de esta actuación es el Servicio Navarro de Empleo. Cuenta, según la misma ficha, con un presupuesto para el desarrollo de esta medida durante 2021 de 100.000 euros y la modalidad de gestión prevista es “Encargo Empresa Pública”. </w:t>
      </w:r>
    </w:p>
    <w:p>
      <w:pPr>
        <w:pStyle w:val="0"/>
        <w:suppressAutoHyphens w:val="false"/>
        <w:rPr>
          <w:rStyle w:val="1"/>
        </w:rPr>
      </w:pPr>
      <w:r>
        <w:rPr>
          <w:rStyle w:val="1"/>
        </w:rPr>
        <w:t xml:space="preserve">¿Por qué se establece esta modalidad de gestión? ¿A qué empresa pública concretamente se le va a realizar el encargo? ¿En base a qué criterios?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