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convocatoria y acuerdo con entidades locales de la actuación “Programas Integrados de Formación y Empleo para colectivos vulnerables”,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el pasado mayo en respuesta a la Pregunta Escrita 10-21/PES-00194 se nos decía que “Una vez se determinen las condiciones de ejecución de estos fondos, así como los requisitos técnicos y económicos exigibles para la elegibilidad del gasto y su justificación, se adoptarán las decisiones correspondientes por el Servicio Navarro de Empleo para la ejecución de esas medidas incluida la posible asistencia técnica”. Han transcurrido cuatro meses desde entonces por lo que no dudamos de que a estas alturas ya se han determinado estas condiciones. Si a esto añadimos que la ficha técnica del proyecto 14 DDSS, REACT EU Navarra “Programas Integrados de Formación y Empleo (PIFE) para colectivos vulnerables” recoge que el organismo responsable de esta actuación es el Servicio Navarro de Empleo. Se establece que la modalidad de gestión va a ser convocatoria más acuerdo con entidades locales. </w:t>
      </w:r>
    </w:p>
    <w:p>
      <w:pPr>
        <w:pStyle w:val="0"/>
        <w:suppressAutoHyphens w:val="false"/>
        <w:rPr>
          <w:rStyle w:val="1"/>
        </w:rPr>
      </w:pPr>
      <w:r>
        <w:rPr>
          <w:rStyle w:val="1"/>
        </w:rPr>
        <w:t xml:space="preserve">¿En qué se concreta este acuerdo con entidades locales? ¿Con qué entidades locales y en base a qué criterios? ¿En qué momento se encuentra la convocatoria y el acuerdo?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