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“COVID-19ak ukitutako sektoreetako langileak birlerrokatzea” jarduketak gehien ukitutako sektoreekiko lankidetza-sistemari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Joan den maiatzean, 10-21/PES-00185 galdera idatziari emandako erantzunean honela adierazi zitzaigun: “Funts horiek gauzatzeko baldintzak eta gastua hautatzeko eta justifikatzeko eska daitezkeen betekizun tekniko eta ekonomikoak zehaztu ondoren, Nafar Lansare-Nafarroako Enplegu Zerbitzuak dagozkion erabakiak hartuko ditu neurri horiek betearazteko, balizko laguntza teknikoa barne”. Horrez geroztik lau hilabete iragan direnez, ez dugu zalantzarik dagoeneko baldintza horiek zehaztuta egonen direla. Horri gehituta: “COVID-19ak ukitutako sektoreetako langileak birlerrokatzea” 15 DDSS, REACT EU Navarra proiektuaren fitxa teknikoan ezartzen da Nafarroako Enplegu Zerbitzua dela jarduketa horren ardura duena. Jarduketa-faseen deskribapenean jasotzen da “lankidetza-sistema ezarriko dela Nafarroako Enplegu Zerbitzuaren eta COVIDak gehien ukitutako sektoreen artean (...)”.</w:t>
      </w:r>
    </w:p>
    <w:p>
      <w:pPr>
        <w:pStyle w:val="0"/>
        <w:suppressAutoHyphens w:val="false"/>
        <w:rPr>
          <w:rStyle w:val="1"/>
        </w:rPr>
      </w:pPr>
      <w:r>
        <w:rPr>
          <w:rStyle w:val="1"/>
        </w:rPr>
        <w:t xml:space="preserve">Zertan zehazten da lankidetza-sistema hori eta zer sektorerekin?</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