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w:t>
      </w:r>
      <w:r>
        <w:rPr>
          <w:rStyle w:val="1"/>
          <w:spacing w:val="-0.961"/>
        </w:rPr>
        <w:t xml:space="preserve"> Admitir a trámite la pregunta de máxima actualidad sobre la sentencia del Tribunal Constitucional relativa al Fuero Nuevo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Parlamentario adscrito al G.P. EH Bildu Nafarroa, al amparo de lo establecido en el Reglamento de la Cámara, presenta la siguiente pregunta oral para su respuesta en Pleno dirigida a la Presidenta del Gobierno, D.ª María Chivite Navascués.</w:t>
      </w:r>
    </w:p>
    <w:p>
      <w:pPr>
        <w:pStyle w:val="0"/>
        <w:suppressAutoHyphens w:val="false"/>
        <w:rPr>
          <w:rStyle w:val="1"/>
        </w:rPr>
      </w:pPr>
      <w:r>
        <w:rPr>
          <w:rStyle w:val="1"/>
        </w:rPr>
        <w:t xml:space="preserve">El vicepresidente primero del Gobierno de Navarra, Javier Remírez, realizó “una valoración positiva” de la sentencia del Tribunal Constitucional sobre el Fuero Nuevo de Navarra por cuanto “se mantiene el 99,5 % del bloque normativo que salió del Parlamento de Navarra”.</w:t>
      </w:r>
    </w:p>
    <w:p>
      <w:pPr>
        <w:pStyle w:val="0"/>
        <w:suppressAutoHyphens w:val="false"/>
        <w:rPr>
          <w:rStyle w:val="1"/>
        </w:rPr>
      </w:pPr>
      <w:r>
        <w:rPr>
          <w:rStyle w:val="1"/>
        </w:rPr>
        <w:t xml:space="preserve">Más allá de análisis cuantitativos, ¿qué opinión le merecen al Gobierno de Navarra el fallo de la propia sentencia, la argumentación en la que se sustenta la misma y los votos particulares, que vuelven a poner en cuestión el autogobierno de Navarra?</w:t>
      </w:r>
    </w:p>
    <w:p>
      <w:pPr>
        <w:pStyle w:val="0"/>
        <w:suppressAutoHyphens w:val="false"/>
        <w:rPr>
          <w:rStyle w:val="1"/>
        </w:rPr>
      </w:pPr>
      <w:r>
        <w:rPr>
          <w:rStyle w:val="1"/>
        </w:rPr>
        <w:t xml:space="preserve">Iruñean, 30 de septiembre de 2021</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