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w:t>
      </w:r>
      <w:r>
        <w:rPr>
          <w:rStyle w:val="1"/>
        </w:rPr>
        <w:t xml:space="preserve"> Izapide</w:t>
        <w:softHyphen/>
        <w:softHyphen/>
        <w:softHyphen/>
        <w:softHyphen/>
        <w:t xml:space="preserve">tzeko onar</w:t>
        <w:softHyphen/>
        <w:softHyphen/>
        <w:softHyphen/>
        <w:softHyphen/>
        <w:t xml:space="preserve">tzea Mikel Buil García jaunak aurkeztutako gaurkotasun handiko galdera, sare sozialetan Foruzaingoan protokoloari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Hurrengo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Lehendakaritzako, Berdintasuneko, Funtzio Publikoko eta Barneko kontseilariak 2022ko otsailaren 10eko Osoko Bilkuran ahoz erantzun dezan:</w:t>
      </w:r>
    </w:p>
    <w:p>
      <w:pPr>
        <w:pStyle w:val="0"/>
        <w:suppressAutoHyphens w:val="false"/>
        <w:rPr>
          <w:rStyle w:val="1"/>
        </w:rPr>
      </w:pPr>
      <w:r>
        <w:rPr>
          <w:rStyle w:val="1"/>
        </w:rPr>
        <w:t xml:space="preserve">Ikusi dugunez, azken hilabeteotan Foruzaingoaren jakinarazpen ofizial batzuk izan dira Twitterren bidez, atxilotutakoen jatorria edo legezko egoera adierazten dutenak.</w:t>
      </w:r>
    </w:p>
    <w:p>
      <w:pPr>
        <w:pStyle w:val="0"/>
        <w:suppressAutoHyphens w:val="false"/>
        <w:rPr>
          <w:rStyle w:val="1"/>
        </w:rPr>
      </w:pPr>
      <w:r>
        <w:rPr>
          <w:rStyle w:val="1"/>
        </w:rPr>
        <w:t xml:space="preserve">Halaber, igandean irakurri ahal izan genuen Nafarroako prentsan argitaratutako jarduketen balantzea, jarduketa horien datuen banantzearekin, bakarrik dauden adingabeekin izandako jarduketak adierazita. Azkenik, zenbait hedabidetan polizia ezberdinekin egindako elkarrizketak irakurri ditugu, non errepikatzen baita migrazioa delinkuentziarekin lotzeko ideia. Arrazismo instituzionalaren zantzu argi horien eta balizko arriskuaren aurrean Funtzio Publikoko kontseilariari honako hau galdetzen diogu:</w:t>
      </w:r>
    </w:p>
    <w:p>
      <w:pPr>
        <w:pStyle w:val="0"/>
        <w:suppressAutoHyphens w:val="false"/>
        <w:rPr>
          <w:rStyle w:val="1"/>
        </w:rPr>
      </w:pPr>
      <w:r>
        <w:rPr>
          <w:rStyle w:val="1"/>
        </w:rPr>
        <w:t xml:space="preserve">Foruzaingoan komunikazio protokoloren bat al dago gai horri ekiteko?</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