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21 de febrero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medidas que se están poniendo en marcha en materia de digitalización de la Justicia, formulada por la Ilma. Sra. D.ª María Virginia Magdaleno Alegría.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21 de febrero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Virginia Magdaleno Alegría, adscrita al Grupo Parlamentario Partido Socialista de Navarra, al amparo de lo establecido en el Reglamento de la Cámara, formula al Consejero de Justicia y Políticas Migratorias, don Eduardo Santos, la siguiente pregunta oral para su contestación en Pleno.</w:t>
      </w:r>
    </w:p>
    <w:p>
      <w:pPr>
        <w:pStyle w:val="0"/>
        <w:suppressAutoHyphens w:val="false"/>
        <w:rPr>
          <w:rStyle w:val="1"/>
        </w:rPr>
      </w:pPr>
      <w:r>
        <w:rPr>
          <w:rStyle w:val="1"/>
        </w:rPr>
        <w:t xml:space="preserve">La pandemia del covid-19 ha puesto de manifiesto la necesidad del expediente electrónico. Por otra parte, el Consejo de Ministros ha aprobado el anteproyecto de Ley de Eficiencia Digital del Servicio Público de Justicia que, junto a la Ley de eficiencia procesal y la Ley de eficiencia organizativa, que ya están en tramitación, constituyen la base legislativa del Plan Justicia 2030 para transformar el servicio público de Justicia y hacerlo más eficiente.</w:t>
      </w:r>
    </w:p>
    <w:p>
      <w:pPr>
        <w:pStyle w:val="0"/>
        <w:suppressAutoHyphens w:val="false"/>
        <w:rPr>
          <w:rStyle w:val="1"/>
        </w:rPr>
      </w:pPr>
      <w:r>
        <w:rPr>
          <w:rStyle w:val="1"/>
        </w:rPr>
        <w:t xml:space="preserve">¿Qué medidas está poniendo en marcha el Departamento de Justicia y Políticas Migratorias del Gobierno en materia de la digitalización de la Justicia para un servicio público de Justicia más eficiente, accesible y transparente?</w:t>
      </w:r>
    </w:p>
    <w:p>
      <w:pPr>
        <w:pStyle w:val="0"/>
        <w:suppressAutoHyphens w:val="false"/>
        <w:rPr>
          <w:rStyle w:val="1"/>
        </w:rPr>
      </w:pPr>
      <w:r>
        <w:rPr>
          <w:rStyle w:val="1"/>
        </w:rPr>
        <w:t xml:space="preserve">Pamplona, a 17 de febrero de 2022</w:t>
      </w:r>
    </w:p>
    <w:p>
      <w:pPr>
        <w:pStyle w:val="0"/>
        <w:suppressAutoHyphens w:val="false"/>
        <w:rPr>
          <w:rStyle w:val="1"/>
        </w:rPr>
      </w:pPr>
      <w:r>
        <w:rPr>
          <w:rStyle w:val="1"/>
        </w:rPr>
        <w:t xml:space="preserve">La Parlamentaria Foral: Virginia Magdaleno Alegría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