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firma de la transferencia de la competencia de tráfico, formulada por la Ilma. Sra. D.ª Blanca Isabel Regúlez Álvarez (10-22/POR-00205).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de la Cámara por el vicepresidente primero y consejero de Presidencia, Igualdad, Función Pública e Interior del Gobierno de Navarra. </w:t>
      </w:r>
    </w:p>
    <w:p>
      <w:pPr>
        <w:pStyle w:val="0"/>
        <w:suppressAutoHyphens w:val="false"/>
        <w:rPr>
          <w:rStyle w:val="1"/>
        </w:rPr>
      </w:pPr>
      <w:r>
        <w:rPr>
          <w:rStyle w:val="1"/>
        </w:rPr>
        <w:t xml:space="preserve">Ante las últimas declaraciones de la ministra de Política Territorial, Isabel Rodríguez sobre la transferencia de tráfico, se formula la siguiente pregunta: </w:t>
      </w:r>
    </w:p>
    <w:p>
      <w:pPr>
        <w:pStyle w:val="0"/>
        <w:suppressAutoHyphens w:val="false"/>
        <w:rPr>
          <w:rStyle w:val="1"/>
        </w:rPr>
      </w:pPr>
      <w:r>
        <w:rPr>
          <w:rStyle w:val="1"/>
        </w:rPr>
        <w:t xml:space="preserve">¿Tiene el Gobierno de Navarra una fecha para llevar a cabo la firma de la transferencia de la competencia de tráfico antes del fin de la legislatura? </w:t>
      </w:r>
    </w:p>
    <w:p>
      <w:pPr>
        <w:pStyle w:val="0"/>
        <w:suppressAutoHyphens w:val="false"/>
        <w:rPr>
          <w:rStyle w:val="1"/>
        </w:rPr>
      </w:pPr>
      <w:r>
        <w:rPr>
          <w:rStyle w:val="1"/>
        </w:rPr>
        <w:t xml:space="preserve">Pamplona-lruña a 26 de mayo de 2022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