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derecho a la información relativo a la defensa del patrimonio indebidamente inmatriculado a favor de la Iglesia católica por parte de las entidades locales, formulada por el Ilmo. Sr. D. Mikel Buil García (10-22/PES-00177).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parlamentaria foral adscrito al Grupo Parlamentario de Podemos-Ahal Dugu, al amparo de lo dispuesto en el Reglamento de esta Cámara, presenta la siguiente pregunta a fin de que sea respondida de forma escrita por el Departamento de Cohesión Territorial del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23 de noviembre de 2021, mediante comparecencia parlamentaria, el Consejero de Políticas Migratorias y Justicia entregaba al Parlamento de Navarra el listado de bienes inmatriculados por la Iglesia católica en la Comunidad Foral.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partir de ahí se han ido desarrollando diferentes reuniones en las que han estado involucrados tanto el departamento que usted dirige como la Federación Navarra de Municipios y Concejos, a efectos de que se pudiera trasladar de forma proactiva esta información a cada uno de los municipios de Navarra y se les pudiera informar acerca de las posibles acciones que les pueden corresponder en defensa de su patrimonio.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acciones ha realizado su departamento y cuáles tiene previsto hacer a corto y medio plazo para asegurar el derecho a la información sobre la defensa del patrimonio indebidamente inmatriculado a favor de la Iglesia católica por parte de las entidades locales?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23 mayo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