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30 de mayo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derecho a la información relativo a la defensa del patrimonio indebidamente inmatriculado a favor de la Iglesia católica por parte de las entidades locales, formulada por el Ilmo. Sr. D. Mikel Buil García (10-22/PES-00177).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30 de mayo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Mikel Buil García, parlamentaria foral adscrito al Grupo Parlamentario de Podemos-Ahal Dugu, al amparo de lo dispuesto en el Reglamento de esta Cámara, presenta la siguiente pregunta a fin de que sea respondida de forma escrita por el Departamento de Cohesión Territorial del Gobierno de Navarra.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pasado 23 de noviembre de 2021, mediante comparecencia parlamentaria, el Consejero de Políticas Migratorias y Justicia entregaba al Parlamento de Navarra el listado de bienes inmatriculados por la Iglesia católica en la Comunidad Foral.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 partir de ahí se han ido desarrollando diferentes reuniones en las que han estado involucrados tanto el departamento que usted dirige como la Federación Navarra de Municipios y Concejos, a efectos de que se pudiera trasladar de forma proactiva esta información a cada uno de los municipios de Navarra y se les pudiera informar acerca de las posibles acciones que les pueden corresponder en defensa de su patrimonio.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acciones ha realizado su departamento y cuáles tiene previsto hacer a corto y medio plazo para asegurar el derecho a la información sobre la defensa del patrimonio indebidamente inmatriculado a favor de la Iglesia católica por parte de las entidades locales?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Pamplona-lruñea, a 23 mayo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Mikel Buil García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