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derecho a la información relativo a la defensa del patrimonio indebidamente inmatriculado a favor de la Iglesia católica por parte de las entidades locales, formulada por el Ilmo. Sr. D. Mikel Buil García (10-22/PES-00177).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parlamentaria foral adscrito al Grupo Parlamentario de Podemos-Ahal Dugu, al amparo de lo dispuesto en el Reglamento de esta Cámara, presenta la siguiente pregunta a fin de que sea respondida de forma escrita por el Departamento de Cohesión Territorial del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23 de noviembre de 2021, mediante comparecencia parlamentaria, el Consejero de Políticas Migratorias y Justicia entregaba al Parlamento de Navarra el listado de bienes inmatriculados por la Iglesia católica en la Comunidad Foral.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partir de ahí se han ido desarrollando diferentes reuniones en las que han estado involucrados tanto el departamento que usted dirige como la Federación Navarra de Municipios y Concejos, a efectos de que se pudiera trasladar de forma proactiva esta información a cada uno de los municipios de Navarra y se les pudiera informar acerca de las posibles acciones que les pueden corresponder en defensa de su patrimonio.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ha realizado su departamento y cuáles tiene previsto hacer a corto y medio plazo para asegurar el derecho a la información sobre la defensa del patrimonio indebidamente inmatriculado a favor de la Iglesia católica por parte de las entidades locales?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23 mayo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