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junio de 2022,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Elegir como miembros del Patronato de la Fundación Caja Navarra que corresponde designar al Parlamento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 José Ángel Andrés Gutiérrez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D.ª Pilar Aramburo González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D.ª Mercedes Ferro Montiu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 Javier Onieva Larrea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D.ª Juana García Santamaría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Dar traslado del presente Acuerdo al Departamento de Economía y Hacienda, en su condición de Protectorado de la Fundación, a los miembros elegidos y ordenar su publicación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