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gestión de los fondos Moves III, formulada por el Ilmo. Sr. D. Mikel Asiain Torres (10-22/POR-00256).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Pleno por el consejero de Desarrollo Económico y Empresarial. </w:t>
      </w:r>
    </w:p>
    <w:p>
      <w:pPr>
        <w:pStyle w:val="0"/>
        <w:suppressAutoHyphens w:val="false"/>
        <w:rPr>
          <w:rStyle w:val="1"/>
        </w:rPr>
      </w:pPr>
      <w:r>
        <w:rPr>
          <w:rStyle w:val="1"/>
        </w:rPr>
        <w:t xml:space="preserve">Según los datos facilitados por el propio Estado, Navarra es la Comunidad Autónoma que mejor ha gestionado los fondos Moves III. </w:t>
      </w:r>
    </w:p>
    <w:p>
      <w:pPr>
        <w:pStyle w:val="0"/>
        <w:suppressAutoHyphens w:val="false"/>
        <w:rPr>
          <w:rStyle w:val="1"/>
        </w:rPr>
      </w:pPr>
      <w:r>
        <w:rPr>
          <w:rStyle w:val="1"/>
        </w:rPr>
        <w:t xml:space="preserve">Más allá de apuntar a una gestión eficaz y eficiente, ¿qué consecuencias va a tener para Navarra el hecho de haber sido la Comunidad que mejor ha gestionado esos fondos? </w:t>
      </w:r>
    </w:p>
    <w:p>
      <w:pPr>
        <w:pStyle w:val="0"/>
        <w:suppressAutoHyphens w:val="false"/>
        <w:rPr>
          <w:rStyle w:val="1"/>
        </w:rPr>
      </w:pPr>
      <w:r>
        <w:rPr>
          <w:rStyle w:val="1"/>
        </w:rPr>
        <w:t xml:space="preserve">Pamplona-lruña a 23 de junio de 2022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