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DE006" w14:textId="242D10CB" w:rsidR="00DB4D0E" w:rsidRDefault="00DB4D0E" w:rsidP="001C67EC">
      <w:pPr>
        <w:autoSpaceDE w:val="0"/>
        <w:autoSpaceDN w:val="0"/>
        <w:adjustRightInd w:val="0"/>
        <w:ind w:firstLine="708"/>
        <w:jc w:val="both"/>
        <w:rPr>
          <w:rFonts w:asciiTheme="minorHAnsi" w:eastAsia="Calibri" w:hAnsiTheme="minorHAnsi" w:cstheme="minorHAnsi"/>
        </w:rPr>
      </w:pPr>
      <w:r>
        <w:rPr>
          <w:rFonts w:asciiTheme="minorHAnsi" w:hAnsiTheme="minorHAnsi"/>
        </w:rPr>
        <w:t xml:space="preserve">Ekainaren 8a</w:t>
      </w:r>
    </w:p>
    <w:p w14:paraId="7EB7665A" w14:textId="2C71C5B1" w:rsidR="00DB4D0E" w:rsidRDefault="006F3270" w:rsidP="001C67EC">
      <w:pPr>
        <w:autoSpaceDE w:val="0"/>
        <w:autoSpaceDN w:val="0"/>
        <w:adjustRightInd w:val="0"/>
        <w:ind w:firstLine="708"/>
        <w:jc w:val="both"/>
        <w:rPr>
          <w:rFonts w:asciiTheme="minorHAnsi" w:eastAsia="Calibri" w:hAnsiTheme="minorHAnsi" w:cstheme="minorHAnsi"/>
        </w:rPr>
      </w:pPr>
      <w:r>
        <w:rPr>
          <w:rFonts w:asciiTheme="minorHAnsi" w:hAnsiTheme="minorHAnsi"/>
        </w:rPr>
        <w:t xml:space="preserve">Navarra Suma talde parlamentarioari atxikita dagoen foru parlamentari Cristina Ibarrola Guillén andreak idatzizko galdera aurkeztu du (10-22/PES-00130), pandemiari aurre egiteko SODENAren eta CENen lankidetzarekin norbera babesteko ekipamenduak erosteko egin zen espedienteari buruz. Hona hemen Garapen Ekonomiko eta Enpresarialeko kontseilari Mikel Irujo Amezaga jaunak horri buruz informatu beharrekoa:</w:t>
      </w:r>
    </w:p>
    <w:p w14:paraId="5ECE7EF5" w14:textId="77777777" w:rsidR="00DB4D0E" w:rsidRDefault="001C67EC" w:rsidP="001C67EC">
      <w:pPr>
        <w:pStyle w:val="Ttulo1"/>
        <w:ind w:right="116"/>
        <w:rPr>
          <w:iCs/>
          <w:rFonts w:asciiTheme="minorHAnsi" w:hAnsiTheme="minorHAnsi" w:cstheme="minorHAnsi"/>
        </w:rPr>
      </w:pPr>
      <w:r>
        <w:rPr>
          <w:rFonts w:asciiTheme="minorHAnsi" w:hAnsiTheme="minorHAnsi"/>
        </w:rPr>
        <w:t xml:space="preserve">Nafarroako ETEak, mikroETEak eta langile autonomoak norbera babesteko ekipamenduez hornitzeko erosketa-bide bat ezartzeko arrazoiak</w:t>
      </w:r>
    </w:p>
    <w:p w14:paraId="3F926D2A" w14:textId="77777777" w:rsidR="00DB4D0E" w:rsidRDefault="001C67EC" w:rsidP="001C67EC">
      <w:pPr>
        <w:pStyle w:val="Textoindependiente"/>
        <w:ind w:left="118" w:right="111"/>
        <w:jc w:val="both"/>
        <w:rPr>
          <w:iCs/>
          <w:rFonts w:asciiTheme="minorHAnsi" w:hAnsiTheme="minorHAnsi" w:cstheme="minorHAnsi"/>
        </w:rPr>
      </w:pPr>
      <w:r>
        <w:rPr>
          <w:rFonts w:asciiTheme="minorHAnsi" w:hAnsiTheme="minorHAnsi"/>
        </w:rPr>
        <w:t xml:space="preserve">Martxoaren 29ko 10/2020 Errege Lege-dekretuak amaiera eman zion sektore ez-funtsezkoetako industria jardueraren etenaldiari, zeinak helburu baitzuen biztanleen mugikortasuna murriztea COVID-19 pandemiaren kontra borrokatzeko. Ondorioz, pixkanaka lantokietara itzuli ziren martxoaren 14ko 463/2020 Errege Dekretuak ezarritako alarma egoeraren deklarazioaren ondorioz jarduera etenda zeukaten langileak. </w:t>
      </w:r>
    </w:p>
    <w:p w14:paraId="1DA09187" w14:textId="77777777" w:rsidR="00DB4D0E" w:rsidRDefault="001C67EC" w:rsidP="001C67EC">
      <w:pPr>
        <w:pStyle w:val="Textoindependiente"/>
        <w:ind w:left="118" w:right="112"/>
        <w:jc w:val="both"/>
        <w:rPr>
          <w:iCs/>
          <w:rFonts w:asciiTheme="minorHAnsi" w:hAnsiTheme="minorHAnsi" w:cstheme="minorHAnsi"/>
        </w:rPr>
      </w:pPr>
      <w:r>
        <w:rPr>
          <w:rFonts w:asciiTheme="minorHAnsi" w:hAnsiTheme="minorHAnsi"/>
        </w:rPr>
        <w:t xml:space="preserve">Egoera berezi horretan, Nafarroako Gobernua Nafarroako enpresen egoeraz kezkatu zen, babes elementuen (norbera babesteko ekipamenduen) hornidurari zegokionez, eta Nafarroako enpresa eta industrietan lanerako itzulera segurtasun baldintzetan eta osasun alorreko agintarien gomendioei jarraituz egiteko beharraz ohartarazi zuen. </w:t>
      </w:r>
    </w:p>
    <w:p w14:paraId="57D77FFC" w14:textId="77777777" w:rsidR="00DB4D0E" w:rsidRDefault="001C67EC" w:rsidP="001C67EC">
      <w:pPr>
        <w:pStyle w:val="Textoindependiente"/>
        <w:ind w:left="118" w:right="113"/>
        <w:jc w:val="both"/>
        <w:rPr>
          <w:iCs/>
          <w:rFonts w:asciiTheme="minorHAnsi" w:hAnsiTheme="minorHAnsi" w:cstheme="minorHAnsi"/>
        </w:rPr>
      </w:pPr>
      <w:r>
        <w:rPr>
          <w:rFonts w:asciiTheme="minorHAnsi" w:hAnsiTheme="minorHAnsi"/>
        </w:rPr>
        <w:t xml:space="preserve">Nafarroako Gobernuko Garapen Ekonomiko eta Enpresarialeko Departamentuan aztertzen joan ziren Osasun Ministerioak jarduera ekonomikoaren sektore guztietarako prestatutako jardunbide egokien gidak eta protokoloak, Nafarroako Osasun Publikoaren eta Lan Osasunaren Institutuarekin (NOPLOI) elkarlanean.</w:t>
      </w:r>
      <w:r>
        <w:rPr>
          <w:rFonts w:asciiTheme="minorHAnsi" w:hAnsiTheme="minorHAnsi"/>
        </w:rPr>
        <w:t xml:space="preserve"> </w:t>
      </w:r>
      <w:r>
        <w:rPr>
          <w:rFonts w:asciiTheme="minorHAnsi" w:hAnsiTheme="minorHAnsi"/>
        </w:rPr>
        <w:t xml:space="preserve">Pandemia giroan, norbera babesteko ekipamenduak (NBE) funtsezko elementuak ziren langileei segurtasun baldintzak bermatzeko.</w:t>
      </w:r>
    </w:p>
    <w:p w14:paraId="54CA84B8" w14:textId="77777777" w:rsidR="00DB4D0E" w:rsidRDefault="001C67EC" w:rsidP="001C67EC">
      <w:pPr>
        <w:pStyle w:val="Textoindependiente"/>
        <w:ind w:left="118" w:right="111"/>
        <w:jc w:val="both"/>
        <w:rPr>
          <w:iCs/>
          <w:rFonts w:asciiTheme="minorHAnsi" w:hAnsiTheme="minorHAnsi" w:cstheme="minorHAnsi"/>
        </w:rPr>
      </w:pPr>
      <w:r>
        <w:rPr>
          <w:rFonts w:asciiTheme="minorHAnsi" w:hAnsiTheme="minorHAnsi"/>
        </w:rPr>
        <w:t xml:space="preserve">Jarduera ekonomikoaren hainbat sektoretako ordezkariek departamentura jo zuten eta jakinarazi zuten zer beharrizan zituzten beren jarduera langileentzako segurtasun baldintzetan gauzatu ahal izateko, eta ohiko merkatuan ezin zutela lortu babes materialaren hornidurarik.  </w:t>
      </w:r>
      <w:r>
        <w:rPr>
          <w:rFonts w:asciiTheme="minorHAnsi" w:hAnsiTheme="minorHAnsi"/>
        </w:rPr>
        <w:t xml:space="preserve"> </w:t>
      </w:r>
      <w:r>
        <w:rPr>
          <w:rFonts w:asciiTheme="minorHAnsi" w:hAnsiTheme="minorHAnsi"/>
        </w:rPr>
        <w:t xml:space="preserve">Berariazko proposamenak eta kasuak askotarikoak ziren, sektorearen arabera.</w:t>
      </w:r>
    </w:p>
    <w:p w14:paraId="0B3CF7C0" w14:textId="77777777" w:rsidR="00DB4D0E" w:rsidRDefault="001C67EC" w:rsidP="001C67EC">
      <w:pPr>
        <w:pStyle w:val="Textoindependiente"/>
        <w:ind w:left="118" w:right="113"/>
        <w:jc w:val="both"/>
        <w:rPr>
          <w:iCs/>
          <w:rFonts w:asciiTheme="minorHAnsi" w:hAnsiTheme="minorHAnsi" w:cstheme="minorHAnsi"/>
        </w:rPr>
      </w:pPr>
      <w:r>
        <w:rPr>
          <w:rFonts w:asciiTheme="minorHAnsi" w:hAnsiTheme="minorHAnsi"/>
        </w:rPr>
        <w:t xml:space="preserve">Horiek horrela, Garapen Ekonomiko eta Enpresarialeko Departamentuak, Sodenarekin lankidetzan, bilera telematiko sorta bat egin zuen Nafarroako sektoreetako eta enpresa elkarteetako ordezkariekin, helburu hauekin: zuzeneko informazioa jasotzea sektore bakoitzeko hornidura egoeraz, haien hornidura aukerak ezagutzea, eta norbera babesteko ekipamenduen hornidura bermatzeko aukerak baloratzea.</w:t>
      </w:r>
    </w:p>
    <w:p w14:paraId="3D447E8A" w14:textId="77777777" w:rsidR="00DB4D0E" w:rsidRDefault="001C67EC" w:rsidP="001C67EC">
      <w:pPr>
        <w:pStyle w:val="Textoindependiente"/>
        <w:ind w:left="118" w:right="113"/>
        <w:jc w:val="both"/>
        <w:rPr>
          <w:iCs/>
          <w:rFonts w:asciiTheme="minorHAnsi" w:hAnsiTheme="minorHAnsi" w:cstheme="minorHAnsi"/>
        </w:rPr>
      </w:pPr>
      <w:r>
        <w:rPr>
          <w:rFonts w:asciiTheme="minorHAnsi" w:hAnsiTheme="minorHAnsi"/>
        </w:rPr>
        <w:t xml:space="preserve">Bilera sorta horretan parte hartu zuten halaber O-NOZerako material sanitarioaren horniduran laguntzaile ziren enpresetako batek, eta Nafarroako Enpresaburuen Konfederazioak (CEN).</w:t>
      </w:r>
      <w:r>
        <w:rPr>
          <w:rFonts w:asciiTheme="minorHAnsi" w:hAnsiTheme="minorHAnsi"/>
        </w:rPr>
        <w:t xml:space="preserve"> </w:t>
      </w:r>
    </w:p>
    <w:p w14:paraId="1CCCEB6D" w14:textId="77777777" w:rsidR="00DB4D0E" w:rsidRDefault="001C67EC" w:rsidP="001C67EC">
      <w:pPr>
        <w:pStyle w:val="Textoindependiente"/>
        <w:ind w:left="118" w:right="113"/>
        <w:jc w:val="both"/>
        <w:rPr>
          <w:b/>
          <w:bCs/>
          <w:iCs/>
          <w:rFonts w:asciiTheme="minorHAnsi" w:hAnsiTheme="minorHAnsi" w:cstheme="minorHAnsi"/>
        </w:rPr>
      </w:pPr>
      <w:r>
        <w:rPr>
          <w:b/>
          <w:rFonts w:asciiTheme="minorHAnsi" w:hAnsiTheme="minorHAnsi"/>
        </w:rPr>
        <w:t xml:space="preserve">Nafarroako ETEak, mikroETEak eta langile autonomoak norbera babesteko ekipamenduez hornitzeko erosketa-bide bat martxan jartzea.</w:t>
      </w:r>
    </w:p>
    <w:p w14:paraId="0257CFEB" w14:textId="77777777" w:rsidR="00DB4D0E" w:rsidRDefault="001C67EC" w:rsidP="001C67EC">
      <w:pPr>
        <w:pStyle w:val="Textoindependiente"/>
        <w:ind w:left="118" w:right="114"/>
        <w:jc w:val="both"/>
        <w:rPr>
          <w:iCs/>
          <w:rFonts w:asciiTheme="minorHAnsi" w:hAnsiTheme="minorHAnsi" w:cstheme="minorHAnsi"/>
        </w:rPr>
      </w:pPr>
      <w:r>
        <w:rPr>
          <w:rFonts w:asciiTheme="minorHAnsi" w:hAnsiTheme="minorHAnsi"/>
        </w:rPr>
        <w:t xml:space="preserve">Nafarroako enpresa sarearen zati handi baten ordezkariekin egindako bilera horien emaitza gisa, ondorio hauek atera ziren aho batez:</w:t>
      </w:r>
    </w:p>
    <w:p w14:paraId="1686E931" w14:textId="7C707C27" w:rsidR="001C67EC" w:rsidRPr="007269E1" w:rsidRDefault="001C67EC" w:rsidP="001C67EC">
      <w:pPr>
        <w:pStyle w:val="Prrafodelista"/>
        <w:widowControl w:val="0"/>
        <w:numPr>
          <w:ilvl w:val="0"/>
          <w:numId w:val="10"/>
        </w:numPr>
        <w:tabs>
          <w:tab w:val="left" w:pos="839"/>
        </w:tabs>
        <w:autoSpaceDE w:val="0"/>
        <w:autoSpaceDN w:val="0"/>
        <w:spacing w:before="1"/>
        <w:ind w:right="111"/>
        <w:contextualSpacing w:val="0"/>
        <w:jc w:val="both"/>
        <w:rPr>
          <w:iCs/>
          <w:rFonts w:asciiTheme="minorHAnsi" w:hAnsiTheme="minorHAnsi" w:cstheme="minorHAnsi"/>
        </w:rPr>
      </w:pPr>
      <w:r>
        <w:rPr>
          <w:rFonts w:asciiTheme="minorHAnsi" w:hAnsiTheme="minorHAnsi"/>
        </w:rPr>
        <w:t xml:space="preserve">Zalantzarik gabe premia larria zegoen babes materialez hornitzeko (maskarak, eskularruak, mantalak eta termometroak), batez ere ETE, mikroETE eta langile autonomoentzat.</w:t>
      </w:r>
    </w:p>
    <w:p w14:paraId="50ACB17A" w14:textId="77777777" w:rsidR="001C67EC" w:rsidRPr="007269E1" w:rsidRDefault="001C67EC" w:rsidP="001C67EC">
      <w:pPr>
        <w:pStyle w:val="Prrafodelista"/>
        <w:widowControl w:val="0"/>
        <w:numPr>
          <w:ilvl w:val="0"/>
          <w:numId w:val="10"/>
        </w:numPr>
        <w:tabs>
          <w:tab w:val="left" w:pos="839"/>
        </w:tabs>
        <w:autoSpaceDE w:val="0"/>
        <w:autoSpaceDN w:val="0"/>
        <w:ind w:right="110"/>
        <w:contextualSpacing w:val="0"/>
        <w:jc w:val="both"/>
        <w:rPr>
          <w:iCs/>
          <w:rFonts w:asciiTheme="minorHAnsi" w:hAnsiTheme="minorHAnsi" w:cstheme="minorHAnsi"/>
        </w:rPr>
      </w:pPr>
      <w:r>
        <w:rPr>
          <w:rFonts w:asciiTheme="minorHAnsi" w:hAnsiTheme="minorHAnsi"/>
        </w:rPr>
        <w:t xml:space="preserve">Erosketa-zentral korporatiboak zituzten enpresa handiek izan ezik, gainerakoek ez zuten ez bitartekorik ez bide egokirik material horien eskariak eraginkortasunez eta garaiz egiteko, ezta ordainketa aurreratu eta horrela hornidura bermatu ahal izateko ere.</w:t>
      </w:r>
    </w:p>
    <w:p w14:paraId="0C216366" w14:textId="77777777" w:rsidR="001C67EC" w:rsidRPr="007269E1" w:rsidRDefault="001C67EC" w:rsidP="001C67EC">
      <w:pPr>
        <w:pStyle w:val="Prrafodelista"/>
        <w:widowControl w:val="0"/>
        <w:numPr>
          <w:ilvl w:val="0"/>
          <w:numId w:val="10"/>
        </w:numPr>
        <w:tabs>
          <w:tab w:val="left" w:pos="839"/>
        </w:tabs>
        <w:autoSpaceDE w:val="0"/>
        <w:autoSpaceDN w:val="0"/>
        <w:ind w:right="113"/>
        <w:contextualSpacing w:val="0"/>
        <w:jc w:val="both"/>
        <w:rPr>
          <w:iCs/>
          <w:rFonts w:asciiTheme="minorHAnsi" w:hAnsiTheme="minorHAnsi" w:cstheme="minorHAnsi"/>
        </w:rPr>
      </w:pPr>
      <w:r>
        <w:rPr>
          <w:rFonts w:asciiTheme="minorHAnsi" w:hAnsiTheme="minorHAnsi"/>
        </w:rPr>
        <w:t xml:space="preserve">Giro hartan nazioarteko merkatuan norbera babesteko ekipamenduak erosi ahal izateko, eskari nahiko handiak antolatu beharra zegoen baldintza lehiakorragoak izateko (prezioa, segurtasuna eta emate epeak), eta ETE, mikroETE eta langile autonomoek ez zuten halako ahalmenik.</w:t>
      </w:r>
    </w:p>
    <w:p w14:paraId="77EEFDDE" w14:textId="77777777" w:rsidR="001C67EC" w:rsidRPr="007269E1" w:rsidRDefault="001C67EC" w:rsidP="001C67EC">
      <w:pPr>
        <w:pStyle w:val="Prrafodelista"/>
        <w:widowControl w:val="0"/>
        <w:numPr>
          <w:ilvl w:val="0"/>
          <w:numId w:val="10"/>
        </w:numPr>
        <w:tabs>
          <w:tab w:val="left" w:pos="839"/>
        </w:tabs>
        <w:autoSpaceDE w:val="0"/>
        <w:autoSpaceDN w:val="0"/>
        <w:ind w:right="113"/>
        <w:contextualSpacing w:val="0"/>
        <w:jc w:val="both"/>
        <w:rPr>
          <w:iCs/>
          <w:rFonts w:asciiTheme="minorHAnsi" w:hAnsiTheme="minorHAnsi" w:cstheme="minorHAnsi"/>
        </w:rPr>
      </w:pPr>
      <w:r>
        <w:rPr>
          <w:rFonts w:asciiTheme="minorHAnsi" w:hAnsiTheme="minorHAnsi"/>
        </w:rPr>
        <w:t xml:space="preserve">Komeni zen norbera babesteko ekipamenduen hornidurarako bide seguru eta fidagarri bat antolatzea enpresa horientzat, eta Osasunbidea-Nafarroako Osasun Zerbitzurako (O-NOZ) material sanitarioaren erosketan izandako esperientzia hartu zen eredu, berriz ere enpresa laguntzaileetako baten sostenguarekin. </w:t>
      </w:r>
    </w:p>
    <w:p w14:paraId="3540D20F" w14:textId="77777777" w:rsidR="00DB4D0E" w:rsidRDefault="001C67EC" w:rsidP="001C67EC">
      <w:pPr>
        <w:pStyle w:val="Prrafodelista"/>
        <w:widowControl w:val="0"/>
        <w:numPr>
          <w:ilvl w:val="0"/>
          <w:numId w:val="10"/>
        </w:numPr>
        <w:tabs>
          <w:tab w:val="left" w:pos="839"/>
        </w:tabs>
        <w:autoSpaceDE w:val="0"/>
        <w:autoSpaceDN w:val="0"/>
        <w:ind w:right="113"/>
        <w:contextualSpacing w:val="0"/>
        <w:jc w:val="both"/>
        <w:rPr>
          <w:iCs/>
          <w:rFonts w:asciiTheme="minorHAnsi" w:hAnsiTheme="minorHAnsi" w:cstheme="minorHAnsi"/>
        </w:rPr>
      </w:pPr>
      <w:r>
        <w:rPr>
          <w:rFonts w:asciiTheme="minorHAnsi" w:hAnsiTheme="minorHAnsi"/>
        </w:rPr>
        <w:t xml:space="preserve">Erosketa-sistema horren helburua zen materialen bolumena eta beharrizanak metatzea, babes materiala neurrizko prezioan eta epe ahalik onenetan eskuratzeko ETE, mikroETE eta langile autonomoentzat. Nahi zuena atxiki ahal zen sistemara, bere borondatez, eta bilera sortan ordezkatutako ETE, mikroETE eta langile autonomoek hornidura bermatzeko aho batez adierazitako eskariari erantzutea zen helburua.</w:t>
      </w:r>
    </w:p>
    <w:p w14:paraId="02E04619" w14:textId="77777777" w:rsidR="00DB4D0E" w:rsidRDefault="001C67EC" w:rsidP="001C67EC">
      <w:pPr>
        <w:pStyle w:val="Textoindependiente"/>
        <w:spacing w:before="1"/>
        <w:ind w:left="118" w:right="110"/>
        <w:jc w:val="both"/>
        <w:rPr>
          <w:iCs/>
        </w:rPr>
      </w:pPr>
      <w:r>
        <w:rPr>
          <w:rFonts w:asciiTheme="minorHAnsi" w:hAnsiTheme="minorHAnsi"/>
        </w:rPr>
        <w:t xml:space="preserve">Ondorio horiek ikusita, enpresentzako NBEen erosketa- eta hornidura-bide hori antolatzeko aukera planteatu zen.</w:t>
      </w:r>
      <w:r>
        <w:rPr>
          <w:rFonts w:asciiTheme="minorHAnsi" w:hAnsiTheme="minorHAnsi"/>
        </w:rPr>
        <w:t xml:space="preserve"> </w:t>
      </w:r>
      <w:r>
        <w:rPr>
          <w:rFonts w:asciiTheme="minorHAnsi" w:hAnsiTheme="minorHAnsi"/>
        </w:rPr>
        <w:t xml:space="preserve">Garapen Ekonomiko eta Enpresarialeko Departamentuak ontzat baloratu zuen enpresentzako hornidura-bide hori une jakin hartan antolatzea.</w:t>
      </w:r>
      <w:r>
        <w:rPr>
          <w:rFonts w:asciiTheme="minorHAnsi" w:hAnsiTheme="minorHAnsi"/>
        </w:rPr>
        <w:t xml:space="preserve"> </w:t>
      </w:r>
      <w:r>
        <w:rPr>
          <w:rFonts w:asciiTheme="minorHAnsi" w:hAnsiTheme="minorHAnsi"/>
        </w:rPr>
        <w:t xml:space="preserve">Nafarroako Enpresaburuen Konfederazioak bere burua eskaini zuen enpresen eskariak koordinatzeko eta NBEen erosketan bitartekari aritzeko, ETE, mikroETE eta langile autonomoek jaso zitzaten.</w:t>
      </w:r>
      <w:r>
        <w:rPr>
          <w:rFonts w:asciiTheme="minorHAnsi" w:hAnsiTheme="minorHAnsi"/>
        </w:rPr>
        <w:t xml:space="preserve"> </w:t>
      </w:r>
      <w:r>
        <w:rPr>
          <w:rFonts w:asciiTheme="minorHAnsi" w:hAnsiTheme="minorHAnsi"/>
        </w:rPr>
        <w:t xml:space="preserve">Nafarroako Enpresaburuen Elkartea arduratuko zen enpresen NBE beharrak zehaztu eta enpresa laguntzaileari helarazteaz, eskaria egiteko, eta halaber haren ardura izanen zen erositako NBEak enpresa edo elkarteetako bakoitzari ematea, konfederazioak berak adierazitako gune logistikoetan, alarma egoeraren ondoriozko mugikortasun mugak kontuan</w:t>
      </w:r>
      <w:r>
        <w:t xml:space="preserve"> hartuta.</w:t>
      </w:r>
    </w:p>
    <w:p w14:paraId="70CC9F9F" w14:textId="77777777" w:rsidR="00DB4D0E" w:rsidRDefault="001C67EC" w:rsidP="001C67EC">
      <w:pPr>
        <w:pStyle w:val="Textoindependiente"/>
        <w:spacing w:before="1"/>
        <w:ind w:left="118" w:right="110"/>
        <w:jc w:val="both"/>
        <w:rPr>
          <w:iCs/>
        </w:rPr>
      </w:pPr>
      <w:r>
        <w:t xml:space="preserve">Sodenak ere bere burua eskaini zuen erosketa-bide hori martxan jartzen parte hartzeko, ikusirik Nafarroako Enpresaburuen Elkartea prest zegoela babes material homologatua (maskarak, eskularruak, mantalak eta termometroak) lortzeko bide hori martxan jartzeko, O-NOZentzat hornidurarako kudeaketa gehien egin zituen enpresa laguntzailearekin batera.</w:t>
      </w:r>
    </w:p>
    <w:p w14:paraId="2F94AEA3" w14:textId="77777777" w:rsidR="00DB4D0E" w:rsidRDefault="001C67EC" w:rsidP="001C67EC">
      <w:pPr>
        <w:pStyle w:val="Textoindependiente"/>
        <w:ind w:left="118" w:right="116"/>
        <w:jc w:val="both"/>
        <w:rPr>
          <w:iCs/>
        </w:rPr>
      </w:pPr>
      <w:r>
        <w:t xml:space="preserve">Nafarroako Enpresaburuen Konfederazioak, hainbat enpresa eta elkarteri kontsulta egin ondoren, hornitzaileei eskariak egiteko hileroko beharrak jakinarazi zituen.</w:t>
      </w:r>
    </w:p>
    <w:p w14:paraId="70C9A59A" w14:textId="77777777" w:rsidR="00DB4D0E" w:rsidRDefault="00507A3E" w:rsidP="001C67EC">
      <w:pPr>
        <w:pStyle w:val="Textoindependiente"/>
        <w:ind w:left="118" w:right="116"/>
        <w:jc w:val="both"/>
        <w:rPr>
          <w:iCs/>
        </w:rPr>
      </w:pPr>
      <w:r>
        <w:t xml:space="preserve">Sodenaren administrazio kontseiluak baimena eman zuen finantza babesa emateko, zubi-kredituko sistema bat irekiz, gehienez 2 milioi eurokoa.</w:t>
      </w:r>
    </w:p>
    <w:p w14:paraId="593560F7" w14:textId="77777777" w:rsidR="00DB4D0E" w:rsidRDefault="001C67EC" w:rsidP="00D9059D">
      <w:pPr>
        <w:rPr>
          <w:b/>
          <w:bCs/>
          <w:rFonts w:asciiTheme="minorHAnsi" w:hAnsiTheme="minorHAnsi" w:cstheme="minorHAnsi"/>
        </w:rPr>
      </w:pPr>
      <w:r>
        <w:rPr>
          <w:b/>
          <w:rFonts w:asciiTheme="minorHAnsi" w:hAnsiTheme="minorHAnsi"/>
        </w:rPr>
        <w:t xml:space="preserve">Galderen erantzuna:</w:t>
      </w:r>
    </w:p>
    <w:p w14:paraId="789C72C4" w14:textId="77777777" w:rsidR="00DB4D0E" w:rsidRDefault="001C67EC" w:rsidP="001C67EC">
      <w:pPr>
        <w:pStyle w:val="Prrafodelista"/>
        <w:numPr>
          <w:ilvl w:val="1"/>
          <w:numId w:val="8"/>
        </w:numPr>
        <w:ind w:left="851" w:hanging="425"/>
        <w:rPr>
          <w:b/>
          <w:bCs/>
          <w:rFonts w:asciiTheme="minorHAnsi" w:hAnsiTheme="minorHAnsi" w:cstheme="minorHAnsi"/>
        </w:rPr>
      </w:pPr>
      <w:r>
        <w:rPr>
          <w:b/>
          <w:rFonts w:asciiTheme="minorHAnsi" w:hAnsiTheme="minorHAnsi"/>
        </w:rPr>
        <w:t xml:space="preserve">Erosketarako enpresak eta haiek hautatzeko erabilitako irizpideak</w:t>
      </w:r>
    </w:p>
    <w:p w14:paraId="05DC5E0C" w14:textId="77777777" w:rsidR="00DB4D0E" w:rsidRDefault="00E43AA2" w:rsidP="005F196C">
      <w:pPr>
        <w:jc w:val="both"/>
        <w:rPr>
          <w:rFonts w:asciiTheme="minorHAnsi" w:hAnsiTheme="minorHAnsi" w:cstheme="minorBidi"/>
        </w:rPr>
      </w:pPr>
      <w:r>
        <w:rPr>
          <w:rFonts w:asciiTheme="minorHAnsi" w:hAnsiTheme="minorHAnsi"/>
        </w:rPr>
        <w:t xml:space="preserve">Nafarroako enpresa sarearentzat (bereziki ETE, mikroETE eta autonomoentzat) Sodenarekin eta Nafarroako Enpresaburuen Konfederazioarekin batera antolatu zen lankidetza-bidean norbera babesteko ekipamenduak erosteko ardura izan zuen Nafarroako enpresa Albyn Medical SL izan zen.</w:t>
      </w:r>
    </w:p>
    <w:p w14:paraId="0482EB3C" w14:textId="77777777" w:rsidR="00DB4D0E" w:rsidRDefault="001C67EC" w:rsidP="008E35D6">
      <w:pPr>
        <w:jc w:val="both"/>
        <w:rPr>
          <w:rFonts w:asciiTheme="minorHAnsi" w:hAnsiTheme="minorHAnsi" w:cstheme="minorHAnsi"/>
        </w:rPr>
      </w:pPr>
      <w:r>
        <w:rPr>
          <w:rFonts w:asciiTheme="minorHAnsi" w:hAnsiTheme="minorHAnsi"/>
        </w:rPr>
        <w:t xml:space="preserve">Albyn Medical SL enpresak medikuntza eta farmazia sektorean dihardu, eta baditu behar bezalako egitura, harremanak, jakintza eta esperientzia produktuak eta hornitzaileak bilatzeko Estatuko eta nazioarteko merkatuan, eta produktuaren garraioa kudeatzeko, bai eta inportazioa ere, hala behar denean, Nafarroan jaso dadin.</w:t>
      </w:r>
    </w:p>
    <w:p w14:paraId="339EC70C" w14:textId="77777777" w:rsidR="00DB4D0E" w:rsidRDefault="00127FCA" w:rsidP="008E35D6">
      <w:pPr>
        <w:jc w:val="both"/>
        <w:rPr>
          <w:rFonts w:asciiTheme="minorHAnsi" w:hAnsiTheme="minorHAnsi" w:cstheme="minorHAnsi"/>
        </w:rPr>
      </w:pPr>
      <w:r>
        <w:rPr>
          <w:rFonts w:asciiTheme="minorHAnsi" w:hAnsiTheme="minorHAnsi"/>
        </w:rPr>
        <w:t xml:space="preserve">Albyn Medical SLk babes materialen hornitzaile hauei erosi zien materiala:</w:t>
      </w:r>
      <w:r>
        <w:rPr>
          <w:rFonts w:asciiTheme="minorHAnsi" w:hAnsiTheme="minorHAnsi"/>
        </w:rPr>
        <w:t xml:space="preserve"> </w:t>
      </w:r>
    </w:p>
    <w:p w14:paraId="0F52ED1D" w14:textId="2D871E36" w:rsidR="001C67EC" w:rsidRPr="007269E1" w:rsidRDefault="001C67EC" w:rsidP="001C67EC">
      <w:pPr>
        <w:pStyle w:val="Prrafodelista"/>
        <w:numPr>
          <w:ilvl w:val="0"/>
          <w:numId w:val="9"/>
        </w:numPr>
        <w:ind w:left="851"/>
        <w:rPr>
          <w:rFonts w:asciiTheme="minorHAnsi" w:hAnsiTheme="minorHAnsi" w:cstheme="minorHAnsi"/>
        </w:rPr>
      </w:pPr>
      <w:r>
        <w:rPr>
          <w:rFonts w:asciiTheme="minorHAnsi" w:hAnsiTheme="minorHAnsi"/>
        </w:rPr>
        <w:t xml:space="preserve">BEST MEDICAL DIET SL</w:t>
      </w:r>
    </w:p>
    <w:p w14:paraId="7B5F3498" w14:textId="77777777" w:rsidR="001C67EC" w:rsidRPr="007269E1" w:rsidRDefault="001C67EC" w:rsidP="001C67EC">
      <w:pPr>
        <w:pStyle w:val="Prrafodelista"/>
        <w:numPr>
          <w:ilvl w:val="0"/>
          <w:numId w:val="9"/>
        </w:numPr>
        <w:ind w:left="851"/>
        <w:rPr>
          <w:rFonts w:asciiTheme="minorHAnsi" w:hAnsiTheme="minorHAnsi" w:cstheme="minorHAnsi"/>
        </w:rPr>
      </w:pPr>
      <w:r>
        <w:rPr>
          <w:rFonts w:asciiTheme="minorHAnsi" w:hAnsiTheme="minorHAnsi"/>
        </w:rPr>
        <w:t xml:space="preserve">IKASTEN GROUP SL</w:t>
      </w:r>
    </w:p>
    <w:p w14:paraId="0E719ADE" w14:textId="77777777" w:rsidR="001C67EC" w:rsidRPr="007269E1" w:rsidRDefault="001C67EC" w:rsidP="001C67EC">
      <w:pPr>
        <w:pStyle w:val="Prrafodelista"/>
        <w:numPr>
          <w:ilvl w:val="0"/>
          <w:numId w:val="9"/>
        </w:numPr>
        <w:ind w:left="851"/>
        <w:rPr>
          <w:rFonts w:asciiTheme="minorHAnsi" w:hAnsiTheme="minorHAnsi" w:cstheme="minorHAnsi"/>
        </w:rPr>
      </w:pPr>
      <w:r>
        <w:rPr>
          <w:rFonts w:asciiTheme="minorHAnsi" w:hAnsiTheme="minorHAnsi"/>
        </w:rPr>
        <w:t xml:space="preserve">MDL MEDICAL</w:t>
      </w:r>
    </w:p>
    <w:p w14:paraId="374EDCA3" w14:textId="77777777" w:rsidR="001C67EC" w:rsidRPr="007269E1" w:rsidRDefault="001C67EC" w:rsidP="001C67EC">
      <w:pPr>
        <w:pStyle w:val="Prrafodelista"/>
        <w:numPr>
          <w:ilvl w:val="0"/>
          <w:numId w:val="9"/>
        </w:numPr>
        <w:ind w:left="851"/>
        <w:rPr>
          <w:rFonts w:asciiTheme="minorHAnsi" w:hAnsiTheme="minorHAnsi" w:cstheme="minorHAnsi"/>
        </w:rPr>
      </w:pPr>
      <w:r>
        <w:rPr>
          <w:rFonts w:asciiTheme="minorHAnsi" w:hAnsiTheme="minorHAnsi"/>
        </w:rPr>
        <w:t xml:space="preserve">SQ INSERTEC EUROPE SL</w:t>
      </w:r>
    </w:p>
    <w:p w14:paraId="55AB82AE" w14:textId="77777777" w:rsidR="00DB4D0E" w:rsidRDefault="001C67EC" w:rsidP="001C67EC">
      <w:pPr>
        <w:pStyle w:val="Prrafodelista"/>
        <w:numPr>
          <w:ilvl w:val="0"/>
          <w:numId w:val="9"/>
        </w:numPr>
        <w:ind w:left="851"/>
        <w:rPr>
          <w:rFonts w:asciiTheme="minorHAnsi" w:hAnsiTheme="minorHAnsi" w:cstheme="minorHAnsi"/>
        </w:rPr>
      </w:pPr>
      <w:r>
        <w:rPr>
          <w:rFonts w:asciiTheme="minorHAnsi" w:hAnsiTheme="minorHAnsi"/>
        </w:rPr>
        <w:t xml:space="preserve">ACRO INTERNATIONAL TRADE CO.</w:t>
      </w:r>
      <w:r>
        <w:rPr>
          <w:rFonts w:asciiTheme="minorHAnsi" w:hAnsiTheme="minorHAnsi"/>
        </w:rPr>
        <w:t xml:space="preserve"> </w:t>
      </w:r>
      <w:r>
        <w:rPr>
          <w:rFonts w:asciiTheme="minorHAnsi" w:hAnsiTheme="minorHAnsi"/>
        </w:rPr>
        <w:t xml:space="preserve">LTD.</w:t>
      </w:r>
    </w:p>
    <w:p w14:paraId="233FCA27" w14:textId="77777777" w:rsidR="00DB4D0E" w:rsidRDefault="001C67EC" w:rsidP="00BF697E">
      <w:pPr>
        <w:jc w:val="both"/>
        <w:rPr>
          <w:rFonts w:asciiTheme="minorHAnsi" w:hAnsiTheme="minorHAnsi" w:cstheme="minorHAnsi"/>
        </w:rPr>
      </w:pPr>
      <w:r>
        <w:rPr>
          <w:rFonts w:asciiTheme="minorHAnsi" w:hAnsiTheme="minorHAnsi"/>
        </w:rPr>
        <w:t xml:space="preserve">Materialaren homologazioa, prestasun onena eta prezio onena hartu ziren kontuan enpresak hautatzeko.</w:t>
      </w:r>
    </w:p>
    <w:p w14:paraId="5F332978" w14:textId="2FC13CA1" w:rsidR="001C67EC" w:rsidRPr="007269E1" w:rsidRDefault="001C67EC" w:rsidP="00D9059D">
      <w:pPr>
        <w:pStyle w:val="Prrafodelista"/>
        <w:numPr>
          <w:ilvl w:val="1"/>
          <w:numId w:val="8"/>
        </w:numPr>
        <w:ind w:left="851" w:hanging="425"/>
        <w:rPr>
          <w:b/>
          <w:bCs/>
          <w:rFonts w:asciiTheme="minorHAnsi" w:hAnsiTheme="minorHAnsi" w:cstheme="minorHAnsi"/>
        </w:rPr>
      </w:pPr>
      <w:r>
        <w:rPr>
          <w:b/>
          <w:rFonts w:asciiTheme="minorHAnsi" w:hAnsiTheme="minorHAnsi"/>
        </w:rPr>
        <w:t xml:space="preserve">Materiala banatzeko irizpideak eta espedientetik materiala jaso arte iragandako denbora.</w:t>
      </w:r>
    </w:p>
    <w:p w14:paraId="26A3ABE0" w14:textId="77777777" w:rsidR="001C67EC" w:rsidRPr="007269E1" w:rsidRDefault="001C67EC" w:rsidP="001C67EC">
      <w:pPr>
        <w:spacing w:after="200"/>
        <w:jc w:val="both"/>
        <w:rPr>
          <w:rFonts w:asciiTheme="minorHAnsi" w:hAnsiTheme="minorHAnsi" w:cstheme="minorBidi"/>
        </w:rPr>
      </w:pPr>
      <w:r>
        <w:rPr>
          <w:rFonts w:asciiTheme="minorHAnsi" w:hAnsiTheme="minorHAnsi"/>
        </w:rPr>
        <w:t xml:space="preserve">Nafarroako industria babes materialaz hornitzeko bide hori martxan jartzeko, Nafarroako Enpresaburuen Konfederazioak bere burua eskaini zuen enpresen eskaria koordinatzeko eta norbera babesteko ekipamenduen erosketan bitartekari aritzeko, ETE, mikroETE eta langile autonomoek jaso zitzaten.</w:t>
      </w:r>
      <w:r>
        <w:rPr>
          <w:rFonts w:asciiTheme="minorHAnsi" w:hAnsiTheme="minorHAnsi"/>
        </w:rPr>
        <w:t xml:space="preserve"> </w:t>
      </w:r>
    </w:p>
    <w:p w14:paraId="70056EF0" w14:textId="0B77DD3F" w:rsidR="001C67EC" w:rsidRPr="007269E1" w:rsidRDefault="001C67EC" w:rsidP="001C67EC">
      <w:pPr>
        <w:spacing w:after="200"/>
        <w:jc w:val="both"/>
        <w:rPr>
          <w:rFonts w:asciiTheme="minorHAnsi" w:hAnsiTheme="minorHAnsi" w:cstheme="minorBidi"/>
        </w:rPr>
      </w:pPr>
      <w:r>
        <w:rPr>
          <w:rFonts w:asciiTheme="minorHAnsi" w:hAnsiTheme="minorHAnsi"/>
        </w:rPr>
        <w:t xml:space="preserve">Nafarroako Enpresaburuen Elkartea arduratu zen enpresen NBE beharrak zehaztu eta Albyn Medical SLri helarazteaz, eskaria egiteko, eta bigarren horren ardura izan zen norbera babesteko ekipamenduak ematea, gero enpresa edo elkarteetako bakoitzak jaso zitzan, konfederazioak berak adierazitako gune logistikoetan, indarrean zeuden mugikortasun mugak kontuan</w:t>
      </w:r>
      <w:r>
        <w:rPr>
          <w:rFonts w:asciiTheme="minorHAnsi" w:hAnsiTheme="minorHAnsi"/>
        </w:rPr>
        <w:t xml:space="preserve"> hartuta.</w:t>
      </w:r>
    </w:p>
    <w:p w14:paraId="1B7DE0BB" w14:textId="77777777" w:rsidR="001C67EC" w:rsidRDefault="001C67EC" w:rsidP="001C67EC">
      <w:pPr>
        <w:spacing w:after="200"/>
        <w:jc w:val="both"/>
        <w:rPr>
          <w:rFonts w:asciiTheme="minorHAnsi" w:hAnsiTheme="minorHAnsi" w:cstheme="minorBidi"/>
        </w:rPr>
      </w:pPr>
      <w:r>
        <w:rPr>
          <w:rFonts w:asciiTheme="minorHAnsi" w:hAnsiTheme="minorHAnsi"/>
        </w:rPr>
        <w:t xml:space="preserve">Nafarroako Enpresaburuen Elkarteak, hainbat enpresa eta elkarteri kontsulta egin ondoren, hornitzaileei eskariak egiteko hileroko beharrak jakinarazi zizkion Albyn Medicali, eta enpresa laguntzaileak behar ziren eskariak egin zituen.</w:t>
      </w:r>
    </w:p>
    <w:p w14:paraId="47231D01" w14:textId="68C586AD" w:rsidR="00BF697E" w:rsidRDefault="00BF697E" w:rsidP="00BF697E">
      <w:pPr>
        <w:spacing w:after="200" w:line="276" w:lineRule="auto"/>
        <w:jc w:val="both"/>
        <w:rPr>
          <w:rFonts w:asciiTheme="minorHAnsi" w:hAnsiTheme="minorHAnsi" w:cstheme="minorBidi"/>
        </w:rPr>
      </w:pPr>
      <w:r>
        <w:rPr>
          <w:rFonts w:asciiTheme="minorHAnsi" w:hAnsiTheme="minorHAnsi"/>
        </w:rPr>
        <w:t xml:space="preserve">Beheko taulan ageri dira eskarien eta emateen datak eta materialen prezio unitarioak:</w:t>
      </w:r>
    </w:p>
    <w:tbl>
      <w:tblPr>
        <w:tblW w:w="9357" w:type="dxa"/>
        <w:tblInd w:w="-431" w:type="dxa"/>
        <w:tblCellMar>
          <w:left w:w="70" w:type="dxa"/>
          <w:right w:w="70" w:type="dxa"/>
        </w:tblCellMar>
        <w:tblLook w:val="04A0" w:firstRow="1" w:lastRow="0" w:firstColumn="1" w:lastColumn="0" w:noHBand="0" w:noVBand="1"/>
      </w:tblPr>
      <w:tblGrid>
        <w:gridCol w:w="1312"/>
        <w:gridCol w:w="1312"/>
        <w:gridCol w:w="2200"/>
        <w:gridCol w:w="3540"/>
        <w:gridCol w:w="993"/>
      </w:tblGrid>
      <w:tr w:rsidR="00BF697E" w:rsidRPr="00D46791" w14:paraId="667A7941" w14:textId="77777777" w:rsidTr="00D46791">
        <w:trPr>
          <w:trHeight w:val="300"/>
        </w:trPr>
        <w:tc>
          <w:tcPr>
            <w:tcW w:w="1312" w:type="dxa"/>
            <w:tcBorders>
              <w:top w:val="single" w:sz="4" w:space="0" w:color="8EA9DB"/>
              <w:left w:val="single" w:sz="4" w:space="0" w:color="8EA9DB"/>
              <w:bottom w:val="single" w:sz="4" w:space="0" w:color="8EA9DB"/>
              <w:right w:val="nil"/>
            </w:tcBorders>
            <w:shd w:val="clear" w:color="4472C4" w:fill="4472C4"/>
            <w:noWrap/>
            <w:vAlign w:val="bottom"/>
            <w:hideMark/>
          </w:tcPr>
          <w:p w14:paraId="291C9C9C" w14:textId="77777777" w:rsidR="00BF697E" w:rsidRPr="00D46791" w:rsidRDefault="00BF697E" w:rsidP="003704AC">
            <w:pPr>
              <w:jc w:val="center"/>
              <w:rPr>
                <w:b/>
                <w:bCs/>
                <w:color w:val="FFFFFF"/>
                <w:sz w:val="20"/>
                <w:szCs w:val="20"/>
                <w:rFonts w:ascii="Calibri" w:hAnsi="Calibri" w:cs="Calibri"/>
              </w:rPr>
            </w:pPr>
            <w:r>
              <w:rPr>
                <w:b/>
                <w:color w:val="FFFFFF"/>
                <w:sz w:val="20"/>
                <w:rFonts w:ascii="Calibri" w:hAnsi="Calibri"/>
              </w:rPr>
              <w:t xml:space="preserve">Emate</w:t>
            </w:r>
          </w:p>
          <w:p w14:paraId="49B0E011" w14:textId="77777777" w:rsidR="00BF697E" w:rsidRPr="00D46791" w:rsidRDefault="00BF697E" w:rsidP="003704AC">
            <w:pPr>
              <w:jc w:val="center"/>
              <w:rPr>
                <w:b/>
                <w:bCs/>
                <w:color w:val="FFFFFF"/>
                <w:sz w:val="20"/>
                <w:szCs w:val="20"/>
                <w:rFonts w:ascii="Calibri" w:hAnsi="Calibri" w:cs="Calibri"/>
              </w:rPr>
            </w:pPr>
            <w:r>
              <w:rPr>
                <w:b/>
                <w:color w:val="FFFFFF"/>
                <w:sz w:val="20"/>
                <w:rFonts w:ascii="Calibri" w:hAnsi="Calibri"/>
              </w:rPr>
              <w:t xml:space="preserve">data</w:t>
            </w:r>
          </w:p>
        </w:tc>
        <w:tc>
          <w:tcPr>
            <w:tcW w:w="1312" w:type="dxa"/>
            <w:tcBorders>
              <w:top w:val="single" w:sz="4" w:space="0" w:color="8EA9DB"/>
              <w:left w:val="nil"/>
              <w:bottom w:val="single" w:sz="4" w:space="0" w:color="8EA9DB"/>
              <w:right w:val="nil"/>
            </w:tcBorders>
            <w:shd w:val="clear" w:color="4472C4" w:fill="4472C4"/>
            <w:noWrap/>
            <w:vAlign w:val="bottom"/>
            <w:hideMark/>
          </w:tcPr>
          <w:p w14:paraId="2190CC63" w14:textId="77777777" w:rsidR="00BF697E" w:rsidRPr="00D46791" w:rsidRDefault="00BF697E" w:rsidP="003704AC">
            <w:pPr>
              <w:jc w:val="center"/>
              <w:rPr>
                <w:b/>
                <w:bCs/>
                <w:color w:val="FFFFFF"/>
                <w:sz w:val="20"/>
                <w:szCs w:val="20"/>
                <w:rFonts w:ascii="Calibri" w:hAnsi="Calibri" w:cs="Calibri"/>
              </w:rPr>
            </w:pPr>
            <w:r>
              <w:rPr>
                <w:b/>
                <w:color w:val="FFFFFF"/>
                <w:sz w:val="20"/>
                <w:rFonts w:ascii="Calibri" w:hAnsi="Calibri"/>
              </w:rPr>
              <w:t xml:space="preserve">Jasotze</w:t>
            </w:r>
          </w:p>
          <w:p w14:paraId="4AFDAE22" w14:textId="77777777" w:rsidR="00BF697E" w:rsidRPr="00D46791" w:rsidRDefault="00BF697E" w:rsidP="003704AC">
            <w:pPr>
              <w:jc w:val="center"/>
              <w:rPr>
                <w:b/>
                <w:bCs/>
                <w:color w:val="FFFFFF"/>
                <w:sz w:val="20"/>
                <w:szCs w:val="20"/>
                <w:rFonts w:ascii="Calibri" w:hAnsi="Calibri" w:cs="Calibri"/>
              </w:rPr>
            </w:pPr>
            <w:r>
              <w:rPr>
                <w:b/>
                <w:color w:val="FFFFFF"/>
                <w:sz w:val="20"/>
                <w:rFonts w:ascii="Calibri" w:hAnsi="Calibri"/>
              </w:rPr>
              <w:t xml:space="preserve">data</w:t>
            </w:r>
          </w:p>
        </w:tc>
        <w:tc>
          <w:tcPr>
            <w:tcW w:w="2200" w:type="dxa"/>
            <w:tcBorders>
              <w:top w:val="single" w:sz="4" w:space="0" w:color="8EA9DB"/>
              <w:left w:val="nil"/>
              <w:bottom w:val="single" w:sz="4" w:space="0" w:color="8EA9DB"/>
              <w:right w:val="nil"/>
            </w:tcBorders>
            <w:shd w:val="clear" w:color="4472C4" w:fill="4472C4"/>
            <w:noWrap/>
            <w:vAlign w:val="bottom"/>
            <w:hideMark/>
          </w:tcPr>
          <w:p w14:paraId="010E22BA" w14:textId="77777777" w:rsidR="00BF697E" w:rsidRPr="00D46791" w:rsidRDefault="00BF697E" w:rsidP="003704AC">
            <w:pPr>
              <w:jc w:val="center"/>
              <w:rPr>
                <w:b/>
                <w:bCs/>
                <w:color w:val="FFFFFF"/>
                <w:sz w:val="20"/>
                <w:szCs w:val="20"/>
                <w:rFonts w:ascii="Calibri" w:hAnsi="Calibri" w:cs="Calibri"/>
              </w:rPr>
            </w:pPr>
            <w:r>
              <w:rPr>
                <w:b/>
                <w:color w:val="FFFFFF"/>
                <w:sz w:val="20"/>
                <w:rFonts w:ascii="Calibri" w:hAnsi="Calibri"/>
              </w:rPr>
              <w:t xml:space="preserve">Produktua</w:t>
            </w:r>
          </w:p>
        </w:tc>
        <w:tc>
          <w:tcPr>
            <w:tcW w:w="3540" w:type="dxa"/>
            <w:tcBorders>
              <w:top w:val="single" w:sz="4" w:space="0" w:color="8EA9DB"/>
              <w:left w:val="nil"/>
              <w:bottom w:val="single" w:sz="4" w:space="0" w:color="8EA9DB"/>
              <w:right w:val="nil"/>
            </w:tcBorders>
            <w:shd w:val="clear" w:color="4472C4" w:fill="4472C4"/>
            <w:noWrap/>
            <w:vAlign w:val="bottom"/>
            <w:hideMark/>
          </w:tcPr>
          <w:p w14:paraId="1656DAEB" w14:textId="77777777" w:rsidR="00BF697E" w:rsidRPr="00D46791" w:rsidRDefault="00BF697E" w:rsidP="003704AC">
            <w:pPr>
              <w:jc w:val="center"/>
              <w:rPr>
                <w:b/>
                <w:bCs/>
                <w:color w:val="FFFFFF"/>
                <w:sz w:val="20"/>
                <w:szCs w:val="20"/>
                <w:rFonts w:ascii="Calibri" w:hAnsi="Calibri" w:cs="Calibri"/>
              </w:rPr>
            </w:pPr>
            <w:r>
              <w:rPr>
                <w:b/>
                <w:color w:val="FFFFFF"/>
                <w:sz w:val="20"/>
                <w:rFonts w:ascii="Calibri" w:hAnsi="Calibri"/>
              </w:rPr>
              <w:t xml:space="preserve">Enpresa hornitzailea</w:t>
            </w:r>
          </w:p>
        </w:tc>
        <w:tc>
          <w:tcPr>
            <w:tcW w:w="993" w:type="dxa"/>
            <w:tcBorders>
              <w:top w:val="single" w:sz="4" w:space="0" w:color="8EA9DB"/>
              <w:left w:val="nil"/>
              <w:bottom w:val="single" w:sz="4" w:space="0" w:color="8EA9DB"/>
              <w:right w:val="nil"/>
            </w:tcBorders>
            <w:shd w:val="clear" w:color="4472C4" w:fill="4472C4"/>
            <w:noWrap/>
            <w:vAlign w:val="bottom"/>
            <w:hideMark/>
          </w:tcPr>
          <w:p w14:paraId="1D191655" w14:textId="77777777" w:rsidR="00BF697E" w:rsidRPr="00D46791" w:rsidRDefault="00BF697E" w:rsidP="003704AC">
            <w:pPr>
              <w:jc w:val="center"/>
              <w:rPr>
                <w:b/>
                <w:bCs/>
                <w:color w:val="FFFFFF"/>
                <w:sz w:val="20"/>
                <w:szCs w:val="20"/>
                <w:rFonts w:ascii="Calibri" w:hAnsi="Calibri" w:cs="Calibri"/>
              </w:rPr>
            </w:pPr>
            <w:r>
              <w:rPr>
                <w:b/>
                <w:color w:val="FFFFFF"/>
                <w:sz w:val="20"/>
                <w:rFonts w:ascii="Calibri" w:hAnsi="Calibri"/>
              </w:rPr>
              <w:t xml:space="preserve">Prezio unit.</w:t>
            </w:r>
          </w:p>
        </w:tc>
      </w:tr>
      <w:tr w:rsidR="00BF697E" w:rsidRPr="00D46791" w14:paraId="5FF9F3CF" w14:textId="77777777" w:rsidTr="00D46791">
        <w:trPr>
          <w:trHeight w:val="300"/>
        </w:trPr>
        <w:tc>
          <w:tcPr>
            <w:tcW w:w="1312" w:type="dxa"/>
            <w:tcBorders>
              <w:top w:val="single" w:sz="4" w:space="0" w:color="8EA9DB"/>
              <w:left w:val="single" w:sz="4" w:space="0" w:color="8EA9DB"/>
              <w:bottom w:val="single" w:sz="4" w:space="0" w:color="8EA9DB"/>
              <w:right w:val="nil"/>
            </w:tcBorders>
            <w:shd w:val="clear" w:color="D9E1F2" w:fill="D9E1F2"/>
            <w:noWrap/>
            <w:vAlign w:val="bottom"/>
            <w:hideMark/>
          </w:tcPr>
          <w:p w14:paraId="038AA7EB" w14:textId="77777777" w:rsidR="00BF697E" w:rsidRPr="00D46791" w:rsidRDefault="00BF697E" w:rsidP="003704AC">
            <w:pPr>
              <w:jc w:val="right"/>
              <w:rPr>
                <w:sz w:val="20"/>
                <w:szCs w:val="20"/>
                <w:rFonts w:ascii="Calibri" w:hAnsi="Calibri" w:cs="Calibri"/>
              </w:rPr>
            </w:pPr>
            <w:r>
              <w:rPr>
                <w:sz w:val="20"/>
                <w:rFonts w:ascii="Calibri" w:hAnsi="Calibri"/>
              </w:rPr>
              <w:t xml:space="preserve">2020/05/01</w:t>
            </w:r>
          </w:p>
        </w:tc>
        <w:tc>
          <w:tcPr>
            <w:tcW w:w="1312" w:type="dxa"/>
            <w:tcBorders>
              <w:top w:val="single" w:sz="4" w:space="0" w:color="8EA9DB"/>
              <w:left w:val="nil"/>
              <w:bottom w:val="single" w:sz="4" w:space="0" w:color="8EA9DB"/>
              <w:right w:val="nil"/>
            </w:tcBorders>
            <w:shd w:val="clear" w:color="D9E1F2" w:fill="D9E1F2"/>
            <w:noWrap/>
            <w:vAlign w:val="bottom"/>
            <w:hideMark/>
          </w:tcPr>
          <w:p w14:paraId="79589060" w14:textId="77777777" w:rsidR="00BF697E" w:rsidRPr="00D46791" w:rsidRDefault="00BF697E" w:rsidP="003704AC">
            <w:pPr>
              <w:jc w:val="right"/>
              <w:rPr>
                <w:sz w:val="20"/>
                <w:szCs w:val="20"/>
                <w:rFonts w:ascii="Calibri" w:hAnsi="Calibri" w:cs="Calibri"/>
              </w:rPr>
            </w:pPr>
            <w:r>
              <w:rPr>
                <w:sz w:val="20"/>
                <w:rFonts w:ascii="Calibri" w:hAnsi="Calibri"/>
              </w:rPr>
              <w:t xml:space="preserve">2020/12/12</w:t>
            </w:r>
          </w:p>
        </w:tc>
        <w:tc>
          <w:tcPr>
            <w:tcW w:w="2200" w:type="dxa"/>
            <w:tcBorders>
              <w:top w:val="single" w:sz="4" w:space="0" w:color="8EA9DB"/>
              <w:left w:val="nil"/>
              <w:bottom w:val="single" w:sz="4" w:space="0" w:color="8EA9DB"/>
              <w:right w:val="nil"/>
            </w:tcBorders>
            <w:shd w:val="clear" w:color="D9E1F2" w:fill="D9E1F2"/>
            <w:noWrap/>
            <w:vAlign w:val="bottom"/>
            <w:hideMark/>
          </w:tcPr>
          <w:p w14:paraId="55A7A0F2" w14:textId="77777777" w:rsidR="00BF697E" w:rsidRPr="00D46791" w:rsidRDefault="00BF697E" w:rsidP="003704AC">
            <w:pPr>
              <w:rPr>
                <w:sz w:val="20"/>
                <w:szCs w:val="20"/>
                <w:rFonts w:ascii="Calibri" w:hAnsi="Calibri" w:cs="Calibri"/>
              </w:rPr>
            </w:pPr>
            <w:r>
              <w:rPr>
                <w:sz w:val="20"/>
                <w:rFonts w:ascii="Calibri" w:hAnsi="Calibri"/>
              </w:rPr>
              <w:t xml:space="preserve">FFP2 maskarak</w:t>
            </w:r>
          </w:p>
        </w:tc>
        <w:tc>
          <w:tcPr>
            <w:tcW w:w="3540" w:type="dxa"/>
            <w:tcBorders>
              <w:top w:val="single" w:sz="4" w:space="0" w:color="8EA9DB"/>
              <w:left w:val="nil"/>
              <w:bottom w:val="single" w:sz="4" w:space="0" w:color="8EA9DB"/>
              <w:right w:val="nil"/>
            </w:tcBorders>
            <w:shd w:val="clear" w:color="D9E1F2" w:fill="D9E1F2"/>
            <w:noWrap/>
            <w:vAlign w:val="bottom"/>
            <w:hideMark/>
          </w:tcPr>
          <w:p w14:paraId="1AD63750" w14:textId="77777777" w:rsidR="00BF697E" w:rsidRPr="00D46791" w:rsidRDefault="00BF697E" w:rsidP="003704AC">
            <w:pPr>
              <w:rPr>
                <w:sz w:val="20"/>
                <w:szCs w:val="20"/>
                <w:rFonts w:ascii="Calibri" w:hAnsi="Calibri" w:cs="Calibri"/>
              </w:rPr>
            </w:pPr>
            <w:r>
              <w:rPr>
                <w:sz w:val="20"/>
                <w:rFonts w:ascii="Calibri" w:hAnsi="Calibri"/>
              </w:rPr>
              <w:t xml:space="preserve">MDL Medical</w:t>
            </w:r>
          </w:p>
        </w:tc>
        <w:tc>
          <w:tcPr>
            <w:tcW w:w="993" w:type="dxa"/>
            <w:tcBorders>
              <w:top w:val="single" w:sz="4" w:space="0" w:color="8EA9DB"/>
              <w:left w:val="nil"/>
              <w:bottom w:val="single" w:sz="4" w:space="0" w:color="8EA9DB"/>
              <w:right w:val="nil"/>
            </w:tcBorders>
            <w:shd w:val="clear" w:color="D9E1F2" w:fill="D9E1F2"/>
            <w:noWrap/>
            <w:vAlign w:val="bottom"/>
            <w:hideMark/>
          </w:tcPr>
          <w:p w14:paraId="2714B1E9" w14:textId="77777777" w:rsidR="00BF697E" w:rsidRPr="00D46791" w:rsidRDefault="00BF697E" w:rsidP="003704AC">
            <w:pPr>
              <w:jc w:val="right"/>
              <w:rPr>
                <w:sz w:val="20"/>
                <w:szCs w:val="20"/>
                <w:rFonts w:ascii="Calibri" w:hAnsi="Calibri" w:cs="Calibri"/>
              </w:rPr>
            </w:pPr>
            <w:r>
              <w:rPr>
                <w:sz w:val="20"/>
                <w:rFonts w:ascii="Calibri" w:hAnsi="Calibri"/>
              </w:rPr>
              <w:t xml:space="preserve">1,6800</w:t>
            </w:r>
          </w:p>
        </w:tc>
      </w:tr>
      <w:tr w:rsidR="00BF697E" w:rsidRPr="00D46791" w14:paraId="3AC64031" w14:textId="77777777" w:rsidTr="00D46791">
        <w:trPr>
          <w:trHeight w:val="300"/>
        </w:trPr>
        <w:tc>
          <w:tcPr>
            <w:tcW w:w="1312" w:type="dxa"/>
            <w:tcBorders>
              <w:top w:val="single" w:sz="4" w:space="0" w:color="8EA9DB"/>
              <w:left w:val="single" w:sz="4" w:space="0" w:color="8EA9DB"/>
              <w:bottom w:val="single" w:sz="4" w:space="0" w:color="8EA9DB"/>
              <w:right w:val="nil"/>
            </w:tcBorders>
            <w:shd w:val="clear" w:color="D9E1F2" w:fill="D9E1F2"/>
            <w:noWrap/>
            <w:vAlign w:val="bottom"/>
            <w:hideMark/>
          </w:tcPr>
          <w:p w14:paraId="130B46EF" w14:textId="77777777" w:rsidR="00BF697E" w:rsidRPr="00D46791" w:rsidRDefault="00BF697E" w:rsidP="003704AC">
            <w:pPr>
              <w:jc w:val="right"/>
              <w:rPr>
                <w:sz w:val="20"/>
                <w:szCs w:val="20"/>
                <w:rFonts w:ascii="Calibri" w:hAnsi="Calibri" w:cs="Calibri"/>
              </w:rPr>
            </w:pPr>
            <w:r>
              <w:rPr>
                <w:sz w:val="20"/>
                <w:rFonts w:ascii="Calibri" w:hAnsi="Calibri"/>
              </w:rPr>
              <w:t xml:space="preserve">2020/04/14</w:t>
            </w:r>
          </w:p>
        </w:tc>
        <w:tc>
          <w:tcPr>
            <w:tcW w:w="1312" w:type="dxa"/>
            <w:tcBorders>
              <w:top w:val="single" w:sz="4" w:space="0" w:color="8EA9DB"/>
              <w:left w:val="nil"/>
              <w:bottom w:val="single" w:sz="4" w:space="0" w:color="8EA9DB"/>
              <w:right w:val="nil"/>
            </w:tcBorders>
            <w:shd w:val="clear" w:color="D9E1F2" w:fill="D9E1F2"/>
            <w:noWrap/>
            <w:vAlign w:val="bottom"/>
            <w:hideMark/>
          </w:tcPr>
          <w:p w14:paraId="32AD0688" w14:textId="77777777" w:rsidR="00BF697E" w:rsidRPr="00D46791" w:rsidRDefault="00BF697E" w:rsidP="003704AC">
            <w:pPr>
              <w:jc w:val="right"/>
              <w:rPr>
                <w:sz w:val="20"/>
                <w:szCs w:val="20"/>
                <w:rFonts w:ascii="Calibri" w:hAnsi="Calibri" w:cs="Calibri"/>
              </w:rPr>
            </w:pPr>
            <w:r>
              <w:rPr>
                <w:sz w:val="20"/>
                <w:rFonts w:ascii="Calibri" w:hAnsi="Calibri"/>
              </w:rPr>
              <w:t xml:space="preserve">2020/06/05</w:t>
            </w:r>
          </w:p>
        </w:tc>
        <w:tc>
          <w:tcPr>
            <w:tcW w:w="2200" w:type="dxa"/>
            <w:tcBorders>
              <w:top w:val="single" w:sz="4" w:space="0" w:color="8EA9DB"/>
              <w:left w:val="nil"/>
              <w:bottom w:val="single" w:sz="4" w:space="0" w:color="8EA9DB"/>
              <w:right w:val="nil"/>
            </w:tcBorders>
            <w:shd w:val="clear" w:color="D9E1F2" w:fill="D9E1F2"/>
            <w:noWrap/>
            <w:vAlign w:val="bottom"/>
            <w:hideMark/>
          </w:tcPr>
          <w:p w14:paraId="32E062BA" w14:textId="77777777" w:rsidR="00BF697E" w:rsidRPr="00D46791" w:rsidRDefault="00BF697E" w:rsidP="003704AC">
            <w:pPr>
              <w:rPr>
                <w:sz w:val="20"/>
                <w:szCs w:val="20"/>
                <w:rFonts w:ascii="Calibri" w:hAnsi="Calibri" w:cs="Calibri"/>
              </w:rPr>
            </w:pPr>
            <w:r>
              <w:rPr>
                <w:sz w:val="20"/>
                <w:rFonts w:ascii="Calibri" w:hAnsi="Calibri"/>
              </w:rPr>
              <w:t xml:space="preserve">FFP2 maskarak</w:t>
            </w:r>
          </w:p>
        </w:tc>
        <w:tc>
          <w:tcPr>
            <w:tcW w:w="3540" w:type="dxa"/>
            <w:tcBorders>
              <w:top w:val="single" w:sz="4" w:space="0" w:color="8EA9DB"/>
              <w:left w:val="nil"/>
              <w:bottom w:val="single" w:sz="4" w:space="0" w:color="8EA9DB"/>
              <w:right w:val="nil"/>
            </w:tcBorders>
            <w:shd w:val="clear" w:color="D9E1F2" w:fill="D9E1F2"/>
            <w:noWrap/>
            <w:vAlign w:val="bottom"/>
            <w:hideMark/>
          </w:tcPr>
          <w:p w14:paraId="653852CF" w14:textId="77777777" w:rsidR="00BF697E" w:rsidRPr="00D46791" w:rsidRDefault="00BF697E" w:rsidP="003704AC">
            <w:pPr>
              <w:rPr>
                <w:sz w:val="20"/>
                <w:szCs w:val="20"/>
                <w:rFonts w:ascii="Calibri" w:hAnsi="Calibri" w:cs="Calibri"/>
              </w:rPr>
            </w:pPr>
            <w:r>
              <w:rPr>
                <w:sz w:val="20"/>
                <w:rFonts w:ascii="Calibri" w:hAnsi="Calibri"/>
              </w:rPr>
              <w:t xml:space="preserve">SQ INSERTEC EUROPE SL</w:t>
            </w:r>
          </w:p>
        </w:tc>
        <w:tc>
          <w:tcPr>
            <w:tcW w:w="993" w:type="dxa"/>
            <w:tcBorders>
              <w:top w:val="single" w:sz="4" w:space="0" w:color="8EA9DB"/>
              <w:left w:val="nil"/>
              <w:bottom w:val="single" w:sz="4" w:space="0" w:color="8EA9DB"/>
              <w:right w:val="nil"/>
            </w:tcBorders>
            <w:shd w:val="clear" w:color="D9E1F2" w:fill="D9E1F2"/>
            <w:noWrap/>
            <w:vAlign w:val="bottom"/>
            <w:hideMark/>
          </w:tcPr>
          <w:p w14:paraId="3CCDB5DA" w14:textId="77777777" w:rsidR="00BF697E" w:rsidRPr="00D46791" w:rsidRDefault="00BF697E" w:rsidP="003704AC">
            <w:pPr>
              <w:jc w:val="right"/>
              <w:rPr>
                <w:sz w:val="20"/>
                <w:szCs w:val="20"/>
                <w:rFonts w:ascii="Calibri" w:hAnsi="Calibri" w:cs="Calibri"/>
              </w:rPr>
            </w:pPr>
            <w:r>
              <w:rPr>
                <w:sz w:val="20"/>
                <w:rFonts w:ascii="Calibri" w:hAnsi="Calibri"/>
              </w:rPr>
              <w:t xml:space="preserve">2,2500</w:t>
            </w:r>
          </w:p>
        </w:tc>
      </w:tr>
      <w:tr w:rsidR="00BF697E" w:rsidRPr="00D46791" w14:paraId="1071A314" w14:textId="77777777" w:rsidTr="00D46791">
        <w:trPr>
          <w:trHeight w:val="300"/>
        </w:trPr>
        <w:tc>
          <w:tcPr>
            <w:tcW w:w="1312" w:type="dxa"/>
            <w:tcBorders>
              <w:top w:val="single" w:sz="4" w:space="0" w:color="8EA9DB"/>
              <w:left w:val="single" w:sz="4" w:space="0" w:color="8EA9DB"/>
              <w:bottom w:val="single" w:sz="4" w:space="0" w:color="8EA9DB"/>
              <w:right w:val="nil"/>
            </w:tcBorders>
            <w:shd w:val="clear" w:color="auto" w:fill="auto"/>
            <w:noWrap/>
            <w:vAlign w:val="bottom"/>
            <w:hideMark/>
          </w:tcPr>
          <w:p w14:paraId="62996307" w14:textId="77777777" w:rsidR="00BF697E" w:rsidRPr="00D46791" w:rsidRDefault="00BF697E" w:rsidP="003704AC">
            <w:pPr>
              <w:jc w:val="right"/>
              <w:rPr>
                <w:sz w:val="20"/>
                <w:szCs w:val="20"/>
                <w:rFonts w:ascii="Calibri" w:hAnsi="Calibri" w:cs="Calibri"/>
              </w:rPr>
            </w:pPr>
            <w:r>
              <w:rPr>
                <w:sz w:val="20"/>
                <w:rFonts w:ascii="Calibri" w:hAnsi="Calibri"/>
              </w:rPr>
              <w:t xml:space="preserve">2020/05/19</w:t>
            </w:r>
          </w:p>
        </w:tc>
        <w:tc>
          <w:tcPr>
            <w:tcW w:w="1312" w:type="dxa"/>
            <w:tcBorders>
              <w:top w:val="single" w:sz="4" w:space="0" w:color="8EA9DB"/>
              <w:left w:val="nil"/>
              <w:bottom w:val="single" w:sz="4" w:space="0" w:color="8EA9DB"/>
              <w:right w:val="nil"/>
            </w:tcBorders>
            <w:shd w:val="clear" w:color="auto" w:fill="auto"/>
            <w:noWrap/>
            <w:vAlign w:val="bottom"/>
            <w:hideMark/>
          </w:tcPr>
          <w:p w14:paraId="3178EB78" w14:textId="77777777" w:rsidR="00BF697E" w:rsidRPr="00D46791" w:rsidRDefault="00BF697E" w:rsidP="003704AC">
            <w:pPr>
              <w:jc w:val="right"/>
              <w:rPr>
                <w:sz w:val="20"/>
                <w:szCs w:val="20"/>
                <w:rFonts w:ascii="Calibri" w:hAnsi="Calibri" w:cs="Calibri"/>
              </w:rPr>
            </w:pPr>
            <w:r>
              <w:rPr>
                <w:sz w:val="20"/>
                <w:rFonts w:ascii="Calibri" w:hAnsi="Calibri"/>
              </w:rPr>
              <w:t xml:space="preserve">2020/06/15</w:t>
            </w:r>
          </w:p>
        </w:tc>
        <w:tc>
          <w:tcPr>
            <w:tcW w:w="2200" w:type="dxa"/>
            <w:tcBorders>
              <w:top w:val="single" w:sz="4" w:space="0" w:color="8EA9DB"/>
              <w:left w:val="nil"/>
              <w:bottom w:val="single" w:sz="4" w:space="0" w:color="8EA9DB"/>
              <w:right w:val="nil"/>
            </w:tcBorders>
            <w:shd w:val="clear" w:color="auto" w:fill="auto"/>
            <w:noWrap/>
            <w:vAlign w:val="bottom"/>
            <w:hideMark/>
          </w:tcPr>
          <w:p w14:paraId="06EE31F7" w14:textId="77777777" w:rsidR="00BF697E" w:rsidRPr="00D46791" w:rsidRDefault="00BF697E" w:rsidP="003704AC">
            <w:pPr>
              <w:rPr>
                <w:sz w:val="20"/>
                <w:szCs w:val="20"/>
                <w:rFonts w:ascii="Calibri" w:hAnsi="Calibri" w:cs="Calibri"/>
              </w:rPr>
            </w:pPr>
            <w:r>
              <w:rPr>
                <w:sz w:val="20"/>
                <w:rFonts w:ascii="Calibri" w:hAnsi="Calibri"/>
              </w:rPr>
              <w:t xml:space="preserve">Maskara kirurgikoak</w:t>
            </w:r>
          </w:p>
        </w:tc>
        <w:tc>
          <w:tcPr>
            <w:tcW w:w="3540" w:type="dxa"/>
            <w:tcBorders>
              <w:top w:val="single" w:sz="4" w:space="0" w:color="8EA9DB"/>
              <w:left w:val="nil"/>
              <w:bottom w:val="single" w:sz="4" w:space="0" w:color="8EA9DB"/>
              <w:right w:val="nil"/>
            </w:tcBorders>
            <w:shd w:val="clear" w:color="auto" w:fill="auto"/>
            <w:noWrap/>
            <w:vAlign w:val="bottom"/>
            <w:hideMark/>
          </w:tcPr>
          <w:p w14:paraId="7AFF7C43" w14:textId="77777777" w:rsidR="00BF697E" w:rsidRPr="00D46791" w:rsidRDefault="00BF697E" w:rsidP="003704AC">
            <w:pPr>
              <w:rPr>
                <w:sz w:val="20"/>
                <w:szCs w:val="20"/>
                <w:rFonts w:ascii="Calibri" w:hAnsi="Calibri" w:cs="Calibri"/>
              </w:rPr>
            </w:pPr>
            <w:r>
              <w:rPr>
                <w:sz w:val="20"/>
                <w:rFonts w:ascii="Calibri" w:hAnsi="Calibri"/>
              </w:rPr>
              <w:t xml:space="preserve">SQ INSERTEC EUROPE SL</w:t>
            </w:r>
          </w:p>
        </w:tc>
        <w:tc>
          <w:tcPr>
            <w:tcW w:w="993" w:type="dxa"/>
            <w:tcBorders>
              <w:top w:val="single" w:sz="4" w:space="0" w:color="8EA9DB"/>
              <w:left w:val="nil"/>
              <w:bottom w:val="single" w:sz="4" w:space="0" w:color="8EA9DB"/>
              <w:right w:val="nil"/>
            </w:tcBorders>
            <w:shd w:val="clear" w:color="auto" w:fill="auto"/>
            <w:noWrap/>
            <w:vAlign w:val="bottom"/>
            <w:hideMark/>
          </w:tcPr>
          <w:p w14:paraId="364F04A3" w14:textId="77777777" w:rsidR="00BF697E" w:rsidRPr="00D46791" w:rsidRDefault="00BF697E" w:rsidP="003704AC">
            <w:pPr>
              <w:jc w:val="right"/>
              <w:rPr>
                <w:sz w:val="20"/>
                <w:szCs w:val="20"/>
                <w:rFonts w:ascii="Calibri" w:hAnsi="Calibri" w:cs="Calibri"/>
              </w:rPr>
            </w:pPr>
            <w:r>
              <w:rPr>
                <w:sz w:val="20"/>
                <w:rFonts w:ascii="Calibri" w:hAnsi="Calibri"/>
              </w:rPr>
              <w:t xml:space="preserve">0,4300</w:t>
            </w:r>
          </w:p>
        </w:tc>
      </w:tr>
      <w:tr w:rsidR="00BF697E" w:rsidRPr="00D46791" w14:paraId="2E8BCB64" w14:textId="77777777" w:rsidTr="00D46791">
        <w:trPr>
          <w:trHeight w:val="300"/>
        </w:trPr>
        <w:tc>
          <w:tcPr>
            <w:tcW w:w="1312" w:type="dxa"/>
            <w:tcBorders>
              <w:top w:val="single" w:sz="4" w:space="0" w:color="8EA9DB"/>
              <w:left w:val="single" w:sz="4" w:space="0" w:color="8EA9DB"/>
              <w:bottom w:val="single" w:sz="4" w:space="0" w:color="8EA9DB"/>
              <w:right w:val="nil"/>
            </w:tcBorders>
            <w:shd w:val="clear" w:color="D9E1F2" w:fill="D9E1F2"/>
            <w:noWrap/>
            <w:vAlign w:val="bottom"/>
            <w:hideMark/>
          </w:tcPr>
          <w:p w14:paraId="728A0324" w14:textId="77777777" w:rsidR="00BF697E" w:rsidRPr="00D46791" w:rsidRDefault="00BF697E" w:rsidP="003704AC">
            <w:pPr>
              <w:jc w:val="right"/>
              <w:rPr>
                <w:sz w:val="20"/>
                <w:szCs w:val="20"/>
                <w:rFonts w:ascii="Calibri" w:hAnsi="Calibri" w:cs="Calibri"/>
              </w:rPr>
            </w:pPr>
            <w:r>
              <w:rPr>
                <w:sz w:val="20"/>
                <w:rFonts w:ascii="Calibri" w:hAnsi="Calibri"/>
              </w:rPr>
              <w:t xml:space="preserve">2020/04/14</w:t>
            </w:r>
          </w:p>
        </w:tc>
        <w:tc>
          <w:tcPr>
            <w:tcW w:w="1312" w:type="dxa"/>
            <w:tcBorders>
              <w:top w:val="single" w:sz="4" w:space="0" w:color="8EA9DB"/>
              <w:left w:val="nil"/>
              <w:bottom w:val="single" w:sz="4" w:space="0" w:color="8EA9DB"/>
              <w:right w:val="nil"/>
            </w:tcBorders>
            <w:shd w:val="clear" w:color="D9E1F2" w:fill="D9E1F2"/>
            <w:noWrap/>
            <w:vAlign w:val="bottom"/>
            <w:hideMark/>
          </w:tcPr>
          <w:p w14:paraId="33A763DB" w14:textId="77777777" w:rsidR="00BF697E" w:rsidRPr="00D46791" w:rsidRDefault="00BF697E" w:rsidP="003704AC">
            <w:pPr>
              <w:jc w:val="right"/>
              <w:rPr>
                <w:sz w:val="20"/>
                <w:szCs w:val="20"/>
                <w:rFonts w:ascii="Calibri" w:hAnsi="Calibri" w:cs="Calibri"/>
              </w:rPr>
            </w:pPr>
            <w:r>
              <w:rPr>
                <w:sz w:val="20"/>
                <w:rFonts w:ascii="Calibri" w:hAnsi="Calibri"/>
              </w:rPr>
              <w:t xml:space="preserve">2020/05/12</w:t>
            </w:r>
          </w:p>
        </w:tc>
        <w:tc>
          <w:tcPr>
            <w:tcW w:w="2200" w:type="dxa"/>
            <w:tcBorders>
              <w:top w:val="single" w:sz="4" w:space="0" w:color="8EA9DB"/>
              <w:left w:val="nil"/>
              <w:bottom w:val="single" w:sz="4" w:space="0" w:color="8EA9DB"/>
              <w:right w:val="nil"/>
            </w:tcBorders>
            <w:shd w:val="clear" w:color="D9E1F2" w:fill="D9E1F2"/>
            <w:noWrap/>
            <w:vAlign w:val="bottom"/>
            <w:hideMark/>
          </w:tcPr>
          <w:p w14:paraId="37AE9210" w14:textId="77777777" w:rsidR="00BF697E" w:rsidRPr="00D46791" w:rsidRDefault="00BF697E" w:rsidP="003704AC">
            <w:pPr>
              <w:rPr>
                <w:sz w:val="20"/>
                <w:szCs w:val="20"/>
                <w:rFonts w:ascii="Calibri" w:hAnsi="Calibri" w:cs="Calibri"/>
              </w:rPr>
            </w:pPr>
            <w:r>
              <w:rPr>
                <w:sz w:val="20"/>
                <w:rFonts w:ascii="Calibri" w:hAnsi="Calibri"/>
              </w:rPr>
              <w:t xml:space="preserve">FFP2 maskarak</w:t>
            </w:r>
          </w:p>
        </w:tc>
        <w:tc>
          <w:tcPr>
            <w:tcW w:w="3540" w:type="dxa"/>
            <w:tcBorders>
              <w:top w:val="single" w:sz="4" w:space="0" w:color="8EA9DB"/>
              <w:left w:val="nil"/>
              <w:bottom w:val="single" w:sz="4" w:space="0" w:color="8EA9DB"/>
              <w:right w:val="nil"/>
            </w:tcBorders>
            <w:shd w:val="clear" w:color="D9E1F2" w:fill="D9E1F2"/>
            <w:noWrap/>
            <w:vAlign w:val="bottom"/>
            <w:hideMark/>
          </w:tcPr>
          <w:p w14:paraId="3F2650EC" w14:textId="77777777" w:rsidR="00BF697E" w:rsidRPr="00D46791" w:rsidRDefault="00BF697E" w:rsidP="003704AC">
            <w:pPr>
              <w:rPr>
                <w:sz w:val="20"/>
                <w:szCs w:val="20"/>
                <w:rFonts w:ascii="Calibri" w:hAnsi="Calibri" w:cs="Calibri"/>
              </w:rPr>
            </w:pPr>
            <w:r>
              <w:rPr>
                <w:sz w:val="20"/>
                <w:rFonts w:ascii="Calibri" w:hAnsi="Calibri"/>
              </w:rPr>
              <w:t xml:space="preserve">SQ INSERTEC EUROPE SL</w:t>
            </w:r>
          </w:p>
        </w:tc>
        <w:tc>
          <w:tcPr>
            <w:tcW w:w="993" w:type="dxa"/>
            <w:tcBorders>
              <w:top w:val="single" w:sz="4" w:space="0" w:color="8EA9DB"/>
              <w:left w:val="nil"/>
              <w:bottom w:val="single" w:sz="4" w:space="0" w:color="8EA9DB"/>
              <w:right w:val="nil"/>
            </w:tcBorders>
            <w:shd w:val="clear" w:color="D9E1F2" w:fill="D9E1F2"/>
            <w:noWrap/>
            <w:vAlign w:val="bottom"/>
            <w:hideMark/>
          </w:tcPr>
          <w:p w14:paraId="3BFB30CC" w14:textId="77777777" w:rsidR="00BF697E" w:rsidRPr="00D46791" w:rsidRDefault="00BF697E" w:rsidP="003704AC">
            <w:pPr>
              <w:jc w:val="right"/>
              <w:rPr>
                <w:sz w:val="20"/>
                <w:szCs w:val="20"/>
                <w:rFonts w:ascii="Calibri" w:hAnsi="Calibri" w:cs="Calibri"/>
              </w:rPr>
            </w:pPr>
            <w:r>
              <w:rPr>
                <w:sz w:val="20"/>
                <w:rFonts w:ascii="Calibri" w:hAnsi="Calibri"/>
              </w:rPr>
              <w:t xml:space="preserve">2,2500</w:t>
            </w:r>
          </w:p>
        </w:tc>
      </w:tr>
      <w:tr w:rsidR="00BF697E" w:rsidRPr="00D46791" w14:paraId="028610EC" w14:textId="77777777" w:rsidTr="00D46791">
        <w:trPr>
          <w:trHeight w:val="300"/>
        </w:trPr>
        <w:tc>
          <w:tcPr>
            <w:tcW w:w="1312" w:type="dxa"/>
            <w:tcBorders>
              <w:top w:val="single" w:sz="4" w:space="0" w:color="8EA9DB"/>
              <w:left w:val="single" w:sz="4" w:space="0" w:color="8EA9DB"/>
              <w:bottom w:val="single" w:sz="4" w:space="0" w:color="8EA9DB"/>
              <w:right w:val="nil"/>
            </w:tcBorders>
            <w:shd w:val="clear" w:color="auto" w:fill="auto"/>
            <w:noWrap/>
            <w:vAlign w:val="bottom"/>
            <w:hideMark/>
          </w:tcPr>
          <w:p w14:paraId="44068788" w14:textId="77777777" w:rsidR="00BF697E" w:rsidRPr="00D46791" w:rsidRDefault="00BF697E" w:rsidP="003704AC">
            <w:pPr>
              <w:jc w:val="right"/>
              <w:rPr>
                <w:sz w:val="20"/>
                <w:szCs w:val="20"/>
                <w:rFonts w:ascii="Calibri" w:hAnsi="Calibri" w:cs="Calibri"/>
              </w:rPr>
            </w:pPr>
            <w:r>
              <w:rPr>
                <w:sz w:val="20"/>
                <w:rFonts w:ascii="Calibri" w:hAnsi="Calibri"/>
              </w:rPr>
              <w:t xml:space="preserve">2020/04/14</w:t>
            </w:r>
          </w:p>
        </w:tc>
        <w:tc>
          <w:tcPr>
            <w:tcW w:w="1312" w:type="dxa"/>
            <w:tcBorders>
              <w:top w:val="single" w:sz="4" w:space="0" w:color="8EA9DB"/>
              <w:left w:val="nil"/>
              <w:bottom w:val="single" w:sz="4" w:space="0" w:color="8EA9DB"/>
              <w:right w:val="nil"/>
            </w:tcBorders>
            <w:shd w:val="clear" w:color="auto" w:fill="auto"/>
            <w:noWrap/>
            <w:vAlign w:val="bottom"/>
            <w:hideMark/>
          </w:tcPr>
          <w:p w14:paraId="498A3BD4" w14:textId="77777777" w:rsidR="00BF697E" w:rsidRPr="00D46791" w:rsidRDefault="00BF697E" w:rsidP="003704AC">
            <w:pPr>
              <w:jc w:val="right"/>
              <w:rPr>
                <w:sz w:val="20"/>
                <w:szCs w:val="20"/>
                <w:rFonts w:ascii="Calibri" w:hAnsi="Calibri" w:cs="Calibri"/>
              </w:rPr>
            </w:pPr>
            <w:r>
              <w:rPr>
                <w:sz w:val="20"/>
                <w:rFonts w:ascii="Calibri" w:hAnsi="Calibri"/>
              </w:rPr>
              <w:t xml:space="preserve">2020/05/04</w:t>
            </w:r>
          </w:p>
        </w:tc>
        <w:tc>
          <w:tcPr>
            <w:tcW w:w="2200" w:type="dxa"/>
            <w:tcBorders>
              <w:top w:val="single" w:sz="4" w:space="0" w:color="8EA9DB"/>
              <w:left w:val="nil"/>
              <w:bottom w:val="single" w:sz="4" w:space="0" w:color="8EA9DB"/>
              <w:right w:val="nil"/>
            </w:tcBorders>
            <w:shd w:val="clear" w:color="auto" w:fill="auto"/>
            <w:noWrap/>
            <w:vAlign w:val="bottom"/>
            <w:hideMark/>
          </w:tcPr>
          <w:p w14:paraId="57262289" w14:textId="77777777" w:rsidR="00BF697E" w:rsidRPr="00D46791" w:rsidRDefault="00BF697E" w:rsidP="003704AC">
            <w:pPr>
              <w:rPr>
                <w:sz w:val="20"/>
                <w:szCs w:val="20"/>
                <w:rFonts w:ascii="Calibri" w:hAnsi="Calibri" w:cs="Calibri"/>
              </w:rPr>
            </w:pPr>
            <w:r>
              <w:rPr>
                <w:sz w:val="20"/>
                <w:rFonts w:ascii="Calibri" w:hAnsi="Calibri"/>
              </w:rPr>
              <w:t xml:space="preserve">FFP2 maskarak</w:t>
            </w:r>
          </w:p>
        </w:tc>
        <w:tc>
          <w:tcPr>
            <w:tcW w:w="3540" w:type="dxa"/>
            <w:tcBorders>
              <w:top w:val="single" w:sz="4" w:space="0" w:color="8EA9DB"/>
              <w:left w:val="nil"/>
              <w:bottom w:val="single" w:sz="4" w:space="0" w:color="8EA9DB"/>
              <w:right w:val="nil"/>
            </w:tcBorders>
            <w:shd w:val="clear" w:color="auto" w:fill="auto"/>
            <w:noWrap/>
            <w:vAlign w:val="bottom"/>
            <w:hideMark/>
          </w:tcPr>
          <w:p w14:paraId="6D07B889" w14:textId="77777777" w:rsidR="00BF697E" w:rsidRPr="00D46791" w:rsidRDefault="00BF697E" w:rsidP="003704AC">
            <w:pPr>
              <w:rPr>
                <w:sz w:val="20"/>
                <w:szCs w:val="20"/>
                <w:rFonts w:ascii="Calibri" w:hAnsi="Calibri" w:cs="Calibri"/>
              </w:rPr>
            </w:pPr>
            <w:r>
              <w:rPr>
                <w:sz w:val="20"/>
                <w:rFonts w:ascii="Calibri" w:hAnsi="Calibri"/>
              </w:rPr>
              <w:t xml:space="preserve">SQ INSERTEC EUROPE SL</w:t>
            </w:r>
          </w:p>
        </w:tc>
        <w:tc>
          <w:tcPr>
            <w:tcW w:w="993" w:type="dxa"/>
            <w:tcBorders>
              <w:top w:val="single" w:sz="4" w:space="0" w:color="8EA9DB"/>
              <w:left w:val="nil"/>
              <w:bottom w:val="single" w:sz="4" w:space="0" w:color="8EA9DB"/>
              <w:right w:val="nil"/>
            </w:tcBorders>
            <w:shd w:val="clear" w:color="auto" w:fill="auto"/>
            <w:noWrap/>
            <w:vAlign w:val="bottom"/>
            <w:hideMark/>
          </w:tcPr>
          <w:p w14:paraId="5C3F46A5" w14:textId="77777777" w:rsidR="00BF697E" w:rsidRPr="00D46791" w:rsidRDefault="00BF697E" w:rsidP="003704AC">
            <w:pPr>
              <w:jc w:val="right"/>
              <w:rPr>
                <w:sz w:val="20"/>
                <w:szCs w:val="20"/>
                <w:rFonts w:ascii="Calibri" w:hAnsi="Calibri" w:cs="Calibri"/>
              </w:rPr>
            </w:pPr>
            <w:r>
              <w:rPr>
                <w:sz w:val="20"/>
                <w:rFonts w:ascii="Calibri" w:hAnsi="Calibri"/>
              </w:rPr>
              <w:t xml:space="preserve">2,2500</w:t>
            </w:r>
          </w:p>
        </w:tc>
      </w:tr>
      <w:tr w:rsidR="00BF697E" w:rsidRPr="00D46791" w14:paraId="2E4EDF74" w14:textId="77777777" w:rsidTr="00D46791">
        <w:trPr>
          <w:trHeight w:val="300"/>
        </w:trPr>
        <w:tc>
          <w:tcPr>
            <w:tcW w:w="1312" w:type="dxa"/>
            <w:tcBorders>
              <w:top w:val="single" w:sz="4" w:space="0" w:color="8EA9DB"/>
              <w:left w:val="single" w:sz="4" w:space="0" w:color="8EA9DB"/>
              <w:bottom w:val="single" w:sz="4" w:space="0" w:color="8EA9DB"/>
              <w:right w:val="nil"/>
            </w:tcBorders>
            <w:shd w:val="clear" w:color="D9E1F2" w:fill="D9E1F2"/>
            <w:noWrap/>
            <w:vAlign w:val="bottom"/>
            <w:hideMark/>
          </w:tcPr>
          <w:p w14:paraId="6C43CD34" w14:textId="77777777" w:rsidR="00BF697E" w:rsidRPr="00D46791" w:rsidRDefault="00BF697E" w:rsidP="003704AC">
            <w:pPr>
              <w:jc w:val="right"/>
              <w:rPr>
                <w:sz w:val="20"/>
                <w:szCs w:val="20"/>
                <w:rFonts w:ascii="Calibri" w:hAnsi="Calibri" w:cs="Calibri"/>
              </w:rPr>
            </w:pPr>
            <w:r>
              <w:rPr>
                <w:sz w:val="20"/>
                <w:rFonts w:ascii="Calibri" w:hAnsi="Calibri"/>
              </w:rPr>
              <w:t xml:space="preserve">2020/05/19</w:t>
            </w:r>
          </w:p>
        </w:tc>
        <w:tc>
          <w:tcPr>
            <w:tcW w:w="1312" w:type="dxa"/>
            <w:tcBorders>
              <w:top w:val="single" w:sz="4" w:space="0" w:color="8EA9DB"/>
              <w:left w:val="nil"/>
              <w:bottom w:val="single" w:sz="4" w:space="0" w:color="8EA9DB"/>
              <w:right w:val="nil"/>
            </w:tcBorders>
            <w:shd w:val="clear" w:color="D9E1F2" w:fill="D9E1F2"/>
            <w:noWrap/>
            <w:vAlign w:val="bottom"/>
            <w:hideMark/>
          </w:tcPr>
          <w:p w14:paraId="002428D3" w14:textId="77777777" w:rsidR="00BF697E" w:rsidRPr="00D46791" w:rsidRDefault="00BF697E" w:rsidP="003704AC">
            <w:pPr>
              <w:jc w:val="right"/>
              <w:rPr>
                <w:sz w:val="20"/>
                <w:szCs w:val="20"/>
                <w:rFonts w:ascii="Calibri" w:hAnsi="Calibri" w:cs="Calibri"/>
              </w:rPr>
            </w:pPr>
            <w:r>
              <w:rPr>
                <w:sz w:val="20"/>
                <w:rFonts w:ascii="Calibri" w:hAnsi="Calibri"/>
              </w:rPr>
              <w:t xml:space="preserve">2020/06/04</w:t>
            </w:r>
          </w:p>
        </w:tc>
        <w:tc>
          <w:tcPr>
            <w:tcW w:w="2200" w:type="dxa"/>
            <w:tcBorders>
              <w:top w:val="single" w:sz="4" w:space="0" w:color="8EA9DB"/>
              <w:left w:val="nil"/>
              <w:bottom w:val="single" w:sz="4" w:space="0" w:color="8EA9DB"/>
              <w:right w:val="nil"/>
            </w:tcBorders>
            <w:shd w:val="clear" w:color="D9E1F2" w:fill="D9E1F2"/>
            <w:noWrap/>
            <w:vAlign w:val="bottom"/>
            <w:hideMark/>
          </w:tcPr>
          <w:p w14:paraId="063EE479" w14:textId="77777777" w:rsidR="00BF697E" w:rsidRPr="00D46791" w:rsidRDefault="00BF697E" w:rsidP="003704AC">
            <w:pPr>
              <w:rPr>
                <w:sz w:val="20"/>
                <w:szCs w:val="20"/>
                <w:rFonts w:ascii="Calibri" w:hAnsi="Calibri" w:cs="Calibri"/>
              </w:rPr>
            </w:pPr>
            <w:r>
              <w:rPr>
                <w:sz w:val="20"/>
                <w:rFonts w:ascii="Calibri" w:hAnsi="Calibri"/>
              </w:rPr>
              <w:t xml:space="preserve">Maskara kirurgikoak</w:t>
            </w:r>
          </w:p>
        </w:tc>
        <w:tc>
          <w:tcPr>
            <w:tcW w:w="3540" w:type="dxa"/>
            <w:tcBorders>
              <w:top w:val="single" w:sz="4" w:space="0" w:color="8EA9DB"/>
              <w:left w:val="nil"/>
              <w:bottom w:val="single" w:sz="4" w:space="0" w:color="8EA9DB"/>
              <w:right w:val="nil"/>
            </w:tcBorders>
            <w:shd w:val="clear" w:color="D9E1F2" w:fill="D9E1F2"/>
            <w:noWrap/>
            <w:vAlign w:val="bottom"/>
            <w:hideMark/>
          </w:tcPr>
          <w:p w14:paraId="35CFA3D1" w14:textId="77777777" w:rsidR="00BF697E" w:rsidRPr="00D46791" w:rsidRDefault="00BF697E" w:rsidP="003704AC">
            <w:pPr>
              <w:rPr>
                <w:sz w:val="20"/>
                <w:szCs w:val="20"/>
                <w:rFonts w:ascii="Calibri" w:hAnsi="Calibri" w:cs="Calibri"/>
              </w:rPr>
            </w:pPr>
            <w:r>
              <w:rPr>
                <w:sz w:val="20"/>
                <w:rFonts w:ascii="Calibri" w:hAnsi="Calibri"/>
              </w:rPr>
              <w:t xml:space="preserve">SQ INSERTEC EUROPE SL</w:t>
            </w:r>
          </w:p>
        </w:tc>
        <w:tc>
          <w:tcPr>
            <w:tcW w:w="993" w:type="dxa"/>
            <w:tcBorders>
              <w:top w:val="single" w:sz="4" w:space="0" w:color="8EA9DB"/>
              <w:left w:val="nil"/>
              <w:bottom w:val="single" w:sz="4" w:space="0" w:color="8EA9DB"/>
              <w:right w:val="nil"/>
            </w:tcBorders>
            <w:shd w:val="clear" w:color="D9E1F2" w:fill="D9E1F2"/>
            <w:noWrap/>
            <w:vAlign w:val="bottom"/>
            <w:hideMark/>
          </w:tcPr>
          <w:p w14:paraId="79CC5111" w14:textId="77777777" w:rsidR="00BF697E" w:rsidRPr="00D46791" w:rsidRDefault="00BF697E" w:rsidP="003704AC">
            <w:pPr>
              <w:jc w:val="right"/>
              <w:rPr>
                <w:sz w:val="20"/>
                <w:szCs w:val="20"/>
                <w:rFonts w:ascii="Calibri" w:hAnsi="Calibri" w:cs="Calibri"/>
              </w:rPr>
            </w:pPr>
            <w:r>
              <w:rPr>
                <w:sz w:val="20"/>
                <w:rFonts w:ascii="Calibri" w:hAnsi="Calibri"/>
              </w:rPr>
              <w:t xml:space="preserve">0,4300</w:t>
            </w:r>
          </w:p>
        </w:tc>
      </w:tr>
      <w:tr w:rsidR="00BF697E" w:rsidRPr="00D46791" w14:paraId="25E7CBA6" w14:textId="77777777" w:rsidTr="00D46791">
        <w:trPr>
          <w:trHeight w:val="300"/>
        </w:trPr>
        <w:tc>
          <w:tcPr>
            <w:tcW w:w="1312" w:type="dxa"/>
            <w:tcBorders>
              <w:top w:val="single" w:sz="4" w:space="0" w:color="8EA9DB"/>
              <w:left w:val="single" w:sz="4" w:space="0" w:color="8EA9DB"/>
              <w:bottom w:val="single" w:sz="4" w:space="0" w:color="8EA9DB"/>
              <w:right w:val="nil"/>
            </w:tcBorders>
            <w:shd w:val="clear" w:color="auto" w:fill="auto"/>
            <w:noWrap/>
            <w:vAlign w:val="bottom"/>
            <w:hideMark/>
          </w:tcPr>
          <w:p w14:paraId="22DF3CBC" w14:textId="77777777" w:rsidR="00BF697E" w:rsidRPr="00D46791" w:rsidRDefault="00BF697E" w:rsidP="003704AC">
            <w:pPr>
              <w:jc w:val="right"/>
              <w:rPr>
                <w:sz w:val="20"/>
                <w:szCs w:val="20"/>
                <w:rFonts w:ascii="Calibri" w:hAnsi="Calibri" w:cs="Calibri"/>
              </w:rPr>
            </w:pPr>
            <w:r>
              <w:rPr>
                <w:sz w:val="20"/>
                <w:rFonts w:ascii="Calibri" w:hAnsi="Calibri"/>
              </w:rPr>
              <w:t xml:space="preserve">2020/05/19</w:t>
            </w:r>
          </w:p>
        </w:tc>
        <w:tc>
          <w:tcPr>
            <w:tcW w:w="1312" w:type="dxa"/>
            <w:tcBorders>
              <w:top w:val="single" w:sz="4" w:space="0" w:color="8EA9DB"/>
              <w:left w:val="nil"/>
              <w:bottom w:val="single" w:sz="4" w:space="0" w:color="8EA9DB"/>
              <w:right w:val="nil"/>
            </w:tcBorders>
            <w:shd w:val="clear" w:color="auto" w:fill="auto"/>
            <w:noWrap/>
            <w:vAlign w:val="bottom"/>
            <w:hideMark/>
          </w:tcPr>
          <w:p w14:paraId="6929B8BC" w14:textId="77777777" w:rsidR="00BF697E" w:rsidRPr="00D46791" w:rsidRDefault="00BF697E" w:rsidP="003704AC">
            <w:pPr>
              <w:jc w:val="right"/>
              <w:rPr>
                <w:sz w:val="20"/>
                <w:szCs w:val="20"/>
                <w:rFonts w:ascii="Calibri" w:hAnsi="Calibri" w:cs="Calibri"/>
              </w:rPr>
            </w:pPr>
            <w:r>
              <w:rPr>
                <w:sz w:val="20"/>
                <w:rFonts w:ascii="Calibri" w:hAnsi="Calibri"/>
              </w:rPr>
              <w:t xml:space="preserve">2020/06/25</w:t>
            </w:r>
          </w:p>
        </w:tc>
        <w:tc>
          <w:tcPr>
            <w:tcW w:w="2200" w:type="dxa"/>
            <w:tcBorders>
              <w:top w:val="single" w:sz="4" w:space="0" w:color="8EA9DB"/>
              <w:left w:val="nil"/>
              <w:bottom w:val="single" w:sz="4" w:space="0" w:color="8EA9DB"/>
              <w:right w:val="nil"/>
            </w:tcBorders>
            <w:shd w:val="clear" w:color="auto" w:fill="auto"/>
            <w:noWrap/>
            <w:vAlign w:val="bottom"/>
            <w:hideMark/>
          </w:tcPr>
          <w:p w14:paraId="00A0E63B" w14:textId="77777777" w:rsidR="00BF697E" w:rsidRPr="00D46791" w:rsidRDefault="00BF697E" w:rsidP="003704AC">
            <w:pPr>
              <w:rPr>
                <w:sz w:val="20"/>
                <w:szCs w:val="20"/>
                <w:rFonts w:ascii="Calibri" w:hAnsi="Calibri" w:cs="Calibri"/>
              </w:rPr>
            </w:pPr>
            <w:r>
              <w:rPr>
                <w:sz w:val="20"/>
                <w:rFonts w:ascii="Calibri" w:hAnsi="Calibri"/>
              </w:rPr>
              <w:t xml:space="preserve">Maskara kirurgikoak</w:t>
            </w:r>
          </w:p>
        </w:tc>
        <w:tc>
          <w:tcPr>
            <w:tcW w:w="3540" w:type="dxa"/>
            <w:tcBorders>
              <w:top w:val="single" w:sz="4" w:space="0" w:color="8EA9DB"/>
              <w:left w:val="nil"/>
              <w:bottom w:val="single" w:sz="4" w:space="0" w:color="8EA9DB"/>
              <w:right w:val="nil"/>
            </w:tcBorders>
            <w:shd w:val="clear" w:color="auto" w:fill="auto"/>
            <w:noWrap/>
            <w:vAlign w:val="bottom"/>
            <w:hideMark/>
          </w:tcPr>
          <w:p w14:paraId="37AD286C" w14:textId="77777777" w:rsidR="00BF697E" w:rsidRPr="00D46791" w:rsidRDefault="00BF697E" w:rsidP="003704AC">
            <w:pPr>
              <w:rPr>
                <w:sz w:val="20"/>
                <w:szCs w:val="20"/>
                <w:rFonts w:ascii="Calibri" w:hAnsi="Calibri" w:cs="Calibri"/>
              </w:rPr>
            </w:pPr>
            <w:r>
              <w:rPr>
                <w:sz w:val="20"/>
                <w:rFonts w:ascii="Calibri" w:hAnsi="Calibri"/>
              </w:rPr>
              <w:t xml:space="preserve">SQ INSERTEC EUROPE SL</w:t>
            </w:r>
          </w:p>
        </w:tc>
        <w:tc>
          <w:tcPr>
            <w:tcW w:w="993" w:type="dxa"/>
            <w:tcBorders>
              <w:top w:val="single" w:sz="4" w:space="0" w:color="8EA9DB"/>
              <w:left w:val="nil"/>
              <w:bottom w:val="single" w:sz="4" w:space="0" w:color="8EA9DB"/>
              <w:right w:val="nil"/>
            </w:tcBorders>
            <w:shd w:val="clear" w:color="auto" w:fill="auto"/>
            <w:noWrap/>
            <w:vAlign w:val="bottom"/>
            <w:hideMark/>
          </w:tcPr>
          <w:p w14:paraId="08F4798D" w14:textId="77777777" w:rsidR="00BF697E" w:rsidRPr="00D46791" w:rsidRDefault="00BF697E" w:rsidP="003704AC">
            <w:pPr>
              <w:jc w:val="right"/>
              <w:rPr>
                <w:sz w:val="20"/>
                <w:szCs w:val="20"/>
                <w:rFonts w:ascii="Calibri" w:hAnsi="Calibri" w:cs="Calibri"/>
              </w:rPr>
            </w:pPr>
            <w:r>
              <w:rPr>
                <w:sz w:val="20"/>
                <w:rFonts w:ascii="Calibri" w:hAnsi="Calibri"/>
              </w:rPr>
              <w:t xml:space="preserve">0,4300</w:t>
            </w:r>
          </w:p>
        </w:tc>
      </w:tr>
      <w:tr w:rsidR="00BF697E" w:rsidRPr="00D46791" w14:paraId="2171AEBE" w14:textId="77777777" w:rsidTr="00D46791">
        <w:trPr>
          <w:trHeight w:val="300"/>
        </w:trPr>
        <w:tc>
          <w:tcPr>
            <w:tcW w:w="1312" w:type="dxa"/>
            <w:tcBorders>
              <w:top w:val="single" w:sz="4" w:space="0" w:color="8EA9DB"/>
              <w:left w:val="single" w:sz="4" w:space="0" w:color="8EA9DB"/>
              <w:bottom w:val="single" w:sz="4" w:space="0" w:color="8EA9DB"/>
              <w:right w:val="nil"/>
            </w:tcBorders>
            <w:shd w:val="clear" w:color="D9E1F2" w:fill="D9E1F2"/>
            <w:noWrap/>
            <w:vAlign w:val="bottom"/>
            <w:hideMark/>
          </w:tcPr>
          <w:p w14:paraId="487C6656" w14:textId="77777777" w:rsidR="00BF697E" w:rsidRPr="00D46791" w:rsidRDefault="00BF697E" w:rsidP="003704AC">
            <w:pPr>
              <w:jc w:val="right"/>
              <w:rPr>
                <w:sz w:val="20"/>
                <w:szCs w:val="20"/>
                <w:rFonts w:ascii="Calibri" w:hAnsi="Calibri" w:cs="Calibri"/>
              </w:rPr>
            </w:pPr>
            <w:r>
              <w:rPr>
                <w:sz w:val="20"/>
                <w:rFonts w:ascii="Calibri" w:hAnsi="Calibri"/>
              </w:rPr>
              <w:t xml:space="preserve">2020/05/05</w:t>
            </w:r>
          </w:p>
        </w:tc>
        <w:tc>
          <w:tcPr>
            <w:tcW w:w="1312" w:type="dxa"/>
            <w:tcBorders>
              <w:top w:val="single" w:sz="4" w:space="0" w:color="8EA9DB"/>
              <w:left w:val="nil"/>
              <w:bottom w:val="single" w:sz="4" w:space="0" w:color="8EA9DB"/>
              <w:right w:val="nil"/>
            </w:tcBorders>
            <w:shd w:val="clear" w:color="D9E1F2" w:fill="D9E1F2"/>
            <w:noWrap/>
            <w:vAlign w:val="bottom"/>
            <w:hideMark/>
          </w:tcPr>
          <w:p w14:paraId="676ED292" w14:textId="77777777" w:rsidR="00BF697E" w:rsidRPr="00D46791" w:rsidRDefault="00BF697E" w:rsidP="003704AC">
            <w:pPr>
              <w:jc w:val="right"/>
              <w:rPr>
                <w:sz w:val="20"/>
                <w:szCs w:val="20"/>
                <w:rFonts w:ascii="Calibri" w:hAnsi="Calibri" w:cs="Calibri"/>
              </w:rPr>
            </w:pPr>
            <w:r>
              <w:rPr>
                <w:sz w:val="20"/>
                <w:rFonts w:ascii="Calibri" w:hAnsi="Calibri"/>
              </w:rPr>
              <w:t xml:space="preserve">2020/05/12</w:t>
            </w:r>
          </w:p>
        </w:tc>
        <w:tc>
          <w:tcPr>
            <w:tcW w:w="2200" w:type="dxa"/>
            <w:tcBorders>
              <w:top w:val="single" w:sz="4" w:space="0" w:color="8EA9DB"/>
              <w:left w:val="nil"/>
              <w:bottom w:val="single" w:sz="4" w:space="0" w:color="8EA9DB"/>
              <w:right w:val="nil"/>
            </w:tcBorders>
            <w:shd w:val="clear" w:color="D9E1F2" w:fill="D9E1F2"/>
            <w:noWrap/>
            <w:vAlign w:val="bottom"/>
            <w:hideMark/>
          </w:tcPr>
          <w:p w14:paraId="2191295F" w14:textId="77777777" w:rsidR="00BF697E" w:rsidRPr="00D46791" w:rsidRDefault="00BF697E" w:rsidP="003704AC">
            <w:pPr>
              <w:rPr>
                <w:sz w:val="20"/>
                <w:szCs w:val="20"/>
                <w:rFonts w:ascii="Calibri" w:hAnsi="Calibri" w:cs="Calibri"/>
              </w:rPr>
            </w:pPr>
            <w:r>
              <w:rPr>
                <w:sz w:val="20"/>
                <w:rFonts w:ascii="Calibri" w:hAnsi="Calibri"/>
              </w:rPr>
              <w:t xml:space="preserve">FFP2 maskarak</w:t>
            </w:r>
          </w:p>
        </w:tc>
        <w:tc>
          <w:tcPr>
            <w:tcW w:w="3540" w:type="dxa"/>
            <w:tcBorders>
              <w:top w:val="single" w:sz="4" w:space="0" w:color="8EA9DB"/>
              <w:left w:val="nil"/>
              <w:bottom w:val="single" w:sz="4" w:space="0" w:color="8EA9DB"/>
              <w:right w:val="nil"/>
            </w:tcBorders>
            <w:shd w:val="clear" w:color="D9E1F2" w:fill="D9E1F2"/>
            <w:noWrap/>
            <w:vAlign w:val="bottom"/>
            <w:hideMark/>
          </w:tcPr>
          <w:p w14:paraId="58ECDE6D" w14:textId="77777777" w:rsidR="00BF697E" w:rsidRPr="00D46791" w:rsidRDefault="00BF697E" w:rsidP="003704AC">
            <w:pPr>
              <w:rPr>
                <w:sz w:val="20"/>
                <w:szCs w:val="20"/>
                <w:rFonts w:ascii="Calibri" w:hAnsi="Calibri" w:cs="Calibri"/>
              </w:rPr>
            </w:pPr>
            <w:r>
              <w:rPr>
                <w:sz w:val="20"/>
                <w:rFonts w:ascii="Calibri" w:hAnsi="Calibri"/>
              </w:rPr>
              <w:t xml:space="preserve">Ikasten Group SL</w:t>
            </w:r>
          </w:p>
        </w:tc>
        <w:tc>
          <w:tcPr>
            <w:tcW w:w="993" w:type="dxa"/>
            <w:tcBorders>
              <w:top w:val="single" w:sz="4" w:space="0" w:color="8EA9DB"/>
              <w:left w:val="nil"/>
              <w:bottom w:val="single" w:sz="4" w:space="0" w:color="8EA9DB"/>
              <w:right w:val="nil"/>
            </w:tcBorders>
            <w:shd w:val="clear" w:color="D9E1F2" w:fill="D9E1F2"/>
            <w:noWrap/>
            <w:vAlign w:val="bottom"/>
            <w:hideMark/>
          </w:tcPr>
          <w:p w14:paraId="121DEF4A" w14:textId="77777777" w:rsidR="00BF697E" w:rsidRPr="00D46791" w:rsidRDefault="00BF697E" w:rsidP="003704AC">
            <w:pPr>
              <w:jc w:val="right"/>
              <w:rPr>
                <w:sz w:val="20"/>
                <w:szCs w:val="20"/>
                <w:rFonts w:ascii="Calibri" w:hAnsi="Calibri" w:cs="Calibri"/>
              </w:rPr>
            </w:pPr>
            <w:r>
              <w:rPr>
                <w:sz w:val="20"/>
                <w:rFonts w:ascii="Calibri" w:hAnsi="Calibri"/>
              </w:rPr>
              <w:t xml:space="preserve">1,9800</w:t>
            </w:r>
          </w:p>
        </w:tc>
      </w:tr>
      <w:tr w:rsidR="00BF697E" w:rsidRPr="00D46791" w14:paraId="5B604A10" w14:textId="77777777" w:rsidTr="00D46791">
        <w:trPr>
          <w:trHeight w:val="300"/>
        </w:trPr>
        <w:tc>
          <w:tcPr>
            <w:tcW w:w="1312" w:type="dxa"/>
            <w:tcBorders>
              <w:top w:val="single" w:sz="4" w:space="0" w:color="8EA9DB"/>
              <w:left w:val="single" w:sz="4" w:space="0" w:color="8EA9DB"/>
              <w:bottom w:val="single" w:sz="4" w:space="0" w:color="8EA9DB"/>
              <w:right w:val="nil"/>
            </w:tcBorders>
            <w:shd w:val="clear" w:color="auto" w:fill="auto"/>
            <w:noWrap/>
            <w:vAlign w:val="bottom"/>
            <w:hideMark/>
          </w:tcPr>
          <w:p w14:paraId="21498618" w14:textId="77777777" w:rsidR="00BF697E" w:rsidRPr="00D46791" w:rsidRDefault="00BF697E" w:rsidP="003704AC">
            <w:pPr>
              <w:jc w:val="right"/>
              <w:rPr>
                <w:sz w:val="20"/>
                <w:szCs w:val="20"/>
                <w:rFonts w:ascii="Calibri" w:hAnsi="Calibri" w:cs="Calibri"/>
              </w:rPr>
            </w:pPr>
            <w:r>
              <w:rPr>
                <w:sz w:val="20"/>
                <w:rFonts w:ascii="Calibri" w:hAnsi="Calibri"/>
              </w:rPr>
              <w:t xml:space="preserve">2020/05/19</w:t>
            </w:r>
          </w:p>
        </w:tc>
        <w:tc>
          <w:tcPr>
            <w:tcW w:w="1312" w:type="dxa"/>
            <w:tcBorders>
              <w:top w:val="single" w:sz="4" w:space="0" w:color="8EA9DB"/>
              <w:left w:val="nil"/>
              <w:bottom w:val="single" w:sz="4" w:space="0" w:color="8EA9DB"/>
              <w:right w:val="nil"/>
            </w:tcBorders>
            <w:shd w:val="clear" w:color="auto" w:fill="auto"/>
            <w:noWrap/>
            <w:vAlign w:val="bottom"/>
            <w:hideMark/>
          </w:tcPr>
          <w:p w14:paraId="1CA9FCBF" w14:textId="77777777" w:rsidR="00BF697E" w:rsidRPr="00D46791" w:rsidRDefault="00BF697E" w:rsidP="003704AC">
            <w:pPr>
              <w:jc w:val="right"/>
              <w:rPr>
                <w:sz w:val="20"/>
                <w:szCs w:val="20"/>
                <w:rFonts w:ascii="Calibri" w:hAnsi="Calibri" w:cs="Calibri"/>
              </w:rPr>
            </w:pPr>
            <w:r>
              <w:rPr>
                <w:sz w:val="20"/>
                <w:rFonts w:ascii="Calibri" w:hAnsi="Calibri"/>
              </w:rPr>
              <w:t xml:space="preserve">2020/05/21</w:t>
            </w:r>
          </w:p>
        </w:tc>
        <w:tc>
          <w:tcPr>
            <w:tcW w:w="2200" w:type="dxa"/>
            <w:tcBorders>
              <w:top w:val="single" w:sz="4" w:space="0" w:color="8EA9DB"/>
              <w:left w:val="nil"/>
              <w:bottom w:val="single" w:sz="4" w:space="0" w:color="8EA9DB"/>
              <w:right w:val="nil"/>
            </w:tcBorders>
            <w:shd w:val="clear" w:color="auto" w:fill="auto"/>
            <w:noWrap/>
            <w:vAlign w:val="bottom"/>
            <w:hideMark/>
          </w:tcPr>
          <w:p w14:paraId="4051DD70" w14:textId="77777777" w:rsidR="00BF697E" w:rsidRPr="00D46791" w:rsidRDefault="00BF697E" w:rsidP="003704AC">
            <w:pPr>
              <w:rPr>
                <w:sz w:val="20"/>
                <w:szCs w:val="20"/>
                <w:rFonts w:ascii="Calibri" w:hAnsi="Calibri" w:cs="Calibri"/>
              </w:rPr>
            </w:pPr>
            <w:r>
              <w:rPr>
                <w:sz w:val="20"/>
                <w:rFonts w:ascii="Calibri" w:hAnsi="Calibri"/>
              </w:rPr>
              <w:t xml:space="preserve">Gelak</w:t>
            </w:r>
          </w:p>
        </w:tc>
        <w:tc>
          <w:tcPr>
            <w:tcW w:w="3540" w:type="dxa"/>
            <w:tcBorders>
              <w:top w:val="single" w:sz="4" w:space="0" w:color="8EA9DB"/>
              <w:left w:val="nil"/>
              <w:bottom w:val="single" w:sz="4" w:space="0" w:color="8EA9DB"/>
              <w:right w:val="nil"/>
            </w:tcBorders>
            <w:shd w:val="clear" w:color="auto" w:fill="auto"/>
            <w:noWrap/>
            <w:vAlign w:val="bottom"/>
            <w:hideMark/>
          </w:tcPr>
          <w:p w14:paraId="1FA8F86B" w14:textId="77777777" w:rsidR="00BF697E" w:rsidRPr="00D46791" w:rsidRDefault="00BF697E" w:rsidP="003704AC">
            <w:pPr>
              <w:rPr>
                <w:sz w:val="20"/>
                <w:szCs w:val="20"/>
                <w:rFonts w:ascii="Calibri" w:hAnsi="Calibri" w:cs="Calibri"/>
              </w:rPr>
            </w:pPr>
            <w:r>
              <w:rPr>
                <w:sz w:val="20"/>
                <w:rFonts w:ascii="Calibri" w:hAnsi="Calibri"/>
              </w:rPr>
              <w:t xml:space="preserve">BEST MEDICAL DIET SL</w:t>
            </w:r>
          </w:p>
        </w:tc>
        <w:tc>
          <w:tcPr>
            <w:tcW w:w="993" w:type="dxa"/>
            <w:tcBorders>
              <w:top w:val="single" w:sz="4" w:space="0" w:color="8EA9DB"/>
              <w:left w:val="nil"/>
              <w:bottom w:val="single" w:sz="4" w:space="0" w:color="8EA9DB"/>
              <w:right w:val="nil"/>
            </w:tcBorders>
            <w:shd w:val="clear" w:color="auto" w:fill="auto"/>
            <w:noWrap/>
            <w:vAlign w:val="bottom"/>
            <w:hideMark/>
          </w:tcPr>
          <w:p w14:paraId="304ED579" w14:textId="77777777" w:rsidR="00BF697E" w:rsidRPr="00D46791" w:rsidRDefault="00BF697E" w:rsidP="003704AC">
            <w:pPr>
              <w:jc w:val="right"/>
              <w:rPr>
                <w:sz w:val="20"/>
                <w:szCs w:val="20"/>
                <w:rFonts w:ascii="Calibri" w:hAnsi="Calibri" w:cs="Calibri"/>
              </w:rPr>
            </w:pPr>
            <w:r>
              <w:rPr>
                <w:sz w:val="20"/>
                <w:rFonts w:ascii="Calibri" w:hAnsi="Calibri"/>
              </w:rPr>
              <w:t xml:space="preserve">4,1940</w:t>
            </w:r>
          </w:p>
        </w:tc>
      </w:tr>
      <w:tr w:rsidR="00BF697E" w:rsidRPr="00D46791" w14:paraId="775A318D" w14:textId="77777777" w:rsidTr="00D46791">
        <w:trPr>
          <w:trHeight w:val="300"/>
        </w:trPr>
        <w:tc>
          <w:tcPr>
            <w:tcW w:w="1312" w:type="dxa"/>
            <w:tcBorders>
              <w:top w:val="single" w:sz="4" w:space="0" w:color="8EA9DB"/>
              <w:left w:val="single" w:sz="4" w:space="0" w:color="8EA9DB"/>
              <w:bottom w:val="single" w:sz="4" w:space="0" w:color="8EA9DB"/>
              <w:right w:val="nil"/>
            </w:tcBorders>
            <w:shd w:val="clear" w:color="D9E1F2" w:fill="D9E1F2"/>
            <w:noWrap/>
            <w:vAlign w:val="bottom"/>
            <w:hideMark/>
          </w:tcPr>
          <w:p w14:paraId="1806301E" w14:textId="77777777" w:rsidR="00BF697E" w:rsidRPr="00D46791" w:rsidRDefault="00BF697E" w:rsidP="003704AC">
            <w:pPr>
              <w:jc w:val="right"/>
              <w:rPr>
                <w:sz w:val="20"/>
                <w:szCs w:val="20"/>
                <w:rFonts w:ascii="Calibri" w:hAnsi="Calibri" w:cs="Calibri"/>
              </w:rPr>
            </w:pPr>
            <w:r>
              <w:rPr>
                <w:sz w:val="20"/>
                <w:rFonts w:ascii="Calibri" w:hAnsi="Calibri"/>
              </w:rPr>
              <w:t xml:space="preserve">2020/05/19</w:t>
            </w:r>
          </w:p>
        </w:tc>
        <w:tc>
          <w:tcPr>
            <w:tcW w:w="1312" w:type="dxa"/>
            <w:tcBorders>
              <w:top w:val="single" w:sz="4" w:space="0" w:color="8EA9DB"/>
              <w:left w:val="nil"/>
              <w:bottom w:val="single" w:sz="4" w:space="0" w:color="8EA9DB"/>
              <w:right w:val="nil"/>
            </w:tcBorders>
            <w:shd w:val="clear" w:color="D9E1F2" w:fill="D9E1F2"/>
            <w:noWrap/>
            <w:vAlign w:val="bottom"/>
            <w:hideMark/>
          </w:tcPr>
          <w:p w14:paraId="40709C61" w14:textId="77777777" w:rsidR="00BF697E" w:rsidRPr="00D46791" w:rsidRDefault="00BF697E" w:rsidP="003704AC">
            <w:pPr>
              <w:jc w:val="right"/>
              <w:rPr>
                <w:sz w:val="20"/>
                <w:szCs w:val="20"/>
                <w:rFonts w:ascii="Calibri" w:hAnsi="Calibri" w:cs="Calibri"/>
              </w:rPr>
            </w:pPr>
            <w:r>
              <w:rPr>
                <w:sz w:val="20"/>
                <w:rFonts w:ascii="Calibri" w:hAnsi="Calibri"/>
              </w:rPr>
              <w:t xml:space="preserve">2020/06/20</w:t>
            </w:r>
          </w:p>
        </w:tc>
        <w:tc>
          <w:tcPr>
            <w:tcW w:w="2200" w:type="dxa"/>
            <w:tcBorders>
              <w:top w:val="single" w:sz="4" w:space="0" w:color="8EA9DB"/>
              <w:left w:val="nil"/>
              <w:bottom w:val="single" w:sz="4" w:space="0" w:color="8EA9DB"/>
              <w:right w:val="nil"/>
            </w:tcBorders>
            <w:shd w:val="clear" w:color="D9E1F2" w:fill="D9E1F2"/>
            <w:noWrap/>
            <w:vAlign w:val="bottom"/>
            <w:hideMark/>
          </w:tcPr>
          <w:p w14:paraId="3B2C18E5" w14:textId="77777777" w:rsidR="00BF697E" w:rsidRPr="00D46791" w:rsidRDefault="00BF697E" w:rsidP="003704AC">
            <w:pPr>
              <w:rPr>
                <w:sz w:val="20"/>
                <w:szCs w:val="20"/>
                <w:rFonts w:ascii="Calibri" w:hAnsi="Calibri" w:cs="Calibri"/>
              </w:rPr>
            </w:pPr>
            <w:r>
              <w:rPr>
                <w:sz w:val="20"/>
                <w:rFonts w:ascii="Calibri" w:hAnsi="Calibri"/>
              </w:rPr>
              <w:t xml:space="preserve">Termometroak</w:t>
            </w:r>
          </w:p>
        </w:tc>
        <w:tc>
          <w:tcPr>
            <w:tcW w:w="3540" w:type="dxa"/>
            <w:tcBorders>
              <w:top w:val="single" w:sz="4" w:space="0" w:color="8EA9DB"/>
              <w:left w:val="nil"/>
              <w:bottom w:val="single" w:sz="4" w:space="0" w:color="8EA9DB"/>
              <w:right w:val="nil"/>
            </w:tcBorders>
            <w:shd w:val="clear" w:color="D9E1F2" w:fill="D9E1F2"/>
            <w:noWrap/>
            <w:vAlign w:val="bottom"/>
            <w:hideMark/>
          </w:tcPr>
          <w:p w14:paraId="25C3D2FF" w14:textId="77777777" w:rsidR="00BF697E" w:rsidRPr="00D46791" w:rsidRDefault="00BF697E" w:rsidP="003704AC">
            <w:pPr>
              <w:rPr>
                <w:sz w:val="20"/>
                <w:szCs w:val="20"/>
                <w:rFonts w:ascii="Calibri" w:hAnsi="Calibri" w:cs="Calibri"/>
              </w:rPr>
            </w:pPr>
            <w:r>
              <w:rPr>
                <w:sz w:val="20"/>
                <w:rFonts w:ascii="Calibri" w:hAnsi="Calibri"/>
              </w:rPr>
              <w:t xml:space="preserve">ACRO INTERNATIONAL TRADE CO.</w:t>
            </w:r>
            <w:r>
              <w:rPr>
                <w:sz w:val="20"/>
                <w:rFonts w:ascii="Calibri" w:hAnsi="Calibri"/>
              </w:rPr>
              <w:t xml:space="preserve"> </w:t>
            </w:r>
            <w:r>
              <w:rPr>
                <w:sz w:val="20"/>
                <w:rFonts w:ascii="Calibri" w:hAnsi="Calibri"/>
              </w:rPr>
              <w:t xml:space="preserve">LTD.</w:t>
            </w:r>
          </w:p>
        </w:tc>
        <w:tc>
          <w:tcPr>
            <w:tcW w:w="993" w:type="dxa"/>
            <w:tcBorders>
              <w:top w:val="single" w:sz="4" w:space="0" w:color="8EA9DB"/>
              <w:left w:val="nil"/>
              <w:bottom w:val="single" w:sz="4" w:space="0" w:color="8EA9DB"/>
              <w:right w:val="nil"/>
            </w:tcBorders>
            <w:shd w:val="clear" w:color="D9E1F2" w:fill="D9E1F2"/>
            <w:noWrap/>
            <w:vAlign w:val="bottom"/>
            <w:hideMark/>
          </w:tcPr>
          <w:p w14:paraId="64825740" w14:textId="77777777" w:rsidR="00BF697E" w:rsidRPr="00D46791" w:rsidRDefault="00BF697E" w:rsidP="003704AC">
            <w:pPr>
              <w:jc w:val="right"/>
              <w:rPr>
                <w:sz w:val="20"/>
                <w:szCs w:val="20"/>
                <w:rFonts w:ascii="Calibri" w:hAnsi="Calibri" w:cs="Calibri"/>
              </w:rPr>
            </w:pPr>
            <w:r>
              <w:rPr>
                <w:sz w:val="20"/>
                <w:rFonts w:ascii="Calibri" w:hAnsi="Calibri"/>
              </w:rPr>
              <w:t xml:space="preserve">26,9950</w:t>
            </w:r>
          </w:p>
        </w:tc>
      </w:tr>
    </w:tbl>
    <w:p w14:paraId="286E2C48" w14:textId="77777777" w:rsidR="00547F33" w:rsidRDefault="00547F33" w:rsidP="00547F33">
      <w:pPr>
        <w:pStyle w:val="Prrafodelista"/>
        <w:ind w:left="426"/>
        <w:jc w:val="both"/>
        <w:rPr>
          <w:rFonts w:asciiTheme="minorHAnsi" w:hAnsiTheme="minorHAnsi" w:cstheme="minorHAnsi"/>
          <w:b/>
          <w:bCs/>
        </w:rPr>
      </w:pPr>
    </w:p>
    <w:p w14:paraId="2D066141" w14:textId="77777777" w:rsidR="00DB4D0E" w:rsidRDefault="001C67EC" w:rsidP="00D9059D">
      <w:pPr>
        <w:pStyle w:val="Prrafodelista"/>
        <w:numPr>
          <w:ilvl w:val="1"/>
          <w:numId w:val="8"/>
        </w:numPr>
        <w:ind w:left="851" w:hanging="425"/>
        <w:rPr>
          <w:b/>
          <w:bCs/>
          <w:rFonts w:asciiTheme="minorHAnsi" w:hAnsiTheme="minorHAnsi" w:cstheme="minorHAnsi"/>
        </w:rPr>
      </w:pPr>
      <w:r>
        <w:rPr>
          <w:b/>
          <w:rFonts w:asciiTheme="minorHAnsi" w:hAnsiTheme="minorHAnsi"/>
        </w:rPr>
        <w:t xml:space="preserve">Materialaren prezio unitarioa, enpresa bakoitzeko:</w:t>
      </w:r>
    </w:p>
    <w:p w14:paraId="36BBED18" w14:textId="77777777" w:rsidR="00DB4D0E" w:rsidRDefault="00E90CC0" w:rsidP="001C67EC">
      <w:pPr>
        <w:jc w:val="both"/>
        <w:rPr>
          <w:rFonts w:asciiTheme="minorHAnsi" w:hAnsiTheme="minorHAnsi" w:cstheme="minorHAnsi"/>
        </w:rPr>
      </w:pPr>
      <w:r>
        <w:rPr>
          <w:rFonts w:asciiTheme="minorHAnsi" w:hAnsiTheme="minorHAnsi"/>
        </w:rPr>
        <w:t xml:space="preserve">Aurreko taulan azaltzen da erositako materialaren prezio unitarioa.</w:t>
      </w:r>
    </w:p>
    <w:p w14:paraId="6CF7EE53" w14:textId="77777777" w:rsidR="00DB4D0E" w:rsidRDefault="001C67EC" w:rsidP="00D9059D">
      <w:pPr>
        <w:pStyle w:val="Prrafodelista"/>
        <w:numPr>
          <w:ilvl w:val="1"/>
          <w:numId w:val="8"/>
        </w:numPr>
        <w:ind w:left="851" w:hanging="425"/>
        <w:rPr>
          <w:b/>
          <w:bCs/>
          <w:rFonts w:asciiTheme="minorHAnsi" w:hAnsiTheme="minorHAnsi" w:cstheme="minorHAnsi"/>
        </w:rPr>
      </w:pPr>
      <w:r>
        <w:rPr>
          <w:b/>
          <w:rFonts w:asciiTheme="minorHAnsi" w:hAnsiTheme="minorHAnsi"/>
        </w:rPr>
        <w:t xml:space="preserve">Iritsi zen material guztiak EE homologaziorik al zuen?</w:t>
      </w:r>
      <w:r>
        <w:rPr>
          <w:b/>
          <w:rFonts w:asciiTheme="minorHAnsi" w:hAnsiTheme="minorHAnsi"/>
        </w:rPr>
        <w:t xml:space="preserve"> </w:t>
      </w:r>
      <w:r>
        <w:rPr>
          <w:b/>
          <w:rFonts w:asciiTheme="minorHAnsi" w:hAnsiTheme="minorHAnsi"/>
        </w:rPr>
        <w:t xml:space="preserve">Ezezkoan, zehaztu homologazio hori ez zuen materiala eta nola kudeatu zen.</w:t>
      </w:r>
    </w:p>
    <w:p w14:paraId="62332704" w14:textId="77777777" w:rsidR="00DB4D0E" w:rsidRDefault="001C67EC" w:rsidP="001C67EC">
      <w:pPr>
        <w:jc w:val="both"/>
        <w:rPr>
          <w:rFonts w:asciiTheme="minorHAnsi" w:hAnsiTheme="minorHAnsi" w:cstheme="minorHAnsi"/>
        </w:rPr>
      </w:pPr>
      <w:r>
        <w:rPr>
          <w:rFonts w:asciiTheme="minorHAnsi" w:hAnsiTheme="minorHAnsi"/>
        </w:rPr>
        <w:t xml:space="preserve">Iritsi zen material guztiak EE homologazioa zuen.</w:t>
      </w:r>
    </w:p>
    <w:p w14:paraId="407AC7B0" w14:textId="7E7ED15F" w:rsidR="006F3270" w:rsidRPr="00BF697E" w:rsidRDefault="006F3270" w:rsidP="004B6722">
      <w:pPr>
        <w:spacing w:after="200" w:line="276" w:lineRule="auto"/>
        <w:ind w:firstLine="708"/>
        <w:rPr>
          <w:rFonts w:asciiTheme="minorHAnsi" w:eastAsia="Calibri" w:hAnsiTheme="minorHAnsi" w:cstheme="minorHAnsi"/>
        </w:rPr>
      </w:pPr>
      <w:r>
        <w:rPr>
          <w:rFonts w:asciiTheme="minorHAnsi" w:hAnsiTheme="minorHAnsi"/>
        </w:rPr>
        <w:t xml:space="preserve">Hori guztia jakinarazten dizut, Nafarroako Parlamentuko Erregelamenduaren 194. artikulua betez.</w:t>
      </w:r>
    </w:p>
    <w:p w14:paraId="414B8C45" w14:textId="3C1C69DE" w:rsidR="006F3270" w:rsidRPr="00BF697E" w:rsidRDefault="002F469F" w:rsidP="006F3270">
      <w:pPr>
        <w:spacing w:after="200" w:line="276" w:lineRule="auto"/>
        <w:jc w:val="center"/>
        <w:rPr>
          <w:rFonts w:asciiTheme="minorHAnsi" w:eastAsia="Calibri" w:hAnsiTheme="minorHAnsi" w:cstheme="minorHAnsi"/>
        </w:rPr>
      </w:pPr>
      <w:r>
        <w:rPr>
          <w:rFonts w:asciiTheme="minorHAnsi" w:hAnsiTheme="minorHAnsi"/>
        </w:rPr>
        <w:t xml:space="preserve">Iruñean, 2022ko ekainaren 3an</w:t>
      </w:r>
    </w:p>
    <w:p w14:paraId="0A510B09" w14:textId="77777777" w:rsidR="006F3270" w:rsidRPr="00BF697E" w:rsidRDefault="006F3270" w:rsidP="006F3270">
      <w:pPr>
        <w:spacing w:after="200" w:line="276" w:lineRule="auto"/>
        <w:jc w:val="center"/>
        <w:rPr>
          <w:rFonts w:asciiTheme="minorHAnsi" w:eastAsia="Calibri" w:hAnsiTheme="minorHAnsi" w:cstheme="minorHAnsi"/>
        </w:rPr>
      </w:pPr>
      <w:r>
        <w:rPr>
          <w:rFonts w:asciiTheme="minorHAnsi" w:hAnsiTheme="minorHAnsi"/>
        </w:rPr>
        <w:t xml:space="preserve">Garapen Ekonomiko eta Enpresarialeko kontseilaria</w:t>
      </w:r>
    </w:p>
    <w:p w14:paraId="6221152F" w14:textId="77777777" w:rsidR="006F3270" w:rsidRPr="00BF697E" w:rsidRDefault="002F469F" w:rsidP="006F3270">
      <w:pPr>
        <w:spacing w:after="200" w:line="276" w:lineRule="auto"/>
        <w:jc w:val="center"/>
        <w:rPr>
          <w:rFonts w:asciiTheme="minorHAnsi" w:eastAsia="Calibri" w:hAnsiTheme="minorHAnsi" w:cstheme="minorHAnsi"/>
        </w:rPr>
      </w:pPr>
      <w:r>
        <w:rPr>
          <w:rFonts w:asciiTheme="minorHAnsi" w:hAnsiTheme="minorHAnsi"/>
        </w:rPr>
        <w:t xml:space="preserve">Mikel Irujo Amezaga</w:t>
      </w:r>
    </w:p>
    <w:sectPr w:rsidR="006F3270" w:rsidRPr="00BF697E" w:rsidSect="00AA7A93">
      <w:headerReference w:type="first" r:id="rId8"/>
      <w:pgSz w:w="11906" w:h="16838" w:code="9"/>
      <w:pgMar w:top="1276" w:right="849" w:bottom="993"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3DC95" w14:textId="77777777" w:rsidR="00422D68" w:rsidRDefault="00422D68">
      <w:r>
        <w:separator/>
      </w:r>
    </w:p>
  </w:endnote>
  <w:endnote w:type="continuationSeparator" w:id="0">
    <w:p w14:paraId="1390B58E" w14:textId="77777777" w:rsidR="00422D68" w:rsidRDefault="0042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B070B" w14:textId="77777777" w:rsidR="00422D68" w:rsidRDefault="00422D68">
      <w:r>
        <w:separator/>
      </w:r>
    </w:p>
  </w:footnote>
  <w:footnote w:type="continuationSeparator" w:id="0">
    <w:p w14:paraId="017D3164" w14:textId="77777777" w:rsidR="00422D68" w:rsidRDefault="0042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7C55" w14:textId="206D0BD7" w:rsidR="003B6B5E" w:rsidRDefault="003B6B5E" w:rsidP="008F42F9">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669"/>
    <w:multiLevelType w:val="hybridMultilevel"/>
    <w:tmpl w:val="873802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434CEE"/>
    <w:multiLevelType w:val="hybridMultilevel"/>
    <w:tmpl w:val="34D2BD0C"/>
    <w:lvl w:ilvl="0" w:tplc="22CAF1CA">
      <w:numFmt w:val="bullet"/>
      <w:lvlText w:val=""/>
      <w:lvlJc w:val="left"/>
      <w:pPr>
        <w:ind w:left="838" w:hanging="360"/>
      </w:pPr>
      <w:rPr>
        <w:rFonts w:ascii="Wingdings" w:eastAsia="Wingdings" w:hAnsi="Wingdings" w:cs="Wingdings" w:hint="default"/>
        <w:w w:val="100"/>
        <w:sz w:val="24"/>
        <w:szCs w:val="24"/>
      </w:rPr>
    </w:lvl>
    <w:lvl w:ilvl="1" w:tplc="850A38F8">
      <w:numFmt w:val="bullet"/>
      <w:lvlText w:val="•"/>
      <w:lvlJc w:val="left"/>
      <w:pPr>
        <w:ind w:left="1686" w:hanging="360"/>
      </w:pPr>
      <w:rPr>
        <w:rFonts w:hint="default"/>
      </w:rPr>
    </w:lvl>
    <w:lvl w:ilvl="2" w:tplc="137824F2">
      <w:numFmt w:val="bullet"/>
      <w:lvlText w:val="•"/>
      <w:lvlJc w:val="left"/>
      <w:pPr>
        <w:ind w:left="2533" w:hanging="360"/>
      </w:pPr>
      <w:rPr>
        <w:rFonts w:hint="default"/>
      </w:rPr>
    </w:lvl>
    <w:lvl w:ilvl="3" w:tplc="D3BEB0EC">
      <w:numFmt w:val="bullet"/>
      <w:lvlText w:val="•"/>
      <w:lvlJc w:val="left"/>
      <w:pPr>
        <w:ind w:left="3379" w:hanging="360"/>
      </w:pPr>
      <w:rPr>
        <w:rFonts w:hint="default"/>
      </w:rPr>
    </w:lvl>
    <w:lvl w:ilvl="4" w:tplc="DEE6B722">
      <w:numFmt w:val="bullet"/>
      <w:lvlText w:val="•"/>
      <w:lvlJc w:val="left"/>
      <w:pPr>
        <w:ind w:left="4226" w:hanging="360"/>
      </w:pPr>
      <w:rPr>
        <w:rFonts w:hint="default"/>
      </w:rPr>
    </w:lvl>
    <w:lvl w:ilvl="5" w:tplc="19E6F8BE">
      <w:numFmt w:val="bullet"/>
      <w:lvlText w:val="•"/>
      <w:lvlJc w:val="left"/>
      <w:pPr>
        <w:ind w:left="5073" w:hanging="360"/>
      </w:pPr>
      <w:rPr>
        <w:rFonts w:hint="default"/>
      </w:rPr>
    </w:lvl>
    <w:lvl w:ilvl="6" w:tplc="2C923112">
      <w:numFmt w:val="bullet"/>
      <w:lvlText w:val="•"/>
      <w:lvlJc w:val="left"/>
      <w:pPr>
        <w:ind w:left="5919" w:hanging="360"/>
      </w:pPr>
      <w:rPr>
        <w:rFonts w:hint="default"/>
      </w:rPr>
    </w:lvl>
    <w:lvl w:ilvl="7" w:tplc="0D26A90E">
      <w:numFmt w:val="bullet"/>
      <w:lvlText w:val="•"/>
      <w:lvlJc w:val="left"/>
      <w:pPr>
        <w:ind w:left="6766" w:hanging="360"/>
      </w:pPr>
      <w:rPr>
        <w:rFonts w:hint="default"/>
      </w:rPr>
    </w:lvl>
    <w:lvl w:ilvl="8" w:tplc="FB9ADC40">
      <w:numFmt w:val="bullet"/>
      <w:lvlText w:val="•"/>
      <w:lvlJc w:val="left"/>
      <w:pPr>
        <w:ind w:left="7613" w:hanging="360"/>
      </w:pPr>
      <w:rPr>
        <w:rFonts w:hint="default"/>
      </w:rPr>
    </w:lvl>
  </w:abstractNum>
  <w:abstractNum w:abstractNumId="2" w15:restartNumberingAfterBreak="0">
    <w:nsid w:val="123F33BD"/>
    <w:multiLevelType w:val="hybridMultilevel"/>
    <w:tmpl w:val="A5D0B86C"/>
    <w:lvl w:ilvl="0" w:tplc="74AA267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51F065E"/>
    <w:multiLevelType w:val="hybridMultilevel"/>
    <w:tmpl w:val="3EDA93E8"/>
    <w:lvl w:ilvl="0" w:tplc="77F43A4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47821158"/>
    <w:multiLevelType w:val="hybridMultilevel"/>
    <w:tmpl w:val="168409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4F385525"/>
    <w:multiLevelType w:val="hybridMultilevel"/>
    <w:tmpl w:val="7F80B2E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6" w15:restartNumberingAfterBreak="0">
    <w:nsid w:val="55D81174"/>
    <w:multiLevelType w:val="hybridMultilevel"/>
    <w:tmpl w:val="51C2FD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65A11A6C"/>
    <w:multiLevelType w:val="hybridMultilevel"/>
    <w:tmpl w:val="37BC71F8"/>
    <w:lvl w:ilvl="0" w:tplc="C414C84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305E2D"/>
    <w:multiLevelType w:val="hybridMultilevel"/>
    <w:tmpl w:val="391A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7414DB5"/>
    <w:multiLevelType w:val="hybridMultilevel"/>
    <w:tmpl w:val="F95E33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9341491"/>
    <w:multiLevelType w:val="hybridMultilevel"/>
    <w:tmpl w:val="9D58B8B2"/>
    <w:lvl w:ilvl="0" w:tplc="266436D2">
      <w:start w:val="1"/>
      <w:numFmt w:val="lowerLetter"/>
      <w:lvlText w:val="%1."/>
      <w:lvlJc w:val="left"/>
      <w:pPr>
        <w:ind w:left="360" w:hanging="360"/>
      </w:pPr>
      <w:rPr>
        <w:rFonts w:asciiTheme="minorHAnsi" w:eastAsia="Times New Roman" w:hAnsiTheme="minorHAnsi" w:cstheme="minorHAnsi"/>
        <w:b/>
      </w:rPr>
    </w:lvl>
    <w:lvl w:ilvl="1" w:tplc="0C0A000F">
      <w:start w:val="1"/>
      <w:numFmt w:val="decimal"/>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4384321">
    <w:abstractNumId w:val="7"/>
  </w:num>
  <w:num w:numId="2" w16cid:durableId="1061564848">
    <w:abstractNumId w:val="0"/>
  </w:num>
  <w:num w:numId="3" w16cid:durableId="664012506">
    <w:abstractNumId w:val="3"/>
  </w:num>
  <w:num w:numId="4" w16cid:durableId="981040106">
    <w:abstractNumId w:val="2"/>
  </w:num>
  <w:num w:numId="5" w16cid:durableId="132254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5154223">
    <w:abstractNumId w:val="4"/>
  </w:num>
  <w:num w:numId="7" w16cid:durableId="2108111983">
    <w:abstractNumId w:val="5"/>
  </w:num>
  <w:num w:numId="8" w16cid:durableId="1167668353">
    <w:abstractNumId w:val="10"/>
  </w:num>
  <w:num w:numId="9" w16cid:durableId="496926103">
    <w:abstractNumId w:val="8"/>
  </w:num>
  <w:num w:numId="10" w16cid:durableId="276373783">
    <w:abstractNumId w:val="1"/>
  </w:num>
  <w:num w:numId="11" w16cid:durableId="12914752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4604"/>
    <w:rsid w:val="000642A9"/>
    <w:rsid w:val="00084DA1"/>
    <w:rsid w:val="000A248D"/>
    <w:rsid w:val="00127FCA"/>
    <w:rsid w:val="001356D8"/>
    <w:rsid w:val="00155B11"/>
    <w:rsid w:val="001C5D73"/>
    <w:rsid w:val="001C67EC"/>
    <w:rsid w:val="001D4623"/>
    <w:rsid w:val="001E3FB5"/>
    <w:rsid w:val="001E7275"/>
    <w:rsid w:val="00252C57"/>
    <w:rsid w:val="002B24F4"/>
    <w:rsid w:val="002B40CD"/>
    <w:rsid w:val="002E36EF"/>
    <w:rsid w:val="002F469F"/>
    <w:rsid w:val="003326DB"/>
    <w:rsid w:val="00355E3F"/>
    <w:rsid w:val="003737A4"/>
    <w:rsid w:val="0037463B"/>
    <w:rsid w:val="00377B13"/>
    <w:rsid w:val="003B6B5E"/>
    <w:rsid w:val="003D576D"/>
    <w:rsid w:val="00401636"/>
    <w:rsid w:val="00422D68"/>
    <w:rsid w:val="00437DEA"/>
    <w:rsid w:val="004B6722"/>
    <w:rsid w:val="00507A3E"/>
    <w:rsid w:val="00510723"/>
    <w:rsid w:val="005332E5"/>
    <w:rsid w:val="00535B11"/>
    <w:rsid w:val="00536E1E"/>
    <w:rsid w:val="00537F5D"/>
    <w:rsid w:val="00547F33"/>
    <w:rsid w:val="00556C67"/>
    <w:rsid w:val="00591272"/>
    <w:rsid w:val="005F196C"/>
    <w:rsid w:val="0061390D"/>
    <w:rsid w:val="00681192"/>
    <w:rsid w:val="006E5DAC"/>
    <w:rsid w:val="006F3270"/>
    <w:rsid w:val="007269E1"/>
    <w:rsid w:val="00744F8F"/>
    <w:rsid w:val="0075765F"/>
    <w:rsid w:val="007C6CFB"/>
    <w:rsid w:val="007E22E5"/>
    <w:rsid w:val="007E6885"/>
    <w:rsid w:val="0085468D"/>
    <w:rsid w:val="008B423E"/>
    <w:rsid w:val="008E35D6"/>
    <w:rsid w:val="008F42F9"/>
    <w:rsid w:val="008F43C5"/>
    <w:rsid w:val="00911C19"/>
    <w:rsid w:val="00947D6B"/>
    <w:rsid w:val="009978FB"/>
    <w:rsid w:val="00A30200"/>
    <w:rsid w:val="00A347FA"/>
    <w:rsid w:val="00A95C02"/>
    <w:rsid w:val="00AA7A93"/>
    <w:rsid w:val="00AF5162"/>
    <w:rsid w:val="00B71994"/>
    <w:rsid w:val="00B819BB"/>
    <w:rsid w:val="00BC6038"/>
    <w:rsid w:val="00BF22C4"/>
    <w:rsid w:val="00BF697E"/>
    <w:rsid w:val="00C21977"/>
    <w:rsid w:val="00CE7E16"/>
    <w:rsid w:val="00D01F71"/>
    <w:rsid w:val="00D46791"/>
    <w:rsid w:val="00D9059D"/>
    <w:rsid w:val="00D90CB1"/>
    <w:rsid w:val="00DA4C71"/>
    <w:rsid w:val="00DB4D0E"/>
    <w:rsid w:val="00DC2820"/>
    <w:rsid w:val="00DC2F84"/>
    <w:rsid w:val="00DF6784"/>
    <w:rsid w:val="00E43AA2"/>
    <w:rsid w:val="00E75697"/>
    <w:rsid w:val="00E8365A"/>
    <w:rsid w:val="00E90CC0"/>
    <w:rsid w:val="00EA23DF"/>
    <w:rsid w:val="00EE3697"/>
    <w:rsid w:val="00EE67A5"/>
    <w:rsid w:val="00EF499F"/>
    <w:rsid w:val="00F60214"/>
    <w:rsid w:val="00FC4C5F"/>
    <w:rsid w:val="00FF59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33BD941"/>
  <w15:docId w15:val="{D765185C-581E-4732-8336-34E73EF7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ar"/>
    <w:uiPriority w:val="9"/>
    <w:qFormat/>
    <w:rsid w:val="001C67EC"/>
    <w:pPr>
      <w:widowControl w:val="0"/>
      <w:autoSpaceDE w:val="0"/>
      <w:autoSpaceDN w:val="0"/>
      <w:ind w:left="118" w:right="111"/>
      <w:jc w:val="both"/>
      <w:outlineLvl w:val="0"/>
    </w:pPr>
    <w:rPr>
      <w:rFonts w:ascii="Calibri" w:eastAsia="Calibri" w:hAnsi="Calibri" w:cs="Calibri"/>
      <w:b/>
      <w:bCs/>
      <w:lang w:val="eu-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link w:val="EncabezadoCar"/>
    <w:uiPriority w:val="99"/>
    <w:rsid w:val="00F34884"/>
    <w:pPr>
      <w:tabs>
        <w:tab w:val="center" w:pos="4252"/>
        <w:tab w:val="right" w:pos="8504"/>
      </w:tabs>
    </w:pPr>
  </w:style>
  <w:style w:type="paragraph" w:styleId="Piedepgina">
    <w:name w:val="footer"/>
    <w:basedOn w:val="Normal"/>
    <w:link w:val="PiedepginaCar"/>
    <w:uiPriority w:val="99"/>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u-ES" w:eastAsia="es-ES"/>
    </w:rPr>
  </w:style>
  <w:style w:type="paragraph" w:styleId="Prrafodelista">
    <w:name w:val="List Paragraph"/>
    <w:basedOn w:val="Normal"/>
    <w:uiPriority w:val="1"/>
    <w:qFormat/>
    <w:rsid w:val="007C6CFB"/>
    <w:pPr>
      <w:ind w:left="720"/>
      <w:contextualSpacing/>
    </w:pPr>
  </w:style>
  <w:style w:type="paragraph" w:styleId="Textosinformato">
    <w:name w:val="Plain Text"/>
    <w:basedOn w:val="Normal"/>
    <w:link w:val="TextosinformatoCar"/>
    <w:uiPriority w:val="99"/>
    <w:semiHidden/>
    <w:unhideWhenUsed/>
    <w:rsid w:val="00DA4C71"/>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semiHidden/>
    <w:rsid w:val="00DA4C71"/>
    <w:rPr>
      <w:rFonts w:ascii="Calibri" w:eastAsiaTheme="minorHAnsi" w:hAnsi="Calibri" w:cstheme="minorBidi"/>
      <w:sz w:val="22"/>
      <w:szCs w:val="21"/>
      <w:lang w:eastAsia="en-US"/>
    </w:rPr>
  </w:style>
  <w:style w:type="character" w:styleId="Textoennegrita">
    <w:name w:val="Strong"/>
    <w:basedOn w:val="Fuentedeprrafopredeter"/>
    <w:uiPriority w:val="22"/>
    <w:qFormat/>
    <w:rsid w:val="001D4623"/>
    <w:rPr>
      <w:b/>
      <w:bCs/>
    </w:rPr>
  </w:style>
  <w:style w:type="character" w:customStyle="1" w:styleId="Ttulo1Car">
    <w:name w:val="Título 1 Car"/>
    <w:basedOn w:val="Fuentedeprrafopredeter"/>
    <w:link w:val="Ttulo1"/>
    <w:uiPriority w:val="9"/>
    <w:rsid w:val="001C67EC"/>
    <w:rPr>
      <w:rFonts w:ascii="Calibri" w:eastAsia="Calibri" w:hAnsi="Calibri" w:cs="Calibri"/>
      <w:b/>
      <w:bCs/>
      <w:sz w:val="24"/>
      <w:szCs w:val="24"/>
      <w:lang w:val="eu-ES" w:eastAsia="en-US"/>
    </w:rPr>
  </w:style>
  <w:style w:type="character" w:customStyle="1" w:styleId="EncabezadoCar">
    <w:name w:val="Encabezado Car"/>
    <w:basedOn w:val="Fuentedeprrafopredeter"/>
    <w:link w:val="Encabezado"/>
    <w:uiPriority w:val="99"/>
    <w:rsid w:val="001C67EC"/>
    <w:rPr>
      <w:sz w:val="24"/>
      <w:szCs w:val="24"/>
    </w:rPr>
  </w:style>
  <w:style w:type="character" w:customStyle="1" w:styleId="PiedepginaCar">
    <w:name w:val="Pie de página Car"/>
    <w:basedOn w:val="Fuentedeprrafopredeter"/>
    <w:link w:val="Piedepgina"/>
    <w:uiPriority w:val="99"/>
    <w:rsid w:val="001C67EC"/>
    <w:rPr>
      <w:sz w:val="24"/>
      <w:szCs w:val="24"/>
    </w:rPr>
  </w:style>
  <w:style w:type="character" w:styleId="Refdecomentario">
    <w:name w:val="annotation reference"/>
    <w:basedOn w:val="Fuentedeprrafopredeter"/>
    <w:uiPriority w:val="99"/>
    <w:semiHidden/>
    <w:unhideWhenUsed/>
    <w:rsid w:val="001C67EC"/>
    <w:rPr>
      <w:sz w:val="16"/>
      <w:szCs w:val="16"/>
    </w:rPr>
  </w:style>
  <w:style w:type="paragraph" w:styleId="Textocomentario">
    <w:name w:val="annotation text"/>
    <w:basedOn w:val="Normal"/>
    <w:link w:val="TextocomentarioCar"/>
    <w:uiPriority w:val="99"/>
    <w:semiHidden/>
    <w:unhideWhenUsed/>
    <w:rsid w:val="001C67EC"/>
    <w:rPr>
      <w:sz w:val="20"/>
      <w:szCs w:val="20"/>
    </w:rPr>
  </w:style>
  <w:style w:type="character" w:customStyle="1" w:styleId="TextocomentarioCar">
    <w:name w:val="Texto comentario Car"/>
    <w:basedOn w:val="Fuentedeprrafopredeter"/>
    <w:link w:val="Textocomentario"/>
    <w:uiPriority w:val="99"/>
    <w:semiHidden/>
    <w:rsid w:val="001C67EC"/>
  </w:style>
  <w:style w:type="paragraph" w:styleId="Textoindependiente">
    <w:name w:val="Body Text"/>
    <w:basedOn w:val="Normal"/>
    <w:link w:val="TextoindependienteCar"/>
    <w:uiPriority w:val="1"/>
    <w:qFormat/>
    <w:rsid w:val="001C67EC"/>
    <w:pPr>
      <w:widowControl w:val="0"/>
      <w:autoSpaceDE w:val="0"/>
      <w:autoSpaceDN w:val="0"/>
    </w:pPr>
    <w:rPr>
      <w:rFonts w:ascii="Calibri" w:eastAsia="Calibri" w:hAnsi="Calibri" w:cs="Calibri"/>
      <w:lang w:val="eu-ES" w:eastAsia="en-US"/>
    </w:rPr>
  </w:style>
  <w:style w:type="character" w:customStyle="1" w:styleId="TextoindependienteCar">
    <w:name w:val="Texto independiente Car"/>
    <w:basedOn w:val="Fuentedeprrafopredeter"/>
    <w:link w:val="Textoindependiente"/>
    <w:uiPriority w:val="1"/>
    <w:rsid w:val="001C67EC"/>
    <w:rPr>
      <w:rFonts w:ascii="Calibri" w:eastAsia="Calibri" w:hAnsi="Calibri" w:cs="Calibri"/>
      <w:sz w:val="24"/>
      <w:szCs w:val="24"/>
      <w:lang w:val="eu-ES" w:eastAsia="en-US"/>
    </w:rPr>
  </w:style>
  <w:style w:type="character" w:styleId="Hipervnculo">
    <w:name w:val="Hyperlink"/>
    <w:basedOn w:val="Fuentedeprrafopredeter"/>
    <w:unhideWhenUsed/>
    <w:rsid w:val="00252C57"/>
    <w:rPr>
      <w:color w:val="0000FF" w:themeColor="hyperlink"/>
      <w:u w:val="single"/>
    </w:rPr>
  </w:style>
  <w:style w:type="character" w:styleId="Hipervnculovisitado">
    <w:name w:val="FollowedHyperlink"/>
    <w:basedOn w:val="Fuentedeprrafopredeter"/>
    <w:semiHidden/>
    <w:unhideWhenUsed/>
    <w:rsid w:val="007269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47310">
      <w:bodyDiv w:val="1"/>
      <w:marLeft w:val="0"/>
      <w:marRight w:val="0"/>
      <w:marTop w:val="0"/>
      <w:marBottom w:val="0"/>
      <w:divBdr>
        <w:top w:val="none" w:sz="0" w:space="0" w:color="auto"/>
        <w:left w:val="none" w:sz="0" w:space="0" w:color="auto"/>
        <w:bottom w:val="none" w:sz="0" w:space="0" w:color="auto"/>
        <w:right w:val="none" w:sz="0" w:space="0" w:color="auto"/>
      </w:divBdr>
    </w:div>
    <w:div w:id="669138013">
      <w:bodyDiv w:val="1"/>
      <w:marLeft w:val="0"/>
      <w:marRight w:val="0"/>
      <w:marTop w:val="0"/>
      <w:marBottom w:val="0"/>
      <w:divBdr>
        <w:top w:val="none" w:sz="0" w:space="0" w:color="auto"/>
        <w:left w:val="none" w:sz="0" w:space="0" w:color="auto"/>
        <w:bottom w:val="none" w:sz="0" w:space="0" w:color="auto"/>
        <w:right w:val="none" w:sz="0" w:space="0" w:color="auto"/>
      </w:divBdr>
    </w:div>
    <w:div w:id="1115520229">
      <w:bodyDiv w:val="1"/>
      <w:marLeft w:val="0"/>
      <w:marRight w:val="0"/>
      <w:marTop w:val="0"/>
      <w:marBottom w:val="0"/>
      <w:divBdr>
        <w:top w:val="none" w:sz="0" w:space="0" w:color="auto"/>
        <w:left w:val="none" w:sz="0" w:space="0" w:color="auto"/>
        <w:bottom w:val="none" w:sz="0" w:space="0" w:color="auto"/>
        <w:right w:val="none" w:sz="0" w:space="0" w:color="auto"/>
      </w:divBdr>
    </w:div>
    <w:div w:id="1367490577">
      <w:bodyDiv w:val="1"/>
      <w:marLeft w:val="0"/>
      <w:marRight w:val="0"/>
      <w:marTop w:val="0"/>
      <w:marBottom w:val="0"/>
      <w:divBdr>
        <w:top w:val="none" w:sz="0" w:space="0" w:color="auto"/>
        <w:left w:val="none" w:sz="0" w:space="0" w:color="auto"/>
        <w:bottom w:val="none" w:sz="0" w:space="0" w:color="auto"/>
        <w:right w:val="none" w:sz="0" w:space="0" w:color="auto"/>
      </w:divBdr>
    </w:div>
    <w:div w:id="1551762833">
      <w:bodyDiv w:val="1"/>
      <w:marLeft w:val="0"/>
      <w:marRight w:val="0"/>
      <w:marTop w:val="0"/>
      <w:marBottom w:val="0"/>
      <w:divBdr>
        <w:top w:val="none" w:sz="0" w:space="0" w:color="auto"/>
        <w:left w:val="none" w:sz="0" w:space="0" w:color="auto"/>
        <w:bottom w:val="none" w:sz="0" w:space="0" w:color="auto"/>
        <w:right w:val="none" w:sz="0" w:space="0" w:color="auto"/>
      </w:divBdr>
    </w:div>
    <w:div w:id="185823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6D8E8-B38F-4373-808B-EBB273C6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1524</Words>
  <Characters>8330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Aranaz, Carlota</cp:lastModifiedBy>
  <cp:revision>5</cp:revision>
  <cp:lastPrinted>2022-06-08T06:02:00Z</cp:lastPrinted>
  <dcterms:created xsi:type="dcterms:W3CDTF">2022-06-08T06:04:00Z</dcterms:created>
  <dcterms:modified xsi:type="dcterms:W3CDTF">2022-06-14T10:34:00Z</dcterms:modified>
</cp:coreProperties>
</file>